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603AD" w14:textId="1E263390" w:rsidR="00DA5A6B" w:rsidRDefault="009B4E43" w:rsidP="00A13439">
      <w:pPr>
        <w:pStyle w:val="Naslov"/>
      </w:pPr>
      <w:r>
        <w:rPr>
          <w:noProof/>
        </w:rPr>
        <w:drawing>
          <wp:anchor distT="0" distB="0" distL="114300" distR="114300" simplePos="0" relativeHeight="251672576" behindDoc="1" locked="0" layoutInCell="1" allowOverlap="1" wp14:anchorId="3A94E6C4" wp14:editId="080AE29C">
            <wp:simplePos x="0" y="0"/>
            <wp:positionH relativeFrom="page">
              <wp:align>right</wp:align>
            </wp:positionH>
            <wp:positionV relativeFrom="page">
              <wp:posOffset>-635</wp:posOffset>
            </wp:positionV>
            <wp:extent cx="7533317" cy="10655998"/>
            <wp:effectExtent l="0" t="0" r="0" b="0"/>
            <wp:wrapNone/>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ka 1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33317" cy="10655998"/>
                    </a:xfrm>
                    <a:prstGeom prst="rect">
                      <a:avLst/>
                    </a:prstGeom>
                  </pic:spPr>
                </pic:pic>
              </a:graphicData>
            </a:graphic>
            <wp14:sizeRelH relativeFrom="margin">
              <wp14:pctWidth>0</wp14:pctWidth>
            </wp14:sizeRelH>
            <wp14:sizeRelV relativeFrom="margin">
              <wp14:pctHeight>0</wp14:pctHeight>
            </wp14:sizeRelV>
          </wp:anchor>
        </w:drawing>
      </w:r>
    </w:p>
    <w:p w14:paraId="41D861C7" w14:textId="4E11DB24" w:rsidR="00DA5A6B" w:rsidRDefault="00DA5A6B" w:rsidP="00A13439">
      <w:pPr>
        <w:pStyle w:val="Naslov"/>
      </w:pPr>
    </w:p>
    <w:p w14:paraId="22B236F9" w14:textId="22E0CF77" w:rsidR="00DA5A6B" w:rsidRDefault="00DA5A6B" w:rsidP="00A13439">
      <w:pPr>
        <w:pStyle w:val="Naslov"/>
      </w:pPr>
    </w:p>
    <w:p w14:paraId="02A39EFC" w14:textId="77777777" w:rsidR="00DA5A6B" w:rsidRDefault="00DA5A6B" w:rsidP="00A13439">
      <w:pPr>
        <w:pStyle w:val="Naslov"/>
      </w:pPr>
    </w:p>
    <w:p w14:paraId="37A05E15" w14:textId="77777777" w:rsidR="00DA5A6B" w:rsidRDefault="00DA5A6B" w:rsidP="00A13439">
      <w:pPr>
        <w:pStyle w:val="Naslov"/>
      </w:pPr>
    </w:p>
    <w:p w14:paraId="0351E731" w14:textId="77777777" w:rsidR="00DA5A6B" w:rsidRDefault="00DA5A6B" w:rsidP="00A13439">
      <w:pPr>
        <w:pStyle w:val="Naslov"/>
      </w:pPr>
    </w:p>
    <w:p w14:paraId="592818F4" w14:textId="77777777" w:rsidR="00DA5A6B" w:rsidRDefault="00DA5A6B" w:rsidP="00A13439">
      <w:pPr>
        <w:pStyle w:val="Naslov"/>
      </w:pPr>
    </w:p>
    <w:p w14:paraId="574334DA" w14:textId="77777777" w:rsidR="00DA5A6B" w:rsidRDefault="00DA5A6B" w:rsidP="00A13439">
      <w:pPr>
        <w:pStyle w:val="Naslov"/>
      </w:pPr>
    </w:p>
    <w:p w14:paraId="04F3CCD0" w14:textId="2B1D6B7B" w:rsidR="00624BCD" w:rsidRDefault="00624BCD">
      <w:r>
        <w:br w:type="page"/>
      </w:r>
    </w:p>
    <w:p w14:paraId="22B11B3D" w14:textId="77777777" w:rsidR="00FD5C4D" w:rsidRDefault="00FD5C4D" w:rsidP="1F30B503">
      <w:pPr>
        <w:spacing w:after="0"/>
      </w:pPr>
    </w:p>
    <w:sdt>
      <w:sdtPr>
        <w:rPr>
          <w:rFonts w:asciiTheme="minorHAnsi" w:eastAsiaTheme="minorEastAsia" w:hAnsiTheme="minorHAnsi" w:cstheme="minorBidi"/>
          <w:color w:val="auto"/>
          <w:kern w:val="2"/>
          <w:sz w:val="22"/>
          <w:szCs w:val="22"/>
          <w:lang w:eastAsia="en-US"/>
          <w14:ligatures w14:val="standardContextual"/>
        </w:rPr>
        <w:id w:val="1843046283"/>
        <w:docPartObj>
          <w:docPartGallery w:val="Table of Contents"/>
          <w:docPartUnique/>
        </w:docPartObj>
      </w:sdtPr>
      <w:sdtEndPr>
        <w:rPr>
          <w:b/>
          <w:bCs/>
        </w:rPr>
      </w:sdtEndPr>
      <w:sdtContent>
        <w:p w14:paraId="103B6034" w14:textId="5F186F04" w:rsidR="00023D2C" w:rsidRDefault="00023D2C" w:rsidP="00B4538E">
          <w:pPr>
            <w:pStyle w:val="NaslovTOC"/>
            <w:spacing w:before="0"/>
          </w:pPr>
          <w:r>
            <w:t>Vsebina</w:t>
          </w:r>
        </w:p>
        <w:p w14:paraId="5FE7CBCE" w14:textId="33B41123" w:rsidR="00396322" w:rsidRDefault="00023D2C" w:rsidP="00396322">
          <w:pPr>
            <w:pStyle w:val="Kazalovsebine1"/>
            <w:tabs>
              <w:tab w:val="right" w:leader="dot" w:pos="9628"/>
            </w:tabs>
            <w:spacing w:after="0" w:line="300" w:lineRule="atLeast"/>
            <w:rPr>
              <w:rFonts w:eastAsiaTheme="minorEastAsia"/>
              <w:noProof/>
              <w:sz w:val="24"/>
              <w:szCs w:val="24"/>
              <w:lang w:eastAsia="sl-SI"/>
            </w:rPr>
          </w:pPr>
          <w:r>
            <w:fldChar w:fldCharType="begin"/>
          </w:r>
          <w:r>
            <w:instrText>TOC \o "1-3" \z \u \h</w:instrText>
          </w:r>
          <w:r>
            <w:fldChar w:fldCharType="separate"/>
          </w:r>
          <w:hyperlink w:anchor="_Toc239414890" w:history="1">
            <w:r w:rsidR="00396322" w:rsidRPr="00737E17">
              <w:rPr>
                <w:rStyle w:val="Hiperpovezava"/>
                <w:noProof/>
              </w:rPr>
              <w:t>Nagovor župana</w:t>
            </w:r>
            <w:r w:rsidR="00396322">
              <w:rPr>
                <w:noProof/>
                <w:webHidden/>
              </w:rPr>
              <w:tab/>
            </w:r>
            <w:r w:rsidR="00396322">
              <w:rPr>
                <w:noProof/>
                <w:webHidden/>
              </w:rPr>
              <w:fldChar w:fldCharType="begin"/>
            </w:r>
            <w:r w:rsidR="00396322">
              <w:rPr>
                <w:noProof/>
                <w:webHidden/>
              </w:rPr>
              <w:instrText xml:space="preserve"> PAGEREF _Toc239414890 \h </w:instrText>
            </w:r>
            <w:r w:rsidR="00396322">
              <w:rPr>
                <w:noProof/>
                <w:webHidden/>
              </w:rPr>
            </w:r>
            <w:r w:rsidR="00396322">
              <w:rPr>
                <w:noProof/>
                <w:webHidden/>
              </w:rPr>
              <w:fldChar w:fldCharType="separate"/>
            </w:r>
            <w:r w:rsidR="00396322">
              <w:rPr>
                <w:noProof/>
                <w:webHidden/>
              </w:rPr>
              <w:t>5</w:t>
            </w:r>
            <w:r w:rsidR="00396322">
              <w:rPr>
                <w:noProof/>
                <w:webHidden/>
              </w:rPr>
              <w:fldChar w:fldCharType="end"/>
            </w:r>
          </w:hyperlink>
        </w:p>
        <w:p w14:paraId="5A827FB1" w14:textId="54731574" w:rsidR="00396322" w:rsidRDefault="00396322" w:rsidP="00396322">
          <w:pPr>
            <w:pStyle w:val="Kazalovsebine1"/>
            <w:tabs>
              <w:tab w:val="left" w:pos="440"/>
              <w:tab w:val="right" w:leader="dot" w:pos="9628"/>
            </w:tabs>
            <w:spacing w:after="0" w:line="300" w:lineRule="atLeast"/>
            <w:rPr>
              <w:rFonts w:eastAsiaTheme="minorEastAsia"/>
              <w:noProof/>
              <w:sz w:val="24"/>
              <w:szCs w:val="24"/>
              <w:lang w:eastAsia="sl-SI"/>
            </w:rPr>
          </w:pPr>
          <w:hyperlink w:anchor="_Toc239414891" w:history="1">
            <w:r w:rsidRPr="00737E17">
              <w:rPr>
                <w:rStyle w:val="Hiperpovezava"/>
                <w:noProof/>
              </w:rPr>
              <w:t>1</w:t>
            </w:r>
            <w:r>
              <w:rPr>
                <w:rFonts w:eastAsiaTheme="minorEastAsia"/>
                <w:noProof/>
                <w:sz w:val="24"/>
                <w:szCs w:val="24"/>
                <w:lang w:eastAsia="sl-SI"/>
              </w:rPr>
              <w:tab/>
            </w:r>
            <w:r w:rsidRPr="00737E17">
              <w:rPr>
                <w:rStyle w:val="Hiperpovezava"/>
                <w:noProof/>
              </w:rPr>
              <w:t>Strategija na kratko</w:t>
            </w:r>
            <w:r>
              <w:rPr>
                <w:noProof/>
                <w:webHidden/>
              </w:rPr>
              <w:tab/>
            </w:r>
            <w:r>
              <w:rPr>
                <w:noProof/>
                <w:webHidden/>
              </w:rPr>
              <w:fldChar w:fldCharType="begin"/>
            </w:r>
            <w:r>
              <w:rPr>
                <w:noProof/>
                <w:webHidden/>
              </w:rPr>
              <w:instrText xml:space="preserve"> PAGEREF _Toc239414891 \h </w:instrText>
            </w:r>
            <w:r>
              <w:rPr>
                <w:noProof/>
                <w:webHidden/>
              </w:rPr>
            </w:r>
            <w:r>
              <w:rPr>
                <w:noProof/>
                <w:webHidden/>
              </w:rPr>
              <w:fldChar w:fldCharType="separate"/>
            </w:r>
            <w:r>
              <w:rPr>
                <w:noProof/>
                <w:webHidden/>
              </w:rPr>
              <w:t>6</w:t>
            </w:r>
            <w:r>
              <w:rPr>
                <w:noProof/>
                <w:webHidden/>
              </w:rPr>
              <w:fldChar w:fldCharType="end"/>
            </w:r>
          </w:hyperlink>
        </w:p>
        <w:p w14:paraId="5B698BAE" w14:textId="6108E3A6" w:rsidR="00396322" w:rsidRDefault="00396322" w:rsidP="00396322">
          <w:pPr>
            <w:pStyle w:val="Kazalovsebine1"/>
            <w:tabs>
              <w:tab w:val="left" w:pos="440"/>
              <w:tab w:val="right" w:leader="dot" w:pos="9628"/>
            </w:tabs>
            <w:spacing w:after="0" w:line="300" w:lineRule="atLeast"/>
            <w:rPr>
              <w:rFonts w:eastAsiaTheme="minorEastAsia"/>
              <w:noProof/>
              <w:sz w:val="24"/>
              <w:szCs w:val="24"/>
              <w:lang w:eastAsia="sl-SI"/>
            </w:rPr>
          </w:pPr>
          <w:hyperlink w:anchor="_Toc239414892" w:history="1">
            <w:r w:rsidRPr="00737E17">
              <w:rPr>
                <w:rStyle w:val="Hiperpovezava"/>
                <w:noProof/>
              </w:rPr>
              <w:t>2</w:t>
            </w:r>
            <w:r>
              <w:rPr>
                <w:rFonts w:eastAsiaTheme="minorEastAsia"/>
                <w:noProof/>
                <w:sz w:val="24"/>
                <w:szCs w:val="24"/>
                <w:lang w:eastAsia="sl-SI"/>
              </w:rPr>
              <w:tab/>
            </w:r>
            <w:r w:rsidRPr="00737E17">
              <w:rPr>
                <w:rStyle w:val="Hiperpovezava"/>
                <w:noProof/>
              </w:rPr>
              <w:t>Zakaj strategija</w:t>
            </w:r>
            <w:r>
              <w:rPr>
                <w:noProof/>
                <w:webHidden/>
              </w:rPr>
              <w:tab/>
            </w:r>
            <w:r>
              <w:rPr>
                <w:noProof/>
                <w:webHidden/>
              </w:rPr>
              <w:fldChar w:fldCharType="begin"/>
            </w:r>
            <w:r>
              <w:rPr>
                <w:noProof/>
                <w:webHidden/>
              </w:rPr>
              <w:instrText xml:space="preserve"> PAGEREF _Toc239414892 \h </w:instrText>
            </w:r>
            <w:r>
              <w:rPr>
                <w:noProof/>
                <w:webHidden/>
              </w:rPr>
            </w:r>
            <w:r>
              <w:rPr>
                <w:noProof/>
                <w:webHidden/>
              </w:rPr>
              <w:fldChar w:fldCharType="separate"/>
            </w:r>
            <w:r>
              <w:rPr>
                <w:noProof/>
                <w:webHidden/>
              </w:rPr>
              <w:t>9</w:t>
            </w:r>
            <w:r>
              <w:rPr>
                <w:noProof/>
                <w:webHidden/>
              </w:rPr>
              <w:fldChar w:fldCharType="end"/>
            </w:r>
          </w:hyperlink>
        </w:p>
        <w:p w14:paraId="7B207F01" w14:textId="2FA356B7" w:rsidR="00396322" w:rsidRDefault="00396322" w:rsidP="00396322">
          <w:pPr>
            <w:pStyle w:val="Kazalovsebine1"/>
            <w:tabs>
              <w:tab w:val="left" w:pos="440"/>
              <w:tab w:val="right" w:leader="dot" w:pos="9628"/>
            </w:tabs>
            <w:spacing w:after="0" w:line="300" w:lineRule="atLeast"/>
            <w:rPr>
              <w:rFonts w:eastAsiaTheme="minorEastAsia"/>
              <w:noProof/>
              <w:sz w:val="24"/>
              <w:szCs w:val="24"/>
              <w:lang w:eastAsia="sl-SI"/>
            </w:rPr>
          </w:pPr>
          <w:hyperlink w:anchor="_Toc239414893" w:history="1">
            <w:r w:rsidRPr="00737E17">
              <w:rPr>
                <w:rStyle w:val="Hiperpovezava"/>
                <w:noProof/>
              </w:rPr>
              <w:t>3</w:t>
            </w:r>
            <w:r>
              <w:rPr>
                <w:rFonts w:eastAsiaTheme="minorEastAsia"/>
                <w:noProof/>
                <w:sz w:val="24"/>
                <w:szCs w:val="24"/>
                <w:lang w:eastAsia="sl-SI"/>
              </w:rPr>
              <w:tab/>
            </w:r>
            <w:r w:rsidRPr="00737E17">
              <w:rPr>
                <w:rStyle w:val="Hiperpovezava"/>
                <w:noProof/>
              </w:rPr>
              <w:t>Pot do strategije</w:t>
            </w:r>
            <w:r>
              <w:rPr>
                <w:noProof/>
                <w:webHidden/>
              </w:rPr>
              <w:tab/>
            </w:r>
            <w:r>
              <w:rPr>
                <w:noProof/>
                <w:webHidden/>
              </w:rPr>
              <w:fldChar w:fldCharType="begin"/>
            </w:r>
            <w:r>
              <w:rPr>
                <w:noProof/>
                <w:webHidden/>
              </w:rPr>
              <w:instrText xml:space="preserve"> PAGEREF _Toc239414893 \h </w:instrText>
            </w:r>
            <w:r>
              <w:rPr>
                <w:noProof/>
                <w:webHidden/>
              </w:rPr>
            </w:r>
            <w:r>
              <w:rPr>
                <w:noProof/>
                <w:webHidden/>
              </w:rPr>
              <w:fldChar w:fldCharType="separate"/>
            </w:r>
            <w:r>
              <w:rPr>
                <w:noProof/>
                <w:webHidden/>
              </w:rPr>
              <w:t>9</w:t>
            </w:r>
            <w:r>
              <w:rPr>
                <w:noProof/>
                <w:webHidden/>
              </w:rPr>
              <w:fldChar w:fldCharType="end"/>
            </w:r>
          </w:hyperlink>
        </w:p>
        <w:p w14:paraId="28B53FAD" w14:textId="1A2317BE" w:rsidR="00396322" w:rsidRDefault="00396322" w:rsidP="00396322">
          <w:pPr>
            <w:pStyle w:val="Kazalovsebine1"/>
            <w:tabs>
              <w:tab w:val="left" w:pos="440"/>
              <w:tab w:val="right" w:leader="dot" w:pos="9628"/>
            </w:tabs>
            <w:spacing w:after="0" w:line="300" w:lineRule="atLeast"/>
            <w:rPr>
              <w:rFonts w:eastAsiaTheme="minorEastAsia"/>
              <w:noProof/>
              <w:sz w:val="24"/>
              <w:szCs w:val="24"/>
              <w:lang w:eastAsia="sl-SI"/>
            </w:rPr>
          </w:pPr>
          <w:hyperlink w:anchor="_Toc239414894" w:history="1">
            <w:r w:rsidRPr="00737E17">
              <w:rPr>
                <w:rStyle w:val="Hiperpovezava"/>
                <w:noProof/>
              </w:rPr>
              <w:t>4</w:t>
            </w:r>
            <w:r>
              <w:rPr>
                <w:rFonts w:eastAsiaTheme="minorEastAsia"/>
                <w:noProof/>
                <w:sz w:val="24"/>
                <w:szCs w:val="24"/>
                <w:lang w:eastAsia="sl-SI"/>
              </w:rPr>
              <w:tab/>
            </w:r>
            <w:r w:rsidRPr="00737E17">
              <w:rPr>
                <w:rStyle w:val="Hiperpovezava"/>
                <w:noProof/>
              </w:rPr>
              <w:t>Razvojni položaj in ključni izzivi mestne občine</w:t>
            </w:r>
            <w:r>
              <w:rPr>
                <w:noProof/>
                <w:webHidden/>
              </w:rPr>
              <w:tab/>
            </w:r>
            <w:r>
              <w:rPr>
                <w:noProof/>
                <w:webHidden/>
              </w:rPr>
              <w:fldChar w:fldCharType="begin"/>
            </w:r>
            <w:r>
              <w:rPr>
                <w:noProof/>
                <w:webHidden/>
              </w:rPr>
              <w:instrText xml:space="preserve"> PAGEREF _Toc239414894 \h </w:instrText>
            </w:r>
            <w:r>
              <w:rPr>
                <w:noProof/>
                <w:webHidden/>
              </w:rPr>
            </w:r>
            <w:r>
              <w:rPr>
                <w:noProof/>
                <w:webHidden/>
              </w:rPr>
              <w:fldChar w:fldCharType="separate"/>
            </w:r>
            <w:r>
              <w:rPr>
                <w:noProof/>
                <w:webHidden/>
              </w:rPr>
              <w:t>10</w:t>
            </w:r>
            <w:r>
              <w:rPr>
                <w:noProof/>
                <w:webHidden/>
              </w:rPr>
              <w:fldChar w:fldCharType="end"/>
            </w:r>
          </w:hyperlink>
        </w:p>
        <w:p w14:paraId="4C58A27E" w14:textId="2B5BD43A" w:rsidR="00396322" w:rsidRDefault="00396322" w:rsidP="00396322">
          <w:pPr>
            <w:pStyle w:val="Kazalovsebine2"/>
            <w:rPr>
              <w:rFonts w:eastAsiaTheme="minorEastAsia"/>
              <w:noProof/>
              <w:sz w:val="24"/>
              <w:szCs w:val="24"/>
              <w:lang w:eastAsia="sl-SI"/>
            </w:rPr>
          </w:pPr>
          <w:hyperlink w:anchor="_Toc239414895" w:history="1">
            <w:r w:rsidRPr="00737E17">
              <w:rPr>
                <w:rStyle w:val="Hiperpovezava"/>
                <w:noProof/>
              </w:rPr>
              <w:t>4.1 Demografska odpornost in privabljanje aktivnega prebivalstva</w:t>
            </w:r>
            <w:r>
              <w:rPr>
                <w:noProof/>
                <w:webHidden/>
              </w:rPr>
              <w:tab/>
            </w:r>
            <w:r>
              <w:rPr>
                <w:noProof/>
                <w:webHidden/>
              </w:rPr>
              <w:fldChar w:fldCharType="begin"/>
            </w:r>
            <w:r>
              <w:rPr>
                <w:noProof/>
                <w:webHidden/>
              </w:rPr>
              <w:instrText xml:space="preserve"> PAGEREF _Toc239414895 \h </w:instrText>
            </w:r>
            <w:r>
              <w:rPr>
                <w:noProof/>
                <w:webHidden/>
              </w:rPr>
            </w:r>
            <w:r>
              <w:rPr>
                <w:noProof/>
                <w:webHidden/>
              </w:rPr>
              <w:fldChar w:fldCharType="separate"/>
            </w:r>
            <w:r>
              <w:rPr>
                <w:noProof/>
                <w:webHidden/>
              </w:rPr>
              <w:t>10</w:t>
            </w:r>
            <w:r>
              <w:rPr>
                <w:noProof/>
                <w:webHidden/>
              </w:rPr>
              <w:fldChar w:fldCharType="end"/>
            </w:r>
          </w:hyperlink>
        </w:p>
        <w:p w14:paraId="7F5EA305" w14:textId="2447F2E9" w:rsidR="00396322" w:rsidRDefault="00396322" w:rsidP="00396322">
          <w:pPr>
            <w:pStyle w:val="Kazalovsebine2"/>
            <w:rPr>
              <w:rFonts w:eastAsiaTheme="minorEastAsia"/>
              <w:noProof/>
              <w:sz w:val="24"/>
              <w:szCs w:val="24"/>
              <w:lang w:eastAsia="sl-SI"/>
            </w:rPr>
          </w:pPr>
          <w:hyperlink w:anchor="_Toc239414896" w:history="1">
            <w:r w:rsidRPr="00737E17">
              <w:rPr>
                <w:rStyle w:val="Hiperpovezava"/>
                <w:noProof/>
              </w:rPr>
              <w:t>4.2 Kritična masa in vloga regijskega ter čezmejnega središča</w:t>
            </w:r>
            <w:r>
              <w:rPr>
                <w:noProof/>
                <w:webHidden/>
              </w:rPr>
              <w:tab/>
            </w:r>
            <w:r>
              <w:rPr>
                <w:noProof/>
                <w:webHidden/>
              </w:rPr>
              <w:fldChar w:fldCharType="begin"/>
            </w:r>
            <w:r>
              <w:rPr>
                <w:noProof/>
                <w:webHidden/>
              </w:rPr>
              <w:instrText xml:space="preserve"> PAGEREF _Toc239414896 \h </w:instrText>
            </w:r>
            <w:r>
              <w:rPr>
                <w:noProof/>
                <w:webHidden/>
              </w:rPr>
            </w:r>
            <w:r>
              <w:rPr>
                <w:noProof/>
                <w:webHidden/>
              </w:rPr>
              <w:fldChar w:fldCharType="separate"/>
            </w:r>
            <w:r>
              <w:rPr>
                <w:noProof/>
                <w:webHidden/>
              </w:rPr>
              <w:t>11</w:t>
            </w:r>
            <w:r>
              <w:rPr>
                <w:noProof/>
                <w:webHidden/>
              </w:rPr>
              <w:fldChar w:fldCharType="end"/>
            </w:r>
          </w:hyperlink>
        </w:p>
        <w:p w14:paraId="6CA1028E" w14:textId="3554DACC" w:rsidR="00396322" w:rsidRDefault="00396322" w:rsidP="00396322">
          <w:pPr>
            <w:pStyle w:val="Kazalovsebine2"/>
            <w:rPr>
              <w:rFonts w:eastAsiaTheme="minorEastAsia"/>
              <w:noProof/>
              <w:sz w:val="24"/>
              <w:szCs w:val="24"/>
              <w:lang w:eastAsia="sl-SI"/>
            </w:rPr>
          </w:pPr>
          <w:hyperlink w:anchor="_Toc239414897" w:history="1">
            <w:r w:rsidRPr="00737E17">
              <w:rPr>
                <w:rStyle w:val="Hiperpovezava"/>
                <w:noProof/>
              </w:rPr>
              <w:t>4.3 Mesto in podeželje kot povezan razvojni prostor</w:t>
            </w:r>
            <w:r>
              <w:rPr>
                <w:noProof/>
                <w:webHidden/>
              </w:rPr>
              <w:tab/>
            </w:r>
            <w:r>
              <w:rPr>
                <w:noProof/>
                <w:webHidden/>
              </w:rPr>
              <w:fldChar w:fldCharType="begin"/>
            </w:r>
            <w:r>
              <w:rPr>
                <w:noProof/>
                <w:webHidden/>
              </w:rPr>
              <w:instrText xml:space="preserve"> PAGEREF _Toc239414897 \h </w:instrText>
            </w:r>
            <w:r>
              <w:rPr>
                <w:noProof/>
                <w:webHidden/>
              </w:rPr>
            </w:r>
            <w:r>
              <w:rPr>
                <w:noProof/>
                <w:webHidden/>
              </w:rPr>
              <w:fldChar w:fldCharType="separate"/>
            </w:r>
            <w:r>
              <w:rPr>
                <w:noProof/>
                <w:webHidden/>
              </w:rPr>
              <w:t>11</w:t>
            </w:r>
            <w:r>
              <w:rPr>
                <w:noProof/>
                <w:webHidden/>
              </w:rPr>
              <w:fldChar w:fldCharType="end"/>
            </w:r>
          </w:hyperlink>
        </w:p>
        <w:p w14:paraId="77EBF8A5" w14:textId="13DAE270" w:rsidR="00396322" w:rsidRDefault="00396322" w:rsidP="00396322">
          <w:pPr>
            <w:pStyle w:val="Kazalovsebine2"/>
            <w:rPr>
              <w:rFonts w:eastAsiaTheme="minorEastAsia"/>
              <w:noProof/>
              <w:sz w:val="24"/>
              <w:szCs w:val="24"/>
              <w:lang w:eastAsia="sl-SI"/>
            </w:rPr>
          </w:pPr>
          <w:hyperlink w:anchor="_Toc239414898" w:history="1">
            <w:r w:rsidRPr="00737E17">
              <w:rPr>
                <w:rStyle w:val="Hiperpovezava"/>
                <w:noProof/>
              </w:rPr>
              <w:t>4.4 Regionalna konkurenčnost in centralizacija</w:t>
            </w:r>
            <w:r>
              <w:rPr>
                <w:noProof/>
                <w:webHidden/>
              </w:rPr>
              <w:tab/>
            </w:r>
            <w:r>
              <w:rPr>
                <w:noProof/>
                <w:webHidden/>
              </w:rPr>
              <w:fldChar w:fldCharType="begin"/>
            </w:r>
            <w:r>
              <w:rPr>
                <w:noProof/>
                <w:webHidden/>
              </w:rPr>
              <w:instrText xml:space="preserve"> PAGEREF _Toc239414898 \h </w:instrText>
            </w:r>
            <w:r>
              <w:rPr>
                <w:noProof/>
                <w:webHidden/>
              </w:rPr>
            </w:r>
            <w:r>
              <w:rPr>
                <w:noProof/>
                <w:webHidden/>
              </w:rPr>
              <w:fldChar w:fldCharType="separate"/>
            </w:r>
            <w:r>
              <w:rPr>
                <w:noProof/>
                <w:webHidden/>
              </w:rPr>
              <w:t>12</w:t>
            </w:r>
            <w:r>
              <w:rPr>
                <w:noProof/>
                <w:webHidden/>
              </w:rPr>
              <w:fldChar w:fldCharType="end"/>
            </w:r>
          </w:hyperlink>
        </w:p>
        <w:p w14:paraId="32AEC3E9" w14:textId="25A9BB1E" w:rsidR="00396322" w:rsidRDefault="00396322" w:rsidP="00396322">
          <w:pPr>
            <w:pStyle w:val="Kazalovsebine2"/>
            <w:rPr>
              <w:rFonts w:eastAsiaTheme="minorEastAsia"/>
              <w:noProof/>
              <w:sz w:val="24"/>
              <w:szCs w:val="24"/>
              <w:lang w:eastAsia="sl-SI"/>
            </w:rPr>
          </w:pPr>
          <w:hyperlink w:anchor="_Toc239414899" w:history="1">
            <w:r w:rsidRPr="00737E17">
              <w:rPr>
                <w:rStyle w:val="Hiperpovezava"/>
                <w:noProof/>
              </w:rPr>
              <w:t>4.5 Prehod v novo razvojno ekonomijo</w:t>
            </w:r>
            <w:r>
              <w:rPr>
                <w:noProof/>
                <w:webHidden/>
              </w:rPr>
              <w:tab/>
            </w:r>
            <w:r>
              <w:rPr>
                <w:noProof/>
                <w:webHidden/>
              </w:rPr>
              <w:fldChar w:fldCharType="begin"/>
            </w:r>
            <w:r>
              <w:rPr>
                <w:noProof/>
                <w:webHidden/>
              </w:rPr>
              <w:instrText xml:space="preserve"> PAGEREF _Toc239414899 \h </w:instrText>
            </w:r>
            <w:r>
              <w:rPr>
                <w:noProof/>
                <w:webHidden/>
              </w:rPr>
            </w:r>
            <w:r>
              <w:rPr>
                <w:noProof/>
                <w:webHidden/>
              </w:rPr>
              <w:fldChar w:fldCharType="separate"/>
            </w:r>
            <w:r>
              <w:rPr>
                <w:noProof/>
                <w:webHidden/>
              </w:rPr>
              <w:t>12</w:t>
            </w:r>
            <w:r>
              <w:rPr>
                <w:noProof/>
                <w:webHidden/>
              </w:rPr>
              <w:fldChar w:fldCharType="end"/>
            </w:r>
          </w:hyperlink>
        </w:p>
        <w:p w14:paraId="759E7FC2" w14:textId="67550C4D" w:rsidR="00396322" w:rsidRDefault="00396322" w:rsidP="00396322">
          <w:pPr>
            <w:pStyle w:val="Kazalovsebine2"/>
            <w:rPr>
              <w:rFonts w:eastAsiaTheme="minorEastAsia"/>
              <w:noProof/>
              <w:sz w:val="24"/>
              <w:szCs w:val="24"/>
              <w:lang w:eastAsia="sl-SI"/>
            </w:rPr>
          </w:pPr>
          <w:hyperlink w:anchor="_Toc239414900" w:history="1">
            <w:r w:rsidRPr="00737E17">
              <w:rPr>
                <w:rStyle w:val="Hiperpovezava"/>
                <w:noProof/>
              </w:rPr>
              <w:t>4.6 Od simbolne čezmejnosti k funkcionalnemu brezmejnemu prostoru</w:t>
            </w:r>
            <w:r>
              <w:rPr>
                <w:noProof/>
                <w:webHidden/>
              </w:rPr>
              <w:tab/>
            </w:r>
            <w:r>
              <w:rPr>
                <w:noProof/>
                <w:webHidden/>
              </w:rPr>
              <w:fldChar w:fldCharType="begin"/>
            </w:r>
            <w:r>
              <w:rPr>
                <w:noProof/>
                <w:webHidden/>
              </w:rPr>
              <w:instrText xml:space="preserve"> PAGEREF _Toc239414900 \h </w:instrText>
            </w:r>
            <w:r>
              <w:rPr>
                <w:noProof/>
                <w:webHidden/>
              </w:rPr>
            </w:r>
            <w:r>
              <w:rPr>
                <w:noProof/>
                <w:webHidden/>
              </w:rPr>
              <w:fldChar w:fldCharType="separate"/>
            </w:r>
            <w:r>
              <w:rPr>
                <w:noProof/>
                <w:webHidden/>
              </w:rPr>
              <w:t>12</w:t>
            </w:r>
            <w:r>
              <w:rPr>
                <w:noProof/>
                <w:webHidden/>
              </w:rPr>
              <w:fldChar w:fldCharType="end"/>
            </w:r>
          </w:hyperlink>
        </w:p>
        <w:p w14:paraId="5C982591" w14:textId="71ACDC9C" w:rsidR="00396322" w:rsidRDefault="00396322" w:rsidP="00396322">
          <w:pPr>
            <w:pStyle w:val="Kazalovsebine2"/>
            <w:rPr>
              <w:rFonts w:eastAsiaTheme="minorEastAsia"/>
              <w:noProof/>
              <w:sz w:val="24"/>
              <w:szCs w:val="24"/>
              <w:lang w:eastAsia="sl-SI"/>
            </w:rPr>
          </w:pPr>
          <w:hyperlink w:anchor="_Toc239414901" w:history="1">
            <w:r w:rsidRPr="00737E17">
              <w:rPr>
                <w:rStyle w:val="Hiperpovezava"/>
                <w:noProof/>
              </w:rPr>
              <w:t>4.7 Zaupanje, usklajenost in izvedbena sposobnost</w:t>
            </w:r>
            <w:r>
              <w:rPr>
                <w:noProof/>
                <w:webHidden/>
              </w:rPr>
              <w:tab/>
            </w:r>
            <w:r>
              <w:rPr>
                <w:noProof/>
                <w:webHidden/>
              </w:rPr>
              <w:fldChar w:fldCharType="begin"/>
            </w:r>
            <w:r>
              <w:rPr>
                <w:noProof/>
                <w:webHidden/>
              </w:rPr>
              <w:instrText xml:space="preserve"> PAGEREF _Toc239414901 \h </w:instrText>
            </w:r>
            <w:r>
              <w:rPr>
                <w:noProof/>
                <w:webHidden/>
              </w:rPr>
            </w:r>
            <w:r>
              <w:rPr>
                <w:noProof/>
                <w:webHidden/>
              </w:rPr>
              <w:fldChar w:fldCharType="separate"/>
            </w:r>
            <w:r>
              <w:rPr>
                <w:noProof/>
                <w:webHidden/>
              </w:rPr>
              <w:t>13</w:t>
            </w:r>
            <w:r>
              <w:rPr>
                <w:noProof/>
                <w:webHidden/>
              </w:rPr>
              <w:fldChar w:fldCharType="end"/>
            </w:r>
          </w:hyperlink>
        </w:p>
        <w:p w14:paraId="53E621B0" w14:textId="60AD406A" w:rsidR="00396322" w:rsidRDefault="00396322" w:rsidP="00396322">
          <w:pPr>
            <w:pStyle w:val="Kazalovsebine2"/>
            <w:rPr>
              <w:rFonts w:eastAsiaTheme="minorEastAsia"/>
              <w:noProof/>
              <w:sz w:val="24"/>
              <w:szCs w:val="24"/>
              <w:lang w:eastAsia="sl-SI"/>
            </w:rPr>
          </w:pPr>
          <w:hyperlink w:anchor="_Toc239414902" w:history="1">
            <w:r w:rsidRPr="00737E17">
              <w:rPr>
                <w:rStyle w:val="Hiperpovezava"/>
                <w:noProof/>
              </w:rPr>
              <w:t>4.8 Občinske finance</w:t>
            </w:r>
            <w:r>
              <w:rPr>
                <w:noProof/>
                <w:webHidden/>
              </w:rPr>
              <w:tab/>
            </w:r>
            <w:r>
              <w:rPr>
                <w:noProof/>
                <w:webHidden/>
              </w:rPr>
              <w:fldChar w:fldCharType="begin"/>
            </w:r>
            <w:r>
              <w:rPr>
                <w:noProof/>
                <w:webHidden/>
              </w:rPr>
              <w:instrText xml:space="preserve"> PAGEREF _Toc239414902 \h </w:instrText>
            </w:r>
            <w:r>
              <w:rPr>
                <w:noProof/>
                <w:webHidden/>
              </w:rPr>
            </w:r>
            <w:r>
              <w:rPr>
                <w:noProof/>
                <w:webHidden/>
              </w:rPr>
              <w:fldChar w:fldCharType="separate"/>
            </w:r>
            <w:r>
              <w:rPr>
                <w:noProof/>
                <w:webHidden/>
              </w:rPr>
              <w:t>13</w:t>
            </w:r>
            <w:r>
              <w:rPr>
                <w:noProof/>
                <w:webHidden/>
              </w:rPr>
              <w:fldChar w:fldCharType="end"/>
            </w:r>
          </w:hyperlink>
        </w:p>
        <w:p w14:paraId="3EA73A00" w14:textId="4A2103D6" w:rsidR="00396322" w:rsidRDefault="00396322" w:rsidP="00396322">
          <w:pPr>
            <w:pStyle w:val="Kazalovsebine1"/>
            <w:tabs>
              <w:tab w:val="left" w:pos="440"/>
              <w:tab w:val="right" w:leader="dot" w:pos="9628"/>
            </w:tabs>
            <w:spacing w:after="0" w:line="300" w:lineRule="atLeast"/>
            <w:rPr>
              <w:rFonts w:eastAsiaTheme="minorEastAsia"/>
              <w:noProof/>
              <w:sz w:val="24"/>
              <w:szCs w:val="24"/>
              <w:lang w:eastAsia="sl-SI"/>
            </w:rPr>
          </w:pPr>
          <w:hyperlink w:anchor="_Toc239414903" w:history="1">
            <w:r w:rsidRPr="00737E17">
              <w:rPr>
                <w:rStyle w:val="Hiperpovezava"/>
                <w:noProof/>
              </w:rPr>
              <w:t>5</w:t>
            </w:r>
            <w:r>
              <w:rPr>
                <w:rFonts w:eastAsiaTheme="minorEastAsia"/>
                <w:noProof/>
                <w:sz w:val="24"/>
                <w:szCs w:val="24"/>
                <w:lang w:eastAsia="sl-SI"/>
              </w:rPr>
              <w:tab/>
            </w:r>
            <w:r w:rsidRPr="00737E17">
              <w:rPr>
                <w:rStyle w:val="Hiperpovezava"/>
                <w:noProof/>
              </w:rPr>
              <w:t>Vizija razvoja Mestne občine Nova Gorica do leta 2045</w:t>
            </w:r>
            <w:r>
              <w:rPr>
                <w:noProof/>
                <w:webHidden/>
              </w:rPr>
              <w:tab/>
            </w:r>
            <w:r>
              <w:rPr>
                <w:noProof/>
                <w:webHidden/>
              </w:rPr>
              <w:fldChar w:fldCharType="begin"/>
            </w:r>
            <w:r>
              <w:rPr>
                <w:noProof/>
                <w:webHidden/>
              </w:rPr>
              <w:instrText xml:space="preserve"> PAGEREF _Toc239414903 \h </w:instrText>
            </w:r>
            <w:r>
              <w:rPr>
                <w:noProof/>
                <w:webHidden/>
              </w:rPr>
            </w:r>
            <w:r>
              <w:rPr>
                <w:noProof/>
                <w:webHidden/>
              </w:rPr>
              <w:fldChar w:fldCharType="separate"/>
            </w:r>
            <w:r>
              <w:rPr>
                <w:noProof/>
                <w:webHidden/>
              </w:rPr>
              <w:t>14</w:t>
            </w:r>
            <w:r>
              <w:rPr>
                <w:noProof/>
                <w:webHidden/>
              </w:rPr>
              <w:fldChar w:fldCharType="end"/>
            </w:r>
          </w:hyperlink>
        </w:p>
        <w:p w14:paraId="3068DC68" w14:textId="78B4BA8D" w:rsidR="00396322" w:rsidRDefault="00396322" w:rsidP="00396322">
          <w:pPr>
            <w:pStyle w:val="Kazalovsebine1"/>
            <w:tabs>
              <w:tab w:val="left" w:pos="440"/>
              <w:tab w:val="right" w:leader="dot" w:pos="9628"/>
            </w:tabs>
            <w:spacing w:after="0" w:line="300" w:lineRule="atLeast"/>
            <w:rPr>
              <w:rFonts w:eastAsiaTheme="minorEastAsia"/>
              <w:noProof/>
              <w:sz w:val="24"/>
              <w:szCs w:val="24"/>
              <w:lang w:eastAsia="sl-SI"/>
            </w:rPr>
          </w:pPr>
          <w:hyperlink w:anchor="_Toc239414904" w:history="1">
            <w:r w:rsidRPr="00737E17">
              <w:rPr>
                <w:rStyle w:val="Hiperpovezava"/>
                <w:noProof/>
              </w:rPr>
              <w:t>6</w:t>
            </w:r>
            <w:r>
              <w:rPr>
                <w:rFonts w:eastAsiaTheme="minorEastAsia"/>
                <w:noProof/>
                <w:sz w:val="24"/>
                <w:szCs w:val="24"/>
                <w:lang w:eastAsia="sl-SI"/>
              </w:rPr>
              <w:tab/>
            </w:r>
            <w:r w:rsidRPr="00737E17">
              <w:rPr>
                <w:rStyle w:val="Hiperpovezava"/>
                <w:noProof/>
              </w:rPr>
              <w:t>Horizontalni načeli razvoja</w:t>
            </w:r>
            <w:r>
              <w:rPr>
                <w:noProof/>
                <w:webHidden/>
              </w:rPr>
              <w:tab/>
            </w:r>
            <w:r>
              <w:rPr>
                <w:noProof/>
                <w:webHidden/>
              </w:rPr>
              <w:fldChar w:fldCharType="begin"/>
            </w:r>
            <w:r>
              <w:rPr>
                <w:noProof/>
                <w:webHidden/>
              </w:rPr>
              <w:instrText xml:space="preserve"> PAGEREF _Toc239414904 \h </w:instrText>
            </w:r>
            <w:r>
              <w:rPr>
                <w:noProof/>
                <w:webHidden/>
              </w:rPr>
            </w:r>
            <w:r>
              <w:rPr>
                <w:noProof/>
                <w:webHidden/>
              </w:rPr>
              <w:fldChar w:fldCharType="separate"/>
            </w:r>
            <w:r>
              <w:rPr>
                <w:noProof/>
                <w:webHidden/>
              </w:rPr>
              <w:t>15</w:t>
            </w:r>
            <w:r>
              <w:rPr>
                <w:noProof/>
                <w:webHidden/>
              </w:rPr>
              <w:fldChar w:fldCharType="end"/>
            </w:r>
          </w:hyperlink>
        </w:p>
        <w:p w14:paraId="41DC436B" w14:textId="00F1AABA" w:rsidR="00396322" w:rsidRDefault="00396322" w:rsidP="00396322">
          <w:pPr>
            <w:pStyle w:val="Kazalovsebine1"/>
            <w:tabs>
              <w:tab w:val="left" w:pos="440"/>
              <w:tab w:val="right" w:leader="dot" w:pos="9628"/>
            </w:tabs>
            <w:spacing w:after="0" w:line="300" w:lineRule="atLeast"/>
            <w:rPr>
              <w:rFonts w:eastAsiaTheme="minorEastAsia"/>
              <w:noProof/>
              <w:sz w:val="24"/>
              <w:szCs w:val="24"/>
              <w:lang w:eastAsia="sl-SI"/>
            </w:rPr>
          </w:pPr>
          <w:hyperlink w:anchor="_Toc239414905" w:history="1">
            <w:r w:rsidRPr="00737E17">
              <w:rPr>
                <w:rStyle w:val="Hiperpovezava"/>
                <w:noProof/>
              </w:rPr>
              <w:t>7</w:t>
            </w:r>
            <w:r>
              <w:rPr>
                <w:rFonts w:eastAsiaTheme="minorEastAsia"/>
                <w:noProof/>
                <w:sz w:val="24"/>
                <w:szCs w:val="24"/>
                <w:lang w:eastAsia="sl-SI"/>
              </w:rPr>
              <w:tab/>
            </w:r>
            <w:r w:rsidRPr="00737E17">
              <w:rPr>
                <w:rStyle w:val="Hiperpovezava"/>
                <w:noProof/>
              </w:rPr>
              <w:t>Razvojni stebri in strateški cilji</w:t>
            </w:r>
            <w:r>
              <w:rPr>
                <w:noProof/>
                <w:webHidden/>
              </w:rPr>
              <w:tab/>
            </w:r>
            <w:r>
              <w:rPr>
                <w:noProof/>
                <w:webHidden/>
              </w:rPr>
              <w:fldChar w:fldCharType="begin"/>
            </w:r>
            <w:r>
              <w:rPr>
                <w:noProof/>
                <w:webHidden/>
              </w:rPr>
              <w:instrText xml:space="preserve"> PAGEREF _Toc239414905 \h </w:instrText>
            </w:r>
            <w:r>
              <w:rPr>
                <w:noProof/>
                <w:webHidden/>
              </w:rPr>
            </w:r>
            <w:r>
              <w:rPr>
                <w:noProof/>
                <w:webHidden/>
              </w:rPr>
              <w:fldChar w:fldCharType="separate"/>
            </w:r>
            <w:r>
              <w:rPr>
                <w:noProof/>
                <w:webHidden/>
              </w:rPr>
              <w:t>17</w:t>
            </w:r>
            <w:r>
              <w:rPr>
                <w:noProof/>
                <w:webHidden/>
              </w:rPr>
              <w:fldChar w:fldCharType="end"/>
            </w:r>
          </w:hyperlink>
        </w:p>
        <w:p w14:paraId="3A133E35" w14:textId="7DCD144B" w:rsidR="00396322" w:rsidRDefault="00396322" w:rsidP="00396322">
          <w:pPr>
            <w:pStyle w:val="Kazalovsebine2"/>
            <w:rPr>
              <w:rFonts w:eastAsiaTheme="minorEastAsia"/>
              <w:noProof/>
              <w:sz w:val="24"/>
              <w:szCs w:val="24"/>
              <w:lang w:eastAsia="sl-SI"/>
            </w:rPr>
          </w:pPr>
          <w:hyperlink w:anchor="_Toc239414906" w:history="1">
            <w:r w:rsidRPr="00737E17">
              <w:rPr>
                <w:rStyle w:val="Hiperpovezava"/>
                <w:noProof/>
              </w:rPr>
              <w:t>7.1</w:t>
            </w:r>
            <w:r>
              <w:rPr>
                <w:rFonts w:eastAsiaTheme="minorEastAsia"/>
                <w:noProof/>
                <w:sz w:val="24"/>
                <w:szCs w:val="24"/>
                <w:lang w:eastAsia="sl-SI"/>
              </w:rPr>
              <w:tab/>
            </w:r>
            <w:r w:rsidRPr="00737E17">
              <w:rPr>
                <w:rStyle w:val="Hiperpovezava"/>
                <w:noProof/>
              </w:rPr>
              <w:t>A - AMBICIOZNO GOSPODARSTVO</w:t>
            </w:r>
            <w:r>
              <w:rPr>
                <w:noProof/>
                <w:webHidden/>
              </w:rPr>
              <w:tab/>
            </w:r>
            <w:r>
              <w:rPr>
                <w:noProof/>
                <w:webHidden/>
              </w:rPr>
              <w:fldChar w:fldCharType="begin"/>
            </w:r>
            <w:r>
              <w:rPr>
                <w:noProof/>
                <w:webHidden/>
              </w:rPr>
              <w:instrText xml:space="preserve"> PAGEREF _Toc239414906 \h </w:instrText>
            </w:r>
            <w:r>
              <w:rPr>
                <w:noProof/>
                <w:webHidden/>
              </w:rPr>
            </w:r>
            <w:r>
              <w:rPr>
                <w:noProof/>
                <w:webHidden/>
              </w:rPr>
              <w:fldChar w:fldCharType="separate"/>
            </w:r>
            <w:r>
              <w:rPr>
                <w:noProof/>
                <w:webHidden/>
              </w:rPr>
              <w:t>18</w:t>
            </w:r>
            <w:r>
              <w:rPr>
                <w:noProof/>
                <w:webHidden/>
              </w:rPr>
              <w:fldChar w:fldCharType="end"/>
            </w:r>
          </w:hyperlink>
        </w:p>
        <w:p w14:paraId="0F464508" w14:textId="27E511F4" w:rsidR="00396322" w:rsidRDefault="00396322" w:rsidP="00396322">
          <w:pPr>
            <w:pStyle w:val="Kazalovsebine2"/>
            <w:rPr>
              <w:rFonts w:eastAsiaTheme="minorEastAsia"/>
              <w:noProof/>
              <w:sz w:val="24"/>
              <w:szCs w:val="24"/>
              <w:lang w:eastAsia="sl-SI"/>
            </w:rPr>
          </w:pPr>
          <w:hyperlink w:anchor="_Toc239414907" w:history="1">
            <w:r w:rsidRPr="00737E17">
              <w:rPr>
                <w:rStyle w:val="Hiperpovezava"/>
                <w:noProof/>
              </w:rPr>
              <w:t>7.2</w:t>
            </w:r>
            <w:r>
              <w:rPr>
                <w:rFonts w:eastAsiaTheme="minorEastAsia"/>
                <w:noProof/>
                <w:sz w:val="24"/>
                <w:szCs w:val="24"/>
                <w:lang w:eastAsia="sl-SI"/>
              </w:rPr>
              <w:tab/>
            </w:r>
            <w:r w:rsidRPr="00737E17">
              <w:rPr>
                <w:rStyle w:val="Hiperpovezava"/>
                <w:noProof/>
              </w:rPr>
              <w:t>B - VKLJUČUJOČA DRUŽBA</w:t>
            </w:r>
            <w:r>
              <w:rPr>
                <w:noProof/>
                <w:webHidden/>
              </w:rPr>
              <w:tab/>
            </w:r>
            <w:r>
              <w:rPr>
                <w:noProof/>
                <w:webHidden/>
              </w:rPr>
              <w:fldChar w:fldCharType="begin"/>
            </w:r>
            <w:r>
              <w:rPr>
                <w:noProof/>
                <w:webHidden/>
              </w:rPr>
              <w:instrText xml:space="preserve"> PAGEREF _Toc239414907 \h </w:instrText>
            </w:r>
            <w:r>
              <w:rPr>
                <w:noProof/>
                <w:webHidden/>
              </w:rPr>
            </w:r>
            <w:r>
              <w:rPr>
                <w:noProof/>
                <w:webHidden/>
              </w:rPr>
              <w:fldChar w:fldCharType="separate"/>
            </w:r>
            <w:r>
              <w:rPr>
                <w:noProof/>
                <w:webHidden/>
              </w:rPr>
              <w:t>19</w:t>
            </w:r>
            <w:r>
              <w:rPr>
                <w:noProof/>
                <w:webHidden/>
              </w:rPr>
              <w:fldChar w:fldCharType="end"/>
            </w:r>
          </w:hyperlink>
        </w:p>
        <w:p w14:paraId="15D30C37" w14:textId="6FD48B43" w:rsidR="00396322" w:rsidRDefault="00396322" w:rsidP="00396322">
          <w:pPr>
            <w:pStyle w:val="Kazalovsebine2"/>
            <w:rPr>
              <w:rFonts w:eastAsiaTheme="minorEastAsia"/>
              <w:noProof/>
              <w:sz w:val="24"/>
              <w:szCs w:val="24"/>
              <w:lang w:eastAsia="sl-SI"/>
            </w:rPr>
          </w:pPr>
          <w:hyperlink w:anchor="_Toc239414908" w:history="1">
            <w:r w:rsidRPr="00737E17">
              <w:rPr>
                <w:rStyle w:val="Hiperpovezava"/>
                <w:noProof/>
              </w:rPr>
              <w:t>7.3</w:t>
            </w:r>
            <w:r>
              <w:rPr>
                <w:rFonts w:eastAsiaTheme="minorEastAsia"/>
                <w:noProof/>
                <w:sz w:val="24"/>
                <w:szCs w:val="24"/>
                <w:lang w:eastAsia="sl-SI"/>
              </w:rPr>
              <w:tab/>
            </w:r>
            <w:r w:rsidRPr="00737E17">
              <w:rPr>
                <w:rStyle w:val="Hiperpovezava"/>
                <w:noProof/>
              </w:rPr>
              <w:t>C - MESTO PRILOŽNOSTI</w:t>
            </w:r>
            <w:r>
              <w:rPr>
                <w:noProof/>
                <w:webHidden/>
              </w:rPr>
              <w:tab/>
            </w:r>
            <w:r>
              <w:rPr>
                <w:noProof/>
                <w:webHidden/>
              </w:rPr>
              <w:fldChar w:fldCharType="begin"/>
            </w:r>
            <w:r>
              <w:rPr>
                <w:noProof/>
                <w:webHidden/>
              </w:rPr>
              <w:instrText xml:space="preserve"> PAGEREF _Toc239414908 \h </w:instrText>
            </w:r>
            <w:r>
              <w:rPr>
                <w:noProof/>
                <w:webHidden/>
              </w:rPr>
            </w:r>
            <w:r>
              <w:rPr>
                <w:noProof/>
                <w:webHidden/>
              </w:rPr>
              <w:fldChar w:fldCharType="separate"/>
            </w:r>
            <w:r>
              <w:rPr>
                <w:noProof/>
                <w:webHidden/>
              </w:rPr>
              <w:t>21</w:t>
            </w:r>
            <w:r>
              <w:rPr>
                <w:noProof/>
                <w:webHidden/>
              </w:rPr>
              <w:fldChar w:fldCharType="end"/>
            </w:r>
          </w:hyperlink>
        </w:p>
        <w:p w14:paraId="5C885852" w14:textId="46E4C036" w:rsidR="00396322" w:rsidRDefault="00396322" w:rsidP="00396322">
          <w:pPr>
            <w:pStyle w:val="Kazalovsebine2"/>
            <w:rPr>
              <w:rFonts w:eastAsiaTheme="minorEastAsia"/>
              <w:noProof/>
              <w:sz w:val="24"/>
              <w:szCs w:val="24"/>
              <w:lang w:eastAsia="sl-SI"/>
            </w:rPr>
          </w:pPr>
          <w:hyperlink w:anchor="_Toc239414909" w:history="1">
            <w:r w:rsidRPr="00737E17">
              <w:rPr>
                <w:rStyle w:val="Hiperpovezava"/>
                <w:noProof/>
              </w:rPr>
              <w:t>7.4</w:t>
            </w:r>
            <w:r>
              <w:rPr>
                <w:rFonts w:eastAsiaTheme="minorEastAsia"/>
                <w:noProof/>
                <w:sz w:val="24"/>
                <w:szCs w:val="24"/>
                <w:lang w:eastAsia="sl-SI"/>
              </w:rPr>
              <w:tab/>
            </w:r>
            <w:r w:rsidRPr="00737E17">
              <w:rPr>
                <w:rStyle w:val="Hiperpovezava"/>
                <w:noProof/>
              </w:rPr>
              <w:t>D – VITALNO PODEŽELJE</w:t>
            </w:r>
            <w:r>
              <w:rPr>
                <w:noProof/>
                <w:webHidden/>
              </w:rPr>
              <w:tab/>
            </w:r>
            <w:r>
              <w:rPr>
                <w:noProof/>
                <w:webHidden/>
              </w:rPr>
              <w:fldChar w:fldCharType="begin"/>
            </w:r>
            <w:r>
              <w:rPr>
                <w:noProof/>
                <w:webHidden/>
              </w:rPr>
              <w:instrText xml:space="preserve"> PAGEREF _Toc239414909 \h </w:instrText>
            </w:r>
            <w:r>
              <w:rPr>
                <w:noProof/>
                <w:webHidden/>
              </w:rPr>
            </w:r>
            <w:r>
              <w:rPr>
                <w:noProof/>
                <w:webHidden/>
              </w:rPr>
              <w:fldChar w:fldCharType="separate"/>
            </w:r>
            <w:r>
              <w:rPr>
                <w:noProof/>
                <w:webHidden/>
              </w:rPr>
              <w:t>23</w:t>
            </w:r>
            <w:r>
              <w:rPr>
                <w:noProof/>
                <w:webHidden/>
              </w:rPr>
              <w:fldChar w:fldCharType="end"/>
            </w:r>
          </w:hyperlink>
        </w:p>
        <w:p w14:paraId="75B1206C" w14:textId="5A81342A" w:rsidR="00396322" w:rsidRDefault="00396322" w:rsidP="00396322">
          <w:pPr>
            <w:pStyle w:val="Kazalovsebine2"/>
            <w:rPr>
              <w:rFonts w:eastAsiaTheme="minorEastAsia"/>
              <w:noProof/>
              <w:sz w:val="24"/>
              <w:szCs w:val="24"/>
              <w:lang w:eastAsia="sl-SI"/>
            </w:rPr>
          </w:pPr>
          <w:hyperlink w:anchor="_Toc239414910" w:history="1">
            <w:r w:rsidRPr="00737E17">
              <w:rPr>
                <w:rStyle w:val="Hiperpovezava"/>
                <w:noProof/>
              </w:rPr>
              <w:t>7.5</w:t>
            </w:r>
            <w:r>
              <w:rPr>
                <w:rFonts w:eastAsiaTheme="minorEastAsia"/>
                <w:noProof/>
                <w:sz w:val="24"/>
                <w:szCs w:val="24"/>
                <w:lang w:eastAsia="sl-SI"/>
              </w:rPr>
              <w:tab/>
            </w:r>
            <w:r w:rsidRPr="00737E17">
              <w:rPr>
                <w:rStyle w:val="Hiperpovezava"/>
                <w:noProof/>
              </w:rPr>
              <w:t>E – GORIŠKA EVROREGIJA</w:t>
            </w:r>
            <w:r>
              <w:rPr>
                <w:noProof/>
                <w:webHidden/>
              </w:rPr>
              <w:tab/>
            </w:r>
            <w:r>
              <w:rPr>
                <w:noProof/>
                <w:webHidden/>
              </w:rPr>
              <w:fldChar w:fldCharType="begin"/>
            </w:r>
            <w:r>
              <w:rPr>
                <w:noProof/>
                <w:webHidden/>
              </w:rPr>
              <w:instrText xml:space="preserve"> PAGEREF _Toc239414910 \h </w:instrText>
            </w:r>
            <w:r>
              <w:rPr>
                <w:noProof/>
                <w:webHidden/>
              </w:rPr>
            </w:r>
            <w:r>
              <w:rPr>
                <w:noProof/>
                <w:webHidden/>
              </w:rPr>
              <w:fldChar w:fldCharType="separate"/>
            </w:r>
            <w:r>
              <w:rPr>
                <w:noProof/>
                <w:webHidden/>
              </w:rPr>
              <w:t>25</w:t>
            </w:r>
            <w:r>
              <w:rPr>
                <w:noProof/>
                <w:webHidden/>
              </w:rPr>
              <w:fldChar w:fldCharType="end"/>
            </w:r>
          </w:hyperlink>
        </w:p>
        <w:p w14:paraId="2735B8E3" w14:textId="087B28B2" w:rsidR="00396322" w:rsidRDefault="00396322" w:rsidP="00396322">
          <w:pPr>
            <w:pStyle w:val="Kazalovsebine1"/>
            <w:tabs>
              <w:tab w:val="left" w:pos="440"/>
              <w:tab w:val="right" w:leader="dot" w:pos="9628"/>
            </w:tabs>
            <w:spacing w:after="0" w:line="300" w:lineRule="atLeast"/>
            <w:rPr>
              <w:rFonts w:eastAsiaTheme="minorEastAsia"/>
              <w:noProof/>
              <w:sz w:val="24"/>
              <w:szCs w:val="24"/>
              <w:lang w:eastAsia="sl-SI"/>
            </w:rPr>
          </w:pPr>
          <w:hyperlink w:anchor="_Toc239414911" w:history="1">
            <w:r w:rsidRPr="00737E17">
              <w:rPr>
                <w:rStyle w:val="Hiperpovezava"/>
                <w:noProof/>
              </w:rPr>
              <w:t>8</w:t>
            </w:r>
            <w:r>
              <w:rPr>
                <w:rFonts w:eastAsiaTheme="minorEastAsia"/>
                <w:noProof/>
                <w:sz w:val="24"/>
                <w:szCs w:val="24"/>
                <w:lang w:eastAsia="sl-SI"/>
              </w:rPr>
              <w:tab/>
            </w:r>
            <w:r w:rsidRPr="00737E17">
              <w:rPr>
                <w:rStyle w:val="Hiperpovezava"/>
                <w:noProof/>
              </w:rPr>
              <w:t>Strateški projekti in programski sklopi</w:t>
            </w:r>
            <w:r>
              <w:rPr>
                <w:noProof/>
                <w:webHidden/>
              </w:rPr>
              <w:tab/>
            </w:r>
            <w:r>
              <w:rPr>
                <w:noProof/>
                <w:webHidden/>
              </w:rPr>
              <w:fldChar w:fldCharType="begin"/>
            </w:r>
            <w:r>
              <w:rPr>
                <w:noProof/>
                <w:webHidden/>
              </w:rPr>
              <w:instrText xml:space="preserve"> PAGEREF _Toc239414911 \h </w:instrText>
            </w:r>
            <w:r>
              <w:rPr>
                <w:noProof/>
                <w:webHidden/>
              </w:rPr>
            </w:r>
            <w:r>
              <w:rPr>
                <w:noProof/>
                <w:webHidden/>
              </w:rPr>
              <w:fldChar w:fldCharType="separate"/>
            </w:r>
            <w:r>
              <w:rPr>
                <w:noProof/>
                <w:webHidden/>
              </w:rPr>
              <w:t>27</w:t>
            </w:r>
            <w:r>
              <w:rPr>
                <w:noProof/>
                <w:webHidden/>
              </w:rPr>
              <w:fldChar w:fldCharType="end"/>
            </w:r>
          </w:hyperlink>
        </w:p>
        <w:p w14:paraId="5302946F" w14:textId="3EA69591" w:rsidR="00396322" w:rsidRDefault="00396322" w:rsidP="00396322">
          <w:pPr>
            <w:pStyle w:val="Kazalovsebine1"/>
            <w:tabs>
              <w:tab w:val="left" w:pos="440"/>
              <w:tab w:val="right" w:leader="dot" w:pos="9628"/>
            </w:tabs>
            <w:spacing w:after="0" w:line="300" w:lineRule="atLeast"/>
            <w:rPr>
              <w:rFonts w:eastAsiaTheme="minorEastAsia"/>
              <w:noProof/>
              <w:sz w:val="24"/>
              <w:szCs w:val="24"/>
              <w:lang w:eastAsia="sl-SI"/>
            </w:rPr>
          </w:pPr>
          <w:hyperlink w:anchor="_Toc239414912" w:history="1">
            <w:r w:rsidRPr="00737E17">
              <w:rPr>
                <w:rStyle w:val="Hiperpovezava"/>
                <w:noProof/>
              </w:rPr>
              <w:t>9</w:t>
            </w:r>
            <w:r>
              <w:rPr>
                <w:rFonts w:eastAsiaTheme="minorEastAsia"/>
                <w:noProof/>
                <w:sz w:val="24"/>
                <w:szCs w:val="24"/>
                <w:lang w:eastAsia="sl-SI"/>
              </w:rPr>
              <w:tab/>
            </w:r>
            <w:r w:rsidRPr="00737E17">
              <w:rPr>
                <w:rStyle w:val="Hiperpovezava"/>
                <w:noProof/>
              </w:rPr>
              <w:t>Od strategije do izvedbe</w:t>
            </w:r>
            <w:r>
              <w:rPr>
                <w:noProof/>
                <w:webHidden/>
              </w:rPr>
              <w:tab/>
            </w:r>
            <w:r>
              <w:rPr>
                <w:noProof/>
                <w:webHidden/>
              </w:rPr>
              <w:fldChar w:fldCharType="begin"/>
            </w:r>
            <w:r>
              <w:rPr>
                <w:noProof/>
                <w:webHidden/>
              </w:rPr>
              <w:instrText xml:space="preserve"> PAGEREF _Toc239414912 \h </w:instrText>
            </w:r>
            <w:r>
              <w:rPr>
                <w:noProof/>
                <w:webHidden/>
              </w:rPr>
            </w:r>
            <w:r>
              <w:rPr>
                <w:noProof/>
                <w:webHidden/>
              </w:rPr>
              <w:fldChar w:fldCharType="separate"/>
            </w:r>
            <w:r>
              <w:rPr>
                <w:noProof/>
                <w:webHidden/>
              </w:rPr>
              <w:t>30</w:t>
            </w:r>
            <w:r>
              <w:rPr>
                <w:noProof/>
                <w:webHidden/>
              </w:rPr>
              <w:fldChar w:fldCharType="end"/>
            </w:r>
          </w:hyperlink>
        </w:p>
        <w:p w14:paraId="25055A77" w14:textId="728B0291" w:rsidR="00396322" w:rsidRDefault="00396322" w:rsidP="00396322">
          <w:pPr>
            <w:pStyle w:val="Kazalovsebine1"/>
            <w:tabs>
              <w:tab w:val="left" w:pos="720"/>
              <w:tab w:val="right" w:leader="dot" w:pos="9628"/>
            </w:tabs>
            <w:spacing w:after="0" w:line="300" w:lineRule="atLeast"/>
            <w:rPr>
              <w:rFonts w:eastAsiaTheme="minorEastAsia"/>
              <w:noProof/>
              <w:sz w:val="24"/>
              <w:szCs w:val="24"/>
              <w:lang w:eastAsia="sl-SI"/>
            </w:rPr>
          </w:pPr>
          <w:hyperlink w:anchor="_Toc239414913" w:history="1">
            <w:r w:rsidRPr="00737E17">
              <w:rPr>
                <w:rStyle w:val="Hiperpovezava"/>
                <w:noProof/>
              </w:rPr>
              <w:t>10</w:t>
            </w:r>
            <w:r>
              <w:rPr>
                <w:rFonts w:eastAsiaTheme="minorEastAsia"/>
                <w:noProof/>
                <w:sz w:val="24"/>
                <w:szCs w:val="24"/>
                <w:lang w:eastAsia="sl-SI"/>
              </w:rPr>
              <w:tab/>
            </w:r>
            <w:r w:rsidRPr="00737E17">
              <w:rPr>
                <w:rStyle w:val="Hiperpovezava"/>
                <w:noProof/>
              </w:rPr>
              <w:t>Spremljanje napredka</w:t>
            </w:r>
            <w:r>
              <w:rPr>
                <w:noProof/>
                <w:webHidden/>
              </w:rPr>
              <w:tab/>
            </w:r>
            <w:r>
              <w:rPr>
                <w:noProof/>
                <w:webHidden/>
              </w:rPr>
              <w:fldChar w:fldCharType="begin"/>
            </w:r>
            <w:r>
              <w:rPr>
                <w:noProof/>
                <w:webHidden/>
              </w:rPr>
              <w:instrText xml:space="preserve"> PAGEREF _Toc239414913 \h </w:instrText>
            </w:r>
            <w:r>
              <w:rPr>
                <w:noProof/>
                <w:webHidden/>
              </w:rPr>
            </w:r>
            <w:r>
              <w:rPr>
                <w:noProof/>
                <w:webHidden/>
              </w:rPr>
              <w:fldChar w:fldCharType="separate"/>
            </w:r>
            <w:r>
              <w:rPr>
                <w:noProof/>
                <w:webHidden/>
              </w:rPr>
              <w:t>31</w:t>
            </w:r>
            <w:r>
              <w:rPr>
                <w:noProof/>
                <w:webHidden/>
              </w:rPr>
              <w:fldChar w:fldCharType="end"/>
            </w:r>
          </w:hyperlink>
        </w:p>
        <w:p w14:paraId="596C4F89" w14:textId="2C122CF8" w:rsidR="00396322" w:rsidRDefault="00396322" w:rsidP="00396322">
          <w:pPr>
            <w:pStyle w:val="Kazalovsebine1"/>
            <w:tabs>
              <w:tab w:val="left" w:pos="720"/>
              <w:tab w:val="right" w:leader="dot" w:pos="9628"/>
            </w:tabs>
            <w:spacing w:after="0" w:line="300" w:lineRule="atLeast"/>
            <w:rPr>
              <w:rFonts w:eastAsiaTheme="minorEastAsia"/>
              <w:noProof/>
              <w:sz w:val="24"/>
              <w:szCs w:val="24"/>
              <w:lang w:eastAsia="sl-SI"/>
            </w:rPr>
          </w:pPr>
          <w:hyperlink w:anchor="_Toc239414914" w:history="1">
            <w:r w:rsidRPr="00737E17">
              <w:rPr>
                <w:rStyle w:val="Hiperpovezava"/>
                <w:noProof/>
              </w:rPr>
              <w:t>11</w:t>
            </w:r>
            <w:r>
              <w:rPr>
                <w:rFonts w:eastAsiaTheme="minorEastAsia"/>
                <w:noProof/>
                <w:sz w:val="24"/>
                <w:szCs w:val="24"/>
                <w:lang w:eastAsia="sl-SI"/>
              </w:rPr>
              <w:tab/>
            </w:r>
            <w:r w:rsidRPr="00737E17">
              <w:rPr>
                <w:rStyle w:val="Hiperpovezava"/>
                <w:noProof/>
              </w:rPr>
              <w:t>Skupni razvojni dogovor do leta 2045</w:t>
            </w:r>
            <w:r>
              <w:rPr>
                <w:noProof/>
                <w:webHidden/>
              </w:rPr>
              <w:tab/>
            </w:r>
            <w:r>
              <w:rPr>
                <w:noProof/>
                <w:webHidden/>
              </w:rPr>
              <w:fldChar w:fldCharType="begin"/>
            </w:r>
            <w:r>
              <w:rPr>
                <w:noProof/>
                <w:webHidden/>
              </w:rPr>
              <w:instrText xml:space="preserve"> PAGEREF _Toc239414914 \h </w:instrText>
            </w:r>
            <w:r>
              <w:rPr>
                <w:noProof/>
                <w:webHidden/>
              </w:rPr>
            </w:r>
            <w:r>
              <w:rPr>
                <w:noProof/>
                <w:webHidden/>
              </w:rPr>
              <w:fldChar w:fldCharType="separate"/>
            </w:r>
            <w:r>
              <w:rPr>
                <w:noProof/>
                <w:webHidden/>
              </w:rPr>
              <w:t>31</w:t>
            </w:r>
            <w:r>
              <w:rPr>
                <w:noProof/>
                <w:webHidden/>
              </w:rPr>
              <w:fldChar w:fldCharType="end"/>
            </w:r>
          </w:hyperlink>
        </w:p>
        <w:p w14:paraId="2B341F7A" w14:textId="400FF6B2" w:rsidR="00396322" w:rsidRDefault="00396322" w:rsidP="00396322">
          <w:pPr>
            <w:pStyle w:val="Kazalovsebine1"/>
            <w:tabs>
              <w:tab w:val="right" w:leader="dot" w:pos="9628"/>
            </w:tabs>
            <w:spacing w:after="0" w:line="300" w:lineRule="atLeast"/>
            <w:rPr>
              <w:rFonts w:eastAsiaTheme="minorEastAsia"/>
              <w:noProof/>
              <w:sz w:val="24"/>
              <w:szCs w:val="24"/>
              <w:lang w:eastAsia="sl-SI"/>
            </w:rPr>
          </w:pPr>
          <w:hyperlink w:anchor="_Toc239414915" w:history="1">
            <w:r w:rsidRPr="00737E17">
              <w:rPr>
                <w:rStyle w:val="Hiperpovezava"/>
                <w:noProof/>
              </w:rPr>
              <w:t>PRILOGE</w:t>
            </w:r>
            <w:r>
              <w:rPr>
                <w:noProof/>
                <w:webHidden/>
              </w:rPr>
              <w:tab/>
            </w:r>
            <w:r>
              <w:rPr>
                <w:noProof/>
                <w:webHidden/>
              </w:rPr>
              <w:fldChar w:fldCharType="begin"/>
            </w:r>
            <w:r>
              <w:rPr>
                <w:noProof/>
                <w:webHidden/>
              </w:rPr>
              <w:instrText xml:space="preserve"> PAGEREF _Toc239414915 \h </w:instrText>
            </w:r>
            <w:r>
              <w:rPr>
                <w:noProof/>
                <w:webHidden/>
              </w:rPr>
            </w:r>
            <w:r>
              <w:rPr>
                <w:noProof/>
                <w:webHidden/>
              </w:rPr>
              <w:fldChar w:fldCharType="separate"/>
            </w:r>
            <w:r>
              <w:rPr>
                <w:noProof/>
                <w:webHidden/>
              </w:rPr>
              <w:t>33</w:t>
            </w:r>
            <w:r>
              <w:rPr>
                <w:noProof/>
                <w:webHidden/>
              </w:rPr>
              <w:fldChar w:fldCharType="end"/>
            </w:r>
          </w:hyperlink>
        </w:p>
        <w:p w14:paraId="09A84398" w14:textId="771B484C" w:rsidR="00396322" w:rsidRDefault="00396322" w:rsidP="00396322">
          <w:pPr>
            <w:pStyle w:val="Kazalovsebine2"/>
            <w:rPr>
              <w:rFonts w:eastAsiaTheme="minorEastAsia"/>
              <w:noProof/>
              <w:sz w:val="24"/>
              <w:szCs w:val="24"/>
              <w:lang w:eastAsia="sl-SI"/>
            </w:rPr>
          </w:pPr>
          <w:hyperlink w:anchor="_Toc239414916" w:history="1">
            <w:r w:rsidRPr="00737E17">
              <w:rPr>
                <w:rStyle w:val="Hiperpovezava"/>
                <w:noProof/>
              </w:rPr>
              <w:t>Priloga 1: Pregled investicijskih izdatkov v letih 2020 – 2025</w:t>
            </w:r>
            <w:r>
              <w:rPr>
                <w:noProof/>
                <w:webHidden/>
              </w:rPr>
              <w:tab/>
            </w:r>
            <w:r>
              <w:rPr>
                <w:noProof/>
                <w:webHidden/>
              </w:rPr>
              <w:fldChar w:fldCharType="begin"/>
            </w:r>
            <w:r>
              <w:rPr>
                <w:noProof/>
                <w:webHidden/>
              </w:rPr>
              <w:instrText xml:space="preserve"> PAGEREF _Toc239414916 \h </w:instrText>
            </w:r>
            <w:r>
              <w:rPr>
                <w:noProof/>
                <w:webHidden/>
              </w:rPr>
            </w:r>
            <w:r>
              <w:rPr>
                <w:noProof/>
                <w:webHidden/>
              </w:rPr>
              <w:fldChar w:fldCharType="separate"/>
            </w:r>
            <w:r>
              <w:rPr>
                <w:noProof/>
                <w:webHidden/>
              </w:rPr>
              <w:t>33</w:t>
            </w:r>
            <w:r>
              <w:rPr>
                <w:noProof/>
                <w:webHidden/>
              </w:rPr>
              <w:fldChar w:fldCharType="end"/>
            </w:r>
          </w:hyperlink>
        </w:p>
        <w:p w14:paraId="1735E182" w14:textId="7164A6DB" w:rsidR="00396322" w:rsidRDefault="00396322" w:rsidP="00396322">
          <w:pPr>
            <w:pStyle w:val="Kazalovsebine2"/>
            <w:rPr>
              <w:rFonts w:eastAsiaTheme="minorEastAsia"/>
              <w:noProof/>
              <w:sz w:val="24"/>
              <w:szCs w:val="24"/>
              <w:lang w:eastAsia="sl-SI"/>
            </w:rPr>
          </w:pPr>
          <w:hyperlink w:anchor="_Toc239414917" w:history="1">
            <w:r w:rsidRPr="00737E17">
              <w:rPr>
                <w:rStyle w:val="Hiperpovezava"/>
                <w:noProof/>
              </w:rPr>
              <w:t>Priloga 2: Podrobnejša opredelitev strateških kazalnikov</w:t>
            </w:r>
            <w:r>
              <w:rPr>
                <w:noProof/>
                <w:webHidden/>
              </w:rPr>
              <w:tab/>
            </w:r>
            <w:r>
              <w:rPr>
                <w:noProof/>
                <w:webHidden/>
              </w:rPr>
              <w:fldChar w:fldCharType="begin"/>
            </w:r>
            <w:r>
              <w:rPr>
                <w:noProof/>
                <w:webHidden/>
              </w:rPr>
              <w:instrText xml:space="preserve"> PAGEREF _Toc239414917 \h </w:instrText>
            </w:r>
            <w:r>
              <w:rPr>
                <w:noProof/>
                <w:webHidden/>
              </w:rPr>
            </w:r>
            <w:r>
              <w:rPr>
                <w:noProof/>
                <w:webHidden/>
              </w:rPr>
              <w:fldChar w:fldCharType="separate"/>
            </w:r>
            <w:r>
              <w:rPr>
                <w:noProof/>
                <w:webHidden/>
              </w:rPr>
              <w:t>35</w:t>
            </w:r>
            <w:r>
              <w:rPr>
                <w:noProof/>
                <w:webHidden/>
              </w:rPr>
              <w:fldChar w:fldCharType="end"/>
            </w:r>
          </w:hyperlink>
        </w:p>
        <w:p w14:paraId="0918F00D" w14:textId="78B9C9F6" w:rsidR="00396322" w:rsidRDefault="00396322" w:rsidP="00396322">
          <w:pPr>
            <w:pStyle w:val="Kazalovsebine2"/>
            <w:rPr>
              <w:rFonts w:eastAsiaTheme="minorEastAsia"/>
              <w:noProof/>
              <w:sz w:val="24"/>
              <w:szCs w:val="24"/>
              <w:lang w:eastAsia="sl-SI"/>
            </w:rPr>
          </w:pPr>
          <w:hyperlink w:anchor="_Toc239414918" w:history="1">
            <w:r w:rsidRPr="00737E17">
              <w:rPr>
                <w:rStyle w:val="Hiperpovezava"/>
                <w:noProof/>
              </w:rPr>
              <w:t>Priloga 3: Pregled strateških dokumentov in strokovnih podlag</w:t>
            </w:r>
            <w:r>
              <w:rPr>
                <w:noProof/>
                <w:webHidden/>
              </w:rPr>
              <w:tab/>
            </w:r>
            <w:r>
              <w:rPr>
                <w:noProof/>
                <w:webHidden/>
              </w:rPr>
              <w:fldChar w:fldCharType="begin"/>
            </w:r>
            <w:r>
              <w:rPr>
                <w:noProof/>
                <w:webHidden/>
              </w:rPr>
              <w:instrText xml:space="preserve"> PAGEREF _Toc239414918 \h </w:instrText>
            </w:r>
            <w:r>
              <w:rPr>
                <w:noProof/>
                <w:webHidden/>
              </w:rPr>
            </w:r>
            <w:r>
              <w:rPr>
                <w:noProof/>
                <w:webHidden/>
              </w:rPr>
              <w:fldChar w:fldCharType="separate"/>
            </w:r>
            <w:r>
              <w:rPr>
                <w:noProof/>
                <w:webHidden/>
              </w:rPr>
              <w:t>44</w:t>
            </w:r>
            <w:r>
              <w:rPr>
                <w:noProof/>
                <w:webHidden/>
              </w:rPr>
              <w:fldChar w:fldCharType="end"/>
            </w:r>
          </w:hyperlink>
        </w:p>
        <w:p w14:paraId="1CBDE290" w14:textId="4E406220" w:rsidR="00396322" w:rsidRDefault="00396322" w:rsidP="00396322">
          <w:pPr>
            <w:pStyle w:val="Kazalovsebine3"/>
            <w:tabs>
              <w:tab w:val="right" w:leader="dot" w:pos="9628"/>
            </w:tabs>
            <w:spacing w:after="0" w:line="300" w:lineRule="atLeast"/>
            <w:rPr>
              <w:rFonts w:eastAsiaTheme="minorEastAsia"/>
              <w:noProof/>
              <w:sz w:val="24"/>
              <w:szCs w:val="24"/>
              <w:lang w:eastAsia="sl-SI"/>
            </w:rPr>
          </w:pPr>
          <w:hyperlink w:anchor="_Toc239414919" w:history="1">
            <w:r w:rsidRPr="00737E17">
              <w:rPr>
                <w:rStyle w:val="Hiperpovezava"/>
                <w:noProof/>
              </w:rPr>
              <w:t>1 Strateške usmeritve države</w:t>
            </w:r>
            <w:r>
              <w:rPr>
                <w:noProof/>
                <w:webHidden/>
              </w:rPr>
              <w:tab/>
            </w:r>
            <w:r>
              <w:rPr>
                <w:noProof/>
                <w:webHidden/>
              </w:rPr>
              <w:fldChar w:fldCharType="begin"/>
            </w:r>
            <w:r>
              <w:rPr>
                <w:noProof/>
                <w:webHidden/>
              </w:rPr>
              <w:instrText xml:space="preserve"> PAGEREF _Toc239414919 \h </w:instrText>
            </w:r>
            <w:r>
              <w:rPr>
                <w:noProof/>
                <w:webHidden/>
              </w:rPr>
            </w:r>
            <w:r>
              <w:rPr>
                <w:noProof/>
                <w:webHidden/>
              </w:rPr>
              <w:fldChar w:fldCharType="separate"/>
            </w:r>
            <w:r>
              <w:rPr>
                <w:noProof/>
                <w:webHidden/>
              </w:rPr>
              <w:t>44</w:t>
            </w:r>
            <w:r>
              <w:rPr>
                <w:noProof/>
                <w:webHidden/>
              </w:rPr>
              <w:fldChar w:fldCharType="end"/>
            </w:r>
          </w:hyperlink>
        </w:p>
        <w:p w14:paraId="3BA97EDC" w14:textId="286D8D10" w:rsidR="00396322" w:rsidRDefault="00396322" w:rsidP="00396322">
          <w:pPr>
            <w:pStyle w:val="Kazalovsebine3"/>
            <w:tabs>
              <w:tab w:val="right" w:leader="dot" w:pos="9628"/>
            </w:tabs>
            <w:spacing w:after="0" w:line="300" w:lineRule="atLeast"/>
            <w:rPr>
              <w:rFonts w:eastAsiaTheme="minorEastAsia"/>
              <w:noProof/>
              <w:sz w:val="24"/>
              <w:szCs w:val="24"/>
              <w:lang w:eastAsia="sl-SI"/>
            </w:rPr>
          </w:pPr>
          <w:hyperlink w:anchor="_Toc239414920" w:history="1">
            <w:r w:rsidRPr="00737E17">
              <w:rPr>
                <w:rStyle w:val="Hiperpovezava"/>
                <w:noProof/>
              </w:rPr>
              <w:t>2 Obstoječe sektorske strategije Mestne občine Nova Gorica</w:t>
            </w:r>
            <w:r>
              <w:rPr>
                <w:noProof/>
                <w:webHidden/>
              </w:rPr>
              <w:tab/>
            </w:r>
            <w:r>
              <w:rPr>
                <w:noProof/>
                <w:webHidden/>
              </w:rPr>
              <w:fldChar w:fldCharType="begin"/>
            </w:r>
            <w:r>
              <w:rPr>
                <w:noProof/>
                <w:webHidden/>
              </w:rPr>
              <w:instrText xml:space="preserve"> PAGEREF _Toc239414920 \h </w:instrText>
            </w:r>
            <w:r>
              <w:rPr>
                <w:noProof/>
                <w:webHidden/>
              </w:rPr>
            </w:r>
            <w:r>
              <w:rPr>
                <w:noProof/>
                <w:webHidden/>
              </w:rPr>
              <w:fldChar w:fldCharType="separate"/>
            </w:r>
            <w:r>
              <w:rPr>
                <w:noProof/>
                <w:webHidden/>
              </w:rPr>
              <w:t>46</w:t>
            </w:r>
            <w:r>
              <w:rPr>
                <w:noProof/>
                <w:webHidden/>
              </w:rPr>
              <w:fldChar w:fldCharType="end"/>
            </w:r>
          </w:hyperlink>
        </w:p>
        <w:p w14:paraId="7074A1E0" w14:textId="05574E25" w:rsidR="00396322" w:rsidRDefault="00396322" w:rsidP="00396322">
          <w:pPr>
            <w:pStyle w:val="Kazalovsebine3"/>
            <w:tabs>
              <w:tab w:val="right" w:leader="dot" w:pos="9628"/>
            </w:tabs>
            <w:spacing w:after="0" w:line="300" w:lineRule="atLeast"/>
            <w:rPr>
              <w:rFonts w:eastAsiaTheme="minorEastAsia"/>
              <w:noProof/>
              <w:sz w:val="24"/>
              <w:szCs w:val="24"/>
              <w:lang w:eastAsia="sl-SI"/>
            </w:rPr>
          </w:pPr>
          <w:hyperlink w:anchor="_Toc239414921" w:history="1">
            <w:r w:rsidRPr="00737E17">
              <w:rPr>
                <w:rStyle w:val="Hiperpovezava"/>
                <w:noProof/>
              </w:rPr>
              <w:t>3 Strokovne podlage za novo generacijo prostorskih aktov</w:t>
            </w:r>
            <w:r>
              <w:rPr>
                <w:noProof/>
                <w:webHidden/>
              </w:rPr>
              <w:tab/>
            </w:r>
            <w:r>
              <w:rPr>
                <w:noProof/>
                <w:webHidden/>
              </w:rPr>
              <w:fldChar w:fldCharType="begin"/>
            </w:r>
            <w:r>
              <w:rPr>
                <w:noProof/>
                <w:webHidden/>
              </w:rPr>
              <w:instrText xml:space="preserve"> PAGEREF _Toc239414921 \h </w:instrText>
            </w:r>
            <w:r>
              <w:rPr>
                <w:noProof/>
                <w:webHidden/>
              </w:rPr>
            </w:r>
            <w:r>
              <w:rPr>
                <w:noProof/>
                <w:webHidden/>
              </w:rPr>
              <w:fldChar w:fldCharType="separate"/>
            </w:r>
            <w:r>
              <w:rPr>
                <w:noProof/>
                <w:webHidden/>
              </w:rPr>
              <w:t>50</w:t>
            </w:r>
            <w:r>
              <w:rPr>
                <w:noProof/>
                <w:webHidden/>
              </w:rPr>
              <w:fldChar w:fldCharType="end"/>
            </w:r>
          </w:hyperlink>
        </w:p>
        <w:p w14:paraId="50E65706" w14:textId="4572F40D" w:rsidR="00023D2C" w:rsidRDefault="00023D2C" w:rsidP="00396322">
          <w:pPr>
            <w:spacing w:after="0" w:line="300" w:lineRule="atLeast"/>
          </w:pPr>
          <w:r>
            <w:rPr>
              <w:b/>
              <w:bCs/>
            </w:rPr>
            <w:fldChar w:fldCharType="end"/>
          </w:r>
        </w:p>
      </w:sdtContent>
    </w:sdt>
    <w:p w14:paraId="43CE43D9" w14:textId="3D064428" w:rsidR="004924D4" w:rsidRPr="00EB0B8E" w:rsidRDefault="000E5FD4" w:rsidP="29A8477B">
      <w:r>
        <w:br w:type="page"/>
      </w:r>
    </w:p>
    <w:p w14:paraId="47EA2867" w14:textId="4A33E468" w:rsidR="1DA57D89" w:rsidRDefault="1DA57D89" w:rsidP="29A8477B">
      <w:pPr>
        <w:rPr>
          <w:color w:val="0F4761" w:themeColor="accent1" w:themeShade="BF"/>
          <w:sz w:val="40"/>
          <w:szCs w:val="40"/>
        </w:rPr>
      </w:pPr>
      <w:r w:rsidRPr="29A8477B">
        <w:rPr>
          <w:color w:val="0F4761" w:themeColor="accent1" w:themeShade="BF"/>
          <w:sz w:val="40"/>
          <w:szCs w:val="40"/>
        </w:rPr>
        <w:lastRenderedPageBreak/>
        <w:t>K</w:t>
      </w:r>
      <w:r w:rsidR="29D10A13" w:rsidRPr="29A8477B">
        <w:rPr>
          <w:color w:val="0F4761" w:themeColor="accent1" w:themeShade="BF"/>
          <w:sz w:val="40"/>
          <w:szCs w:val="40"/>
        </w:rPr>
        <w:t>ratice in ključni pojmi</w:t>
      </w:r>
    </w:p>
    <w:tbl>
      <w:tblPr>
        <w:tblStyle w:val="Tabelamrea"/>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6A0" w:firstRow="1" w:lastRow="0" w:firstColumn="1" w:lastColumn="0" w:noHBand="1" w:noVBand="1"/>
      </w:tblPr>
      <w:tblGrid>
        <w:gridCol w:w="4811"/>
        <w:gridCol w:w="4811"/>
      </w:tblGrid>
      <w:tr w:rsidR="29A8477B" w14:paraId="1EA23CE1" w14:textId="77777777" w:rsidTr="00113A30">
        <w:trPr>
          <w:trHeight w:val="300"/>
          <w:tblHeader/>
        </w:trPr>
        <w:tc>
          <w:tcPr>
            <w:tcW w:w="4811" w:type="dxa"/>
            <w:vAlign w:val="center"/>
          </w:tcPr>
          <w:p w14:paraId="1207F584" w14:textId="12CC0E4E" w:rsidR="00FCB498" w:rsidRDefault="00FCB498" w:rsidP="29A8477B">
            <w:pPr>
              <w:rPr>
                <w:b/>
                <w:bCs/>
              </w:rPr>
            </w:pPr>
            <w:r w:rsidRPr="29A8477B">
              <w:rPr>
                <w:b/>
                <w:bCs/>
              </w:rPr>
              <w:t>KRATICA/POJEM</w:t>
            </w:r>
          </w:p>
        </w:tc>
        <w:tc>
          <w:tcPr>
            <w:tcW w:w="4811" w:type="dxa"/>
            <w:vAlign w:val="center"/>
          </w:tcPr>
          <w:p w14:paraId="11011924" w14:textId="4FD675C7" w:rsidR="00FCB498" w:rsidRDefault="00FCB498" w:rsidP="29A8477B">
            <w:pPr>
              <w:rPr>
                <w:b/>
                <w:bCs/>
              </w:rPr>
            </w:pPr>
            <w:r w:rsidRPr="29A8477B">
              <w:rPr>
                <w:b/>
                <w:bCs/>
              </w:rPr>
              <w:t>POJASNILO</w:t>
            </w:r>
          </w:p>
        </w:tc>
      </w:tr>
      <w:tr w:rsidR="00515A40" w14:paraId="4CFB4F7A" w14:textId="77777777" w:rsidTr="1706C59B">
        <w:trPr>
          <w:trHeight w:val="300"/>
        </w:trPr>
        <w:tc>
          <w:tcPr>
            <w:tcW w:w="4811" w:type="dxa"/>
            <w:vAlign w:val="center"/>
          </w:tcPr>
          <w:p w14:paraId="730EF353" w14:textId="2010EF22" w:rsidR="00515A40" w:rsidRDefault="00515A40" w:rsidP="00515A40">
            <w:r w:rsidRPr="00944A06">
              <w:t>Akcijski načrt</w:t>
            </w:r>
          </w:p>
        </w:tc>
        <w:tc>
          <w:tcPr>
            <w:tcW w:w="4811" w:type="dxa"/>
            <w:vAlign w:val="center"/>
          </w:tcPr>
          <w:p w14:paraId="13B52BC0" w14:textId="44B2B4B5" w:rsidR="00515A40" w:rsidRDefault="00515A40" w:rsidP="00515A40">
            <w:r w:rsidRPr="00944A06">
              <w:t>Izvedbeni dokument strategije, ki za določeno obdobje podrobneje opredeli prednostne aktivnosti in projekte, njihove nosilce, časovni okvir ter po potrebi finančne vire.</w:t>
            </w:r>
          </w:p>
        </w:tc>
      </w:tr>
      <w:tr w:rsidR="00515A40" w14:paraId="7B6B4CA9" w14:textId="77777777" w:rsidTr="1706C59B">
        <w:trPr>
          <w:trHeight w:val="300"/>
        </w:trPr>
        <w:tc>
          <w:tcPr>
            <w:tcW w:w="4811" w:type="dxa"/>
            <w:vAlign w:val="center"/>
          </w:tcPr>
          <w:p w14:paraId="27DD8598" w14:textId="16CB56ED" w:rsidR="00515A40" w:rsidRPr="008465CE" w:rsidRDefault="00515A40" w:rsidP="00515A40">
            <w:pPr>
              <w:rPr>
                <w:highlight w:val="yellow"/>
              </w:rPr>
            </w:pPr>
            <w:r w:rsidRPr="008465CE">
              <w:rPr>
                <w:highlight w:val="yellow"/>
              </w:rPr>
              <w:t>Brezmejnost</w:t>
            </w:r>
          </w:p>
        </w:tc>
        <w:tc>
          <w:tcPr>
            <w:tcW w:w="4811" w:type="dxa"/>
            <w:vAlign w:val="center"/>
          </w:tcPr>
          <w:p w14:paraId="1C07A0DF" w14:textId="3F52199C" w:rsidR="00515A40" w:rsidRPr="008465CE" w:rsidRDefault="00515A40" w:rsidP="00515A40">
            <w:pPr>
              <w:rPr>
                <w:highlight w:val="yellow"/>
              </w:rPr>
            </w:pPr>
            <w:r w:rsidRPr="008465CE">
              <w:rPr>
                <w:highlight w:val="yellow"/>
              </w:rPr>
              <w:t>V strategiji brezmejnost ne pomeni odpravljanja državn</w:t>
            </w:r>
            <w:r w:rsidR="001673EF" w:rsidRPr="008465CE">
              <w:rPr>
                <w:highlight w:val="yellow"/>
              </w:rPr>
              <w:t>ih</w:t>
            </w:r>
            <w:r w:rsidRPr="008465CE">
              <w:rPr>
                <w:highlight w:val="yellow"/>
              </w:rPr>
              <w:t xml:space="preserve"> ali občinskih meja. Pomeni način razvoja, ki temelji na povezovanju mesta in podeželja, Nove Gorice in Gorice ter ostalih občin, institucij, ljudi, znanja, gospodarstva, kulture znotraj evropskega prostora.</w:t>
            </w:r>
          </w:p>
        </w:tc>
      </w:tr>
      <w:tr w:rsidR="00515A40" w14:paraId="419E6B79" w14:textId="77777777" w:rsidTr="1706C59B">
        <w:trPr>
          <w:trHeight w:val="300"/>
        </w:trPr>
        <w:tc>
          <w:tcPr>
            <w:tcW w:w="4811" w:type="dxa"/>
            <w:vAlign w:val="center"/>
          </w:tcPr>
          <w:p w14:paraId="2E379A61" w14:textId="558770F3" w:rsidR="00515A40" w:rsidRDefault="00515A40" w:rsidP="00515A40">
            <w:r w:rsidRPr="00944A06">
              <w:t xml:space="preserve">Čezmejno </w:t>
            </w:r>
            <w:proofErr w:type="spellStart"/>
            <w:r w:rsidRPr="00944A06">
              <w:t>somestje</w:t>
            </w:r>
            <w:proofErr w:type="spellEnd"/>
          </w:p>
        </w:tc>
        <w:tc>
          <w:tcPr>
            <w:tcW w:w="4811" w:type="dxa"/>
            <w:vAlign w:val="center"/>
          </w:tcPr>
          <w:p w14:paraId="262A58D3" w14:textId="4804ED86" w:rsidR="00515A40" w:rsidRPr="006C2287" w:rsidRDefault="00515A40" w:rsidP="00515A40">
            <w:r w:rsidRPr="00944A06">
              <w:t>Funkcionalno povezan urbani prostor Nove Gorice, Gorice in Šempetra pri Gorici, v katerem se prebivalci, storitve, gospodarstvo, izobraževanje, kultura, mobilnost in druge mestne funkcije vse bolj povezujejo in dopolnjujejo prek državne meje.</w:t>
            </w:r>
          </w:p>
        </w:tc>
      </w:tr>
      <w:tr w:rsidR="00515A40" w14:paraId="79EE93E7" w14:textId="77777777" w:rsidTr="1706C59B">
        <w:trPr>
          <w:trHeight w:val="300"/>
        </w:trPr>
        <w:tc>
          <w:tcPr>
            <w:tcW w:w="4811" w:type="dxa"/>
            <w:vAlign w:val="center"/>
          </w:tcPr>
          <w:p w14:paraId="0FF873E5" w14:textId="0018FFF5" w:rsidR="00515A40" w:rsidRDefault="00515A40" w:rsidP="00515A40">
            <w:r w:rsidRPr="00944A06">
              <w:t>Čezmejno širše mestno območje</w:t>
            </w:r>
          </w:p>
        </w:tc>
        <w:tc>
          <w:tcPr>
            <w:tcW w:w="4811" w:type="dxa"/>
            <w:vAlign w:val="center"/>
          </w:tcPr>
          <w:p w14:paraId="3685D961" w14:textId="5A1FF80D" w:rsidR="00515A40" w:rsidRDefault="00515A40" w:rsidP="00515A40">
            <w:r w:rsidRPr="00944A06">
              <w:t>Funkcionalno povezano, gravitacijsko območje Gorice in Nove Gorice. Presega trenutno opredeljene meje delovanja EZTS.</w:t>
            </w:r>
          </w:p>
        </w:tc>
      </w:tr>
      <w:tr w:rsidR="00515A40" w14:paraId="3802F4AE" w14:textId="77777777" w:rsidTr="1706C59B">
        <w:trPr>
          <w:trHeight w:val="300"/>
        </w:trPr>
        <w:tc>
          <w:tcPr>
            <w:tcW w:w="4811" w:type="dxa"/>
            <w:vAlign w:val="center"/>
          </w:tcPr>
          <w:p w14:paraId="49512A53" w14:textId="177BDE59" w:rsidR="00515A40" w:rsidRDefault="00515A40" w:rsidP="00515A40">
            <w:r w:rsidRPr="00944A06">
              <w:t>Čezmejno urbano območje</w:t>
            </w:r>
          </w:p>
        </w:tc>
        <w:tc>
          <w:tcPr>
            <w:tcW w:w="4811" w:type="dxa"/>
            <w:vAlign w:val="center"/>
          </w:tcPr>
          <w:p w14:paraId="1675AC28" w14:textId="060DB25C" w:rsidR="00515A40" w:rsidRDefault="00515A40" w:rsidP="00515A40">
            <w:r w:rsidRPr="00944A06">
              <w:t>Funkcionalno povezano gravitacijsko območje Nove Gorice, Šempetra pri Gorici in Gorice.</w:t>
            </w:r>
          </w:p>
        </w:tc>
      </w:tr>
      <w:tr w:rsidR="00515A40" w14:paraId="190D049C" w14:textId="77777777" w:rsidTr="1706C59B">
        <w:trPr>
          <w:trHeight w:val="300"/>
        </w:trPr>
        <w:tc>
          <w:tcPr>
            <w:tcW w:w="4811" w:type="dxa"/>
            <w:vAlign w:val="center"/>
          </w:tcPr>
          <w:p w14:paraId="628F4351" w14:textId="56802579" w:rsidR="00515A40" w:rsidRDefault="00515A40" w:rsidP="00515A40">
            <w:r w:rsidRPr="00944A06">
              <w:t>EPK 2025</w:t>
            </w:r>
          </w:p>
        </w:tc>
        <w:tc>
          <w:tcPr>
            <w:tcW w:w="4811" w:type="dxa"/>
            <w:vAlign w:val="center"/>
          </w:tcPr>
          <w:p w14:paraId="5BDB3377" w14:textId="0D2A79B0" w:rsidR="00515A40" w:rsidRDefault="00515A40" w:rsidP="00515A40">
            <w:r w:rsidRPr="00944A06">
              <w:t>Evropska prestolnica kulture 2025 – naziv evropske pobude, v okviru katere je Nova Gorica skupaj z Gorico izvedla čezmejno zasnovan kulturni program.</w:t>
            </w:r>
          </w:p>
        </w:tc>
      </w:tr>
      <w:tr w:rsidR="00515A40" w14:paraId="311376E1" w14:textId="77777777" w:rsidTr="1706C59B">
        <w:trPr>
          <w:trHeight w:val="300"/>
        </w:trPr>
        <w:tc>
          <w:tcPr>
            <w:tcW w:w="4811" w:type="dxa"/>
            <w:vAlign w:val="center"/>
          </w:tcPr>
          <w:p w14:paraId="71A916DE" w14:textId="318B098A" w:rsidR="00515A40" w:rsidRDefault="00515A40" w:rsidP="00515A40">
            <w:r w:rsidRPr="00944A06">
              <w:t>EZTS GO</w:t>
            </w:r>
          </w:p>
        </w:tc>
        <w:tc>
          <w:tcPr>
            <w:tcW w:w="4811" w:type="dxa"/>
            <w:vAlign w:val="center"/>
          </w:tcPr>
          <w:p w14:paraId="2CE8FAEF" w14:textId="7D2780A4" w:rsidR="00515A40" w:rsidRDefault="00515A40" w:rsidP="00515A40">
            <w:r w:rsidRPr="008465CE">
              <w:rPr>
                <w:highlight w:val="yellow"/>
              </w:rPr>
              <w:t>E</w:t>
            </w:r>
            <w:r w:rsidRPr="00944A06">
              <w:t xml:space="preserve">vropsko združenje za teritorialno sodelovanje - </w:t>
            </w:r>
            <w:r w:rsidR="005C44D3">
              <w:t>č</w:t>
            </w:r>
            <w:r w:rsidRPr="00944A06">
              <w:t>ezmejna institucija, ki povezuje občine Novo Gorico, Gorico in Šempeter - Vrtojbo ter omogoča pripravo in izvajanje skupnih čezmejnih projektov in aktivnosti.</w:t>
            </w:r>
          </w:p>
        </w:tc>
      </w:tr>
      <w:tr w:rsidR="00515A40" w14:paraId="3E6A8B8D" w14:textId="77777777" w:rsidTr="1706C59B">
        <w:trPr>
          <w:trHeight w:val="300"/>
        </w:trPr>
        <w:tc>
          <w:tcPr>
            <w:tcW w:w="4811" w:type="dxa"/>
            <w:vAlign w:val="center"/>
          </w:tcPr>
          <w:p w14:paraId="368F990E" w14:textId="306A9E76" w:rsidR="00515A40" w:rsidRDefault="00515A40" w:rsidP="00515A40">
            <w:r w:rsidRPr="00944A06">
              <w:t>GO! 2025</w:t>
            </w:r>
          </w:p>
        </w:tc>
        <w:tc>
          <w:tcPr>
            <w:tcW w:w="4811" w:type="dxa"/>
            <w:vAlign w:val="center"/>
          </w:tcPr>
          <w:p w14:paraId="488AA4AB" w14:textId="054DE8B7" w:rsidR="00515A40" w:rsidRDefault="00515A40" w:rsidP="00515A40">
            <w:r w:rsidRPr="00944A06">
              <w:t xml:space="preserve">Ime in znamka čezmejnega programa Evropske prestolnice kulture 2025 Nova Gorica–Gorica. Program in njegovo sporočilo Go </w:t>
            </w:r>
            <w:proofErr w:type="spellStart"/>
            <w:r w:rsidRPr="00944A06">
              <w:t>Borderless</w:t>
            </w:r>
            <w:proofErr w:type="spellEnd"/>
            <w:r w:rsidRPr="00944A06">
              <w:t xml:space="preserve"> / Gremo brezmejno predstavljata pomembno izhodišče za nadaljnje čezmejno povezovanje in razvojno usmeritev Živimo brezmejno.</w:t>
            </w:r>
          </w:p>
        </w:tc>
      </w:tr>
      <w:tr w:rsidR="00515A40" w14:paraId="206DD386" w14:textId="77777777" w:rsidTr="1706C59B">
        <w:trPr>
          <w:trHeight w:val="300"/>
        </w:trPr>
        <w:tc>
          <w:tcPr>
            <w:tcW w:w="4811" w:type="dxa"/>
            <w:vAlign w:val="center"/>
          </w:tcPr>
          <w:p w14:paraId="56B49734" w14:textId="18E571C6" w:rsidR="00515A40" w:rsidRDefault="00515A40" w:rsidP="00515A40">
            <w:r w:rsidRPr="00944A06">
              <w:t xml:space="preserve">Goriška </w:t>
            </w:r>
            <w:proofErr w:type="spellStart"/>
            <w:r w:rsidRPr="00944A06">
              <w:t>evroregija</w:t>
            </w:r>
            <w:proofErr w:type="spellEnd"/>
          </w:p>
        </w:tc>
        <w:tc>
          <w:tcPr>
            <w:tcW w:w="4811" w:type="dxa"/>
            <w:vAlign w:val="center"/>
          </w:tcPr>
          <w:p w14:paraId="20E4FE0D" w14:textId="354A82BC" w:rsidR="00515A40" w:rsidRDefault="00515A40" w:rsidP="00515A40">
            <w:r w:rsidRPr="00944A06">
              <w:t>Širši čezmejni goriški prostor, ki zajema Severno Primorsko (Goriško) razvojno regijo na slovenski strani in primerljivo območje (Goriška provinca) na italijanski strani meje in ga strategija obravnava kot območje skupnih razvojnih priložnosti, povezovanja storitev, gospodarstva, infrastrukture, znanja in kakovosti bivanja.</w:t>
            </w:r>
          </w:p>
        </w:tc>
      </w:tr>
      <w:tr w:rsidR="00515A40" w14:paraId="7FAA85CA" w14:textId="77777777" w:rsidTr="1706C59B">
        <w:trPr>
          <w:trHeight w:val="315"/>
        </w:trPr>
        <w:tc>
          <w:tcPr>
            <w:tcW w:w="4811" w:type="dxa"/>
            <w:vAlign w:val="center"/>
          </w:tcPr>
          <w:p w14:paraId="3E2E8B57" w14:textId="06863CEB" w:rsidR="00515A40" w:rsidRDefault="00515A40" w:rsidP="00515A40">
            <w:r w:rsidRPr="00944A06">
              <w:t>Horizontalno načelo</w:t>
            </w:r>
          </w:p>
        </w:tc>
        <w:tc>
          <w:tcPr>
            <w:tcW w:w="4811" w:type="dxa"/>
            <w:vAlign w:val="center"/>
          </w:tcPr>
          <w:p w14:paraId="158B69FB" w14:textId="66DBB5F2" w:rsidR="00515A40" w:rsidRDefault="00515A40" w:rsidP="00515A40">
            <w:r w:rsidRPr="00944A06">
              <w:t xml:space="preserve">Skupno merilo za pripravo in presojo projektov, programskih sklopov ter pomembnejših </w:t>
            </w:r>
            <w:r w:rsidRPr="00944A06">
              <w:lastRenderedPageBreak/>
              <w:t>razvojnih odločitev, ki se uporablja pri vseh razvojnih stebrih.</w:t>
            </w:r>
          </w:p>
        </w:tc>
      </w:tr>
      <w:tr w:rsidR="00515A40" w14:paraId="07D4615D" w14:textId="77777777" w:rsidTr="1706C59B">
        <w:trPr>
          <w:trHeight w:val="315"/>
        </w:trPr>
        <w:tc>
          <w:tcPr>
            <w:tcW w:w="4811" w:type="dxa"/>
            <w:vAlign w:val="center"/>
          </w:tcPr>
          <w:p w14:paraId="1CAC70A3" w14:textId="15DFF60F" w:rsidR="00515A40" w:rsidRDefault="00515A40" w:rsidP="00515A40">
            <w:r w:rsidRPr="00944A06">
              <w:lastRenderedPageBreak/>
              <w:t>Kritična masa</w:t>
            </w:r>
          </w:p>
        </w:tc>
        <w:tc>
          <w:tcPr>
            <w:tcW w:w="4811" w:type="dxa"/>
            <w:vAlign w:val="center"/>
          </w:tcPr>
          <w:p w14:paraId="398C3F8C" w14:textId="4BEF5B90" w:rsidR="00515A40" w:rsidRDefault="00515A40" w:rsidP="00515A40">
            <w:r w:rsidRPr="00944A06">
              <w:t>Zadostno število prebivalcev, uporabnikov, podjetij, institucij ali drugih dejavnosti, ki omogoča razvoj in dolgoročno vzdržnost zahtevnejših storitev, infrastrukture in razvojnih funkcij.</w:t>
            </w:r>
          </w:p>
        </w:tc>
      </w:tr>
      <w:tr w:rsidR="00515A40" w14:paraId="52E5E9DB" w14:textId="77777777" w:rsidTr="1706C59B">
        <w:trPr>
          <w:trHeight w:val="300"/>
        </w:trPr>
        <w:tc>
          <w:tcPr>
            <w:tcW w:w="4811" w:type="dxa"/>
            <w:vAlign w:val="center"/>
          </w:tcPr>
          <w:p w14:paraId="0496FF07" w14:textId="38989368" w:rsidR="00515A40" w:rsidRPr="00427B7D" w:rsidRDefault="00515A40" w:rsidP="00515A40">
            <w:pPr>
              <w:rPr>
                <w:highlight w:val="yellow"/>
              </w:rPr>
            </w:pPr>
            <w:r w:rsidRPr="00427B7D">
              <w:rPr>
                <w:highlight w:val="yellow"/>
              </w:rPr>
              <w:t>Mesto Nova Gorica</w:t>
            </w:r>
          </w:p>
        </w:tc>
        <w:tc>
          <w:tcPr>
            <w:tcW w:w="4811" w:type="dxa"/>
            <w:vAlign w:val="center"/>
          </w:tcPr>
          <w:p w14:paraId="7D2F2668" w14:textId="505BCC6E" w:rsidR="00515A40" w:rsidRPr="00427B7D" w:rsidRDefault="00515A40" w:rsidP="00515A40">
            <w:pPr>
              <w:rPr>
                <w:highlight w:val="yellow"/>
              </w:rPr>
            </w:pPr>
            <w:r w:rsidRPr="00427B7D">
              <w:rPr>
                <w:highlight w:val="yellow"/>
              </w:rPr>
              <w:t>Območje naselij Nova Gorica, Solkan, Kromberk, Pristava, Ajševica, Rožna Dolina, Loke in Stara Gora.</w:t>
            </w:r>
          </w:p>
        </w:tc>
      </w:tr>
      <w:tr w:rsidR="00515A40" w14:paraId="408B119D" w14:textId="77777777" w:rsidTr="1706C59B">
        <w:trPr>
          <w:trHeight w:val="300"/>
        </w:trPr>
        <w:tc>
          <w:tcPr>
            <w:tcW w:w="4811" w:type="dxa"/>
            <w:vAlign w:val="center"/>
          </w:tcPr>
          <w:p w14:paraId="26AEFA31" w14:textId="6CBE7505" w:rsidR="00515A40" w:rsidRDefault="00515A40" w:rsidP="00515A40">
            <w:r w:rsidRPr="00944A06">
              <w:t>MONG</w:t>
            </w:r>
          </w:p>
        </w:tc>
        <w:tc>
          <w:tcPr>
            <w:tcW w:w="4811" w:type="dxa"/>
            <w:vAlign w:val="center"/>
          </w:tcPr>
          <w:p w14:paraId="0A205ACA" w14:textId="619C3195" w:rsidR="00515A40" w:rsidRDefault="00515A40" w:rsidP="00515A40">
            <w:r w:rsidRPr="00944A06">
              <w:t>Mestna občina Nova Gorica</w:t>
            </w:r>
            <w:r w:rsidRPr="008465CE">
              <w:rPr>
                <w:highlight w:val="yellow"/>
              </w:rPr>
              <w:t>.</w:t>
            </w:r>
          </w:p>
        </w:tc>
      </w:tr>
      <w:tr w:rsidR="00515A40" w14:paraId="6619B7EC" w14:textId="77777777" w:rsidTr="1706C59B">
        <w:trPr>
          <w:trHeight w:val="300"/>
        </w:trPr>
        <w:tc>
          <w:tcPr>
            <w:tcW w:w="4811" w:type="dxa"/>
            <w:vAlign w:val="center"/>
          </w:tcPr>
          <w:p w14:paraId="1F73DC7F" w14:textId="40270934" w:rsidR="00515A40" w:rsidRDefault="00515A40" w:rsidP="00515A40">
            <w:r w:rsidRPr="00944A06">
              <w:t>Novi evropski Bauhaus</w:t>
            </w:r>
          </w:p>
        </w:tc>
        <w:tc>
          <w:tcPr>
            <w:tcW w:w="4811" w:type="dxa"/>
            <w:vAlign w:val="center"/>
          </w:tcPr>
          <w:p w14:paraId="76D4BAA7" w14:textId="3498F532" w:rsidR="00515A40" w:rsidRDefault="00515A40" w:rsidP="00515A40">
            <w:r w:rsidRPr="00944A06">
              <w:t xml:space="preserve">Evropski razvojni pristop, ki povezuje </w:t>
            </w:r>
            <w:proofErr w:type="spellStart"/>
            <w:r w:rsidRPr="00944A06">
              <w:t>okoljsko</w:t>
            </w:r>
            <w:proofErr w:type="spellEnd"/>
            <w:r w:rsidRPr="00944A06">
              <w:t xml:space="preserve"> </w:t>
            </w:r>
            <w:proofErr w:type="spellStart"/>
            <w:r w:rsidRPr="00944A06">
              <w:t>trajnostnost</w:t>
            </w:r>
            <w:proofErr w:type="spellEnd"/>
            <w:r w:rsidRPr="00944A06">
              <w:t>, vključevanje ter kakovost prostora, rešitve in uporabniške izkušnje.</w:t>
            </w:r>
          </w:p>
        </w:tc>
      </w:tr>
      <w:tr w:rsidR="00515A40" w14:paraId="146FAD76" w14:textId="77777777" w:rsidTr="1706C59B">
        <w:trPr>
          <w:trHeight w:val="300"/>
        </w:trPr>
        <w:tc>
          <w:tcPr>
            <w:tcW w:w="4811" w:type="dxa"/>
            <w:vAlign w:val="center"/>
          </w:tcPr>
          <w:p w14:paraId="428B9F4F" w14:textId="6B0348D1" w:rsidR="00515A40" w:rsidRPr="00E75E9F" w:rsidRDefault="00515A40" w:rsidP="00515A40">
            <w:pPr>
              <w:rPr>
                <w:highlight w:val="yellow"/>
              </w:rPr>
            </w:pPr>
            <w:r w:rsidRPr="00944A06">
              <w:t>Programski sklop</w:t>
            </w:r>
          </w:p>
        </w:tc>
        <w:tc>
          <w:tcPr>
            <w:tcW w:w="4811" w:type="dxa"/>
            <w:vAlign w:val="center"/>
          </w:tcPr>
          <w:p w14:paraId="016B823A" w14:textId="780D68F7" w:rsidR="00515A40" w:rsidRPr="00E75E9F" w:rsidRDefault="00515A40" w:rsidP="00515A40">
            <w:pPr>
              <w:rPr>
                <w:highlight w:val="yellow"/>
              </w:rPr>
            </w:pPr>
            <w:r w:rsidRPr="00944A06">
              <w:t>Povezana skupina aktivnosti, ukrepov ali manjših projektov, ki skupaj prispevajo k doseganju posameznega strateškega cilja.</w:t>
            </w:r>
          </w:p>
        </w:tc>
      </w:tr>
      <w:tr w:rsidR="00515A40" w14:paraId="4E8B508C" w14:textId="77777777" w:rsidTr="1706C59B">
        <w:trPr>
          <w:trHeight w:val="300"/>
        </w:trPr>
        <w:tc>
          <w:tcPr>
            <w:tcW w:w="4811" w:type="dxa"/>
            <w:vAlign w:val="center"/>
          </w:tcPr>
          <w:p w14:paraId="3C869CA9" w14:textId="3580D36D" w:rsidR="00515A40" w:rsidRDefault="00515A40" w:rsidP="00515A40">
            <w:r w:rsidRPr="00944A06">
              <w:t>Razvojni steber</w:t>
            </w:r>
          </w:p>
        </w:tc>
        <w:tc>
          <w:tcPr>
            <w:tcW w:w="4811" w:type="dxa"/>
            <w:vAlign w:val="center"/>
          </w:tcPr>
          <w:p w14:paraId="6440099C" w14:textId="2A3BD4A4" w:rsidR="00515A40" w:rsidRDefault="00515A40" w:rsidP="00515A40">
            <w:pPr>
              <w:rPr>
                <w:rFonts w:ascii="Aptos" w:eastAsia="Aptos" w:hAnsi="Aptos" w:cs="Aptos"/>
              </w:rPr>
            </w:pPr>
            <w:r w:rsidRPr="00944A06">
              <w:t>Eno od petih glavnih področij, skozi katera strategija usmerja dolgoročni razvoj Mestne občine Nova Gorica.</w:t>
            </w:r>
          </w:p>
        </w:tc>
      </w:tr>
      <w:tr w:rsidR="00515A40" w14:paraId="2ABE001D" w14:textId="77777777" w:rsidTr="1706C59B">
        <w:trPr>
          <w:trHeight w:val="300"/>
        </w:trPr>
        <w:tc>
          <w:tcPr>
            <w:tcW w:w="4811" w:type="dxa"/>
            <w:vAlign w:val="center"/>
          </w:tcPr>
          <w:p w14:paraId="30B6FAF6" w14:textId="54595B76" w:rsidR="00515A40" w:rsidRDefault="00515A40" w:rsidP="00515A40">
            <w:proofErr w:type="spellStart"/>
            <w:r w:rsidRPr="00944A06">
              <w:t>Somestje</w:t>
            </w:r>
            <w:proofErr w:type="spellEnd"/>
          </w:p>
        </w:tc>
        <w:tc>
          <w:tcPr>
            <w:tcW w:w="4811" w:type="dxa"/>
            <w:vAlign w:val="center"/>
          </w:tcPr>
          <w:p w14:paraId="254AF8E3" w14:textId="0316AD71" w:rsidR="00515A40" w:rsidRDefault="00515A40" w:rsidP="00515A40">
            <w:pPr>
              <w:rPr>
                <w:rFonts w:ascii="Aptos" w:eastAsia="Aptos" w:hAnsi="Aptos" w:cs="Aptos"/>
              </w:rPr>
            </w:pPr>
            <w:r w:rsidRPr="00944A06">
              <w:t>Skupina medsebojno povezanih mest in/ali drugih naselij, v katerih se dejavnosti razporejajo po načelu dopolnjevanja funkcij. Z medsebojnim povezovanjem in razmeščanjem funkcij naselja krepijo svoje vloge v urbanem sistemu.</w:t>
            </w:r>
          </w:p>
        </w:tc>
      </w:tr>
      <w:tr w:rsidR="00515A40" w14:paraId="25C75611" w14:textId="77777777" w:rsidTr="1706C59B">
        <w:trPr>
          <w:trHeight w:val="300"/>
        </w:trPr>
        <w:tc>
          <w:tcPr>
            <w:tcW w:w="4811" w:type="dxa"/>
            <w:vAlign w:val="center"/>
          </w:tcPr>
          <w:p w14:paraId="0FB75AC7" w14:textId="180866ED" w:rsidR="00515A40" w:rsidRDefault="00515A40" w:rsidP="00515A40">
            <w:r w:rsidRPr="00944A06">
              <w:t>SPRS 2050</w:t>
            </w:r>
          </w:p>
        </w:tc>
        <w:tc>
          <w:tcPr>
            <w:tcW w:w="4811" w:type="dxa"/>
            <w:vAlign w:val="center"/>
          </w:tcPr>
          <w:p w14:paraId="5F131B68" w14:textId="15613F49" w:rsidR="00515A40" w:rsidRDefault="00515A40" w:rsidP="00515A40">
            <w:pPr>
              <w:spacing w:line="257" w:lineRule="auto"/>
              <w:rPr>
                <w:rFonts w:ascii="Aptos" w:eastAsia="Aptos" w:hAnsi="Aptos" w:cs="Aptos"/>
              </w:rPr>
            </w:pPr>
            <w:r w:rsidRPr="00944A06">
              <w:t>Strategija prostorskega razvoja Slovenije 2050</w:t>
            </w:r>
            <w:r w:rsidRPr="008465CE">
              <w:rPr>
                <w:highlight w:val="yellow"/>
              </w:rPr>
              <w:t>.</w:t>
            </w:r>
          </w:p>
        </w:tc>
      </w:tr>
      <w:tr w:rsidR="00515A40" w14:paraId="126885A8" w14:textId="77777777" w:rsidTr="1706C59B">
        <w:trPr>
          <w:trHeight w:val="300"/>
        </w:trPr>
        <w:tc>
          <w:tcPr>
            <w:tcW w:w="4811" w:type="dxa"/>
            <w:vAlign w:val="center"/>
          </w:tcPr>
          <w:p w14:paraId="4A740231" w14:textId="4EC58BF1" w:rsidR="00515A40" w:rsidRDefault="00515A40" w:rsidP="00515A40">
            <w:r w:rsidRPr="00944A06">
              <w:t>Središče</w:t>
            </w:r>
          </w:p>
        </w:tc>
        <w:tc>
          <w:tcPr>
            <w:tcW w:w="4811" w:type="dxa"/>
            <w:vAlign w:val="center"/>
          </w:tcPr>
          <w:p w14:paraId="3C5D1BFA" w14:textId="0B966DC7" w:rsidR="00515A40" w:rsidRDefault="00515A40" w:rsidP="00515A40">
            <w:pPr>
              <w:spacing w:line="257" w:lineRule="auto"/>
              <w:rPr>
                <w:rFonts w:ascii="Aptos" w:eastAsia="Aptos" w:hAnsi="Aptos" w:cs="Aptos"/>
              </w:rPr>
            </w:pPr>
            <w:r w:rsidRPr="00944A06">
              <w:t>Urbano naselje, v katerem so delovna mesta, storitve splošnega pomena, stanovanja in druge storitve (na primer trgovina) ter druge dejavnosti (na primer kulturne ustanove), ki oskrbujejo prebivalce v naselju in na njegovem vplivnem oziroma gravitacijskem območju.</w:t>
            </w:r>
          </w:p>
        </w:tc>
      </w:tr>
      <w:tr w:rsidR="00515A40" w14:paraId="23AC459B" w14:textId="77777777" w:rsidTr="1706C59B">
        <w:trPr>
          <w:trHeight w:val="300"/>
        </w:trPr>
        <w:tc>
          <w:tcPr>
            <w:tcW w:w="4811" w:type="dxa"/>
            <w:vAlign w:val="center"/>
          </w:tcPr>
          <w:p w14:paraId="12162760" w14:textId="24FE1AE0" w:rsidR="00515A40" w:rsidRDefault="00515A40" w:rsidP="00515A40">
            <w:r w:rsidRPr="00944A06">
              <w:t>Strateški cilj</w:t>
            </w:r>
          </w:p>
        </w:tc>
        <w:tc>
          <w:tcPr>
            <w:tcW w:w="4811" w:type="dxa"/>
            <w:vAlign w:val="center"/>
          </w:tcPr>
          <w:p w14:paraId="76F1573A" w14:textId="4359C3F7" w:rsidR="00515A40" w:rsidRPr="1706C59B" w:rsidRDefault="00515A40" w:rsidP="00515A40">
            <w:r w:rsidRPr="00944A06">
              <w:t>Želeno dolgoročno stanje oziroma razvojna sprememba, ki jo želi občina skupaj s partnerji doseči do leta 2045.</w:t>
            </w:r>
          </w:p>
        </w:tc>
      </w:tr>
      <w:tr w:rsidR="00515A40" w14:paraId="6A9BA33C" w14:textId="77777777" w:rsidTr="1706C59B">
        <w:trPr>
          <w:trHeight w:val="300"/>
        </w:trPr>
        <w:tc>
          <w:tcPr>
            <w:tcW w:w="4811" w:type="dxa"/>
            <w:vAlign w:val="center"/>
          </w:tcPr>
          <w:p w14:paraId="749890BF" w14:textId="65BFA43C" w:rsidR="00515A40" w:rsidRPr="0031486F" w:rsidRDefault="00515A40" w:rsidP="00515A40">
            <w:pPr>
              <w:rPr>
                <w:highlight w:val="yellow"/>
              </w:rPr>
            </w:pPr>
            <w:r w:rsidRPr="00944A06">
              <w:t>Strateški kazalnik</w:t>
            </w:r>
          </w:p>
        </w:tc>
        <w:tc>
          <w:tcPr>
            <w:tcW w:w="4811" w:type="dxa"/>
            <w:vAlign w:val="center"/>
          </w:tcPr>
          <w:p w14:paraId="4C6486B1" w14:textId="040C72E8" w:rsidR="00515A40" w:rsidRPr="0031486F" w:rsidRDefault="00515A40" w:rsidP="00515A40">
            <w:pPr>
              <w:spacing w:line="257" w:lineRule="auto"/>
              <w:rPr>
                <w:rFonts w:ascii="Aptos" w:eastAsia="Aptos" w:hAnsi="Aptos" w:cs="Aptos"/>
                <w:highlight w:val="yellow"/>
              </w:rPr>
            </w:pPr>
            <w:r w:rsidRPr="00944A06">
              <w:t>Merilo, s katerim se spremlja, ali se razvoj občine oz. posameznega razvojnega stebra dolgoročno premika v smeri zastavljenih ciljev.</w:t>
            </w:r>
          </w:p>
        </w:tc>
      </w:tr>
      <w:tr w:rsidR="00515A40" w14:paraId="137F5397" w14:textId="77777777" w:rsidTr="1706C59B">
        <w:trPr>
          <w:trHeight w:val="300"/>
        </w:trPr>
        <w:tc>
          <w:tcPr>
            <w:tcW w:w="4811" w:type="dxa"/>
            <w:vAlign w:val="center"/>
          </w:tcPr>
          <w:p w14:paraId="663FEBDA" w14:textId="6CA0F157" w:rsidR="00515A40" w:rsidRDefault="00515A40" w:rsidP="00515A40">
            <w:r w:rsidRPr="00944A06">
              <w:t>Strateški projekt</w:t>
            </w:r>
          </w:p>
        </w:tc>
        <w:tc>
          <w:tcPr>
            <w:tcW w:w="4811" w:type="dxa"/>
            <w:vAlign w:val="center"/>
          </w:tcPr>
          <w:p w14:paraId="41960646" w14:textId="7557863F" w:rsidR="00515A40" w:rsidRDefault="00515A40" w:rsidP="00515A40">
            <w:pPr>
              <w:spacing w:line="257" w:lineRule="auto"/>
              <w:rPr>
                <w:rFonts w:ascii="Aptos" w:eastAsia="Aptos" w:hAnsi="Aptos" w:cs="Aptos"/>
              </w:rPr>
            </w:pPr>
            <w:r w:rsidRPr="00944A06">
              <w:t>Projekt večjega razvojnega pomena, ki neposredno prispeva k enemu ali več strateškim ciljem ter ima pomemben vpliv na prihodnji razvoj občine ali širšega prostora.</w:t>
            </w:r>
          </w:p>
        </w:tc>
      </w:tr>
      <w:tr w:rsidR="00515A40" w14:paraId="55868EBF" w14:textId="77777777" w:rsidTr="1706C59B">
        <w:trPr>
          <w:trHeight w:val="300"/>
        </w:trPr>
        <w:tc>
          <w:tcPr>
            <w:tcW w:w="4811" w:type="dxa"/>
            <w:vAlign w:val="center"/>
          </w:tcPr>
          <w:p w14:paraId="033BDD81" w14:textId="39C6119A" w:rsidR="00515A40" w:rsidRPr="00F403F3" w:rsidRDefault="00515A40" w:rsidP="00515A40">
            <w:proofErr w:type="spellStart"/>
            <w:r w:rsidRPr="00944A06">
              <w:t>Subregijski</w:t>
            </w:r>
            <w:proofErr w:type="spellEnd"/>
          </w:p>
        </w:tc>
        <w:tc>
          <w:tcPr>
            <w:tcW w:w="4811" w:type="dxa"/>
            <w:vAlign w:val="center"/>
          </w:tcPr>
          <w:p w14:paraId="2AAD4D98" w14:textId="7E9E1E61" w:rsidR="00515A40" w:rsidRPr="00F403F3" w:rsidRDefault="00515A40" w:rsidP="00515A40">
            <w:r w:rsidRPr="00944A06">
              <w:t xml:space="preserve">Nanaša se na funkcionalno in razvojno povezano območje znotraj razvojne regije, ki obsega več občin oziroma naselij s skupnimi geografskimi, gospodarskimi, prometnimi, storitvenimi ali </w:t>
            </w:r>
            <w:r w:rsidRPr="00944A06">
              <w:lastRenderedPageBreak/>
              <w:t xml:space="preserve">drugimi razvojnimi značilnostmi. </w:t>
            </w:r>
            <w:proofErr w:type="spellStart"/>
            <w:r w:rsidRPr="00944A06">
              <w:t>Subregijska</w:t>
            </w:r>
            <w:proofErr w:type="spellEnd"/>
            <w:r w:rsidRPr="00944A06">
              <w:t xml:space="preserve"> raven predstavlja vmesno raven med občinsko in regijsko ravnjo, vendar ni samostojna upravna ali zakonsko določena teritorialna enota.</w:t>
            </w:r>
          </w:p>
        </w:tc>
      </w:tr>
      <w:tr w:rsidR="00515A40" w14:paraId="145CC561" w14:textId="77777777" w:rsidTr="1706C59B">
        <w:trPr>
          <w:trHeight w:val="300"/>
        </w:trPr>
        <w:tc>
          <w:tcPr>
            <w:tcW w:w="4811" w:type="dxa"/>
            <w:vAlign w:val="center"/>
          </w:tcPr>
          <w:p w14:paraId="26690646" w14:textId="13005C7D" w:rsidR="00515A40" w:rsidRPr="00F403F3" w:rsidRDefault="00515A40" w:rsidP="00515A40">
            <w:pPr>
              <w:rPr>
                <w:bCs/>
              </w:rPr>
            </w:pPr>
            <w:r w:rsidRPr="00944A06">
              <w:lastRenderedPageBreak/>
              <w:t>Širše mestno območje</w:t>
            </w:r>
          </w:p>
        </w:tc>
        <w:tc>
          <w:tcPr>
            <w:tcW w:w="4811" w:type="dxa"/>
            <w:vAlign w:val="center"/>
          </w:tcPr>
          <w:p w14:paraId="26227E87" w14:textId="0FE8D498" w:rsidR="00515A40" w:rsidRPr="00F403F3" w:rsidRDefault="00515A40" w:rsidP="00515A40">
            <w:r w:rsidRPr="00944A06">
              <w:t>Funkcionalno povezano gravitacijsko območje enega ali več središč, znotraj katerega potekajo vsakodnevne selitve prebivalstva (na primer zaradi dela ali oskrbnih dejavnosti), kar povzroča obsežne prometne tokove. Opredeljeno v Strategiji prostorskega razvoja Slovenije.</w:t>
            </w:r>
          </w:p>
        </w:tc>
      </w:tr>
    </w:tbl>
    <w:p w14:paraId="2193B341" w14:textId="77542D6E" w:rsidR="002F5C5B" w:rsidRDefault="002F5C5B" w:rsidP="002F5C5B">
      <w:bookmarkStart w:id="0" w:name="_Toc1477310654"/>
      <w:bookmarkStart w:id="1" w:name="_Toc1139290459"/>
    </w:p>
    <w:p w14:paraId="0DB1C160" w14:textId="57A244C9" w:rsidR="002F5C5B" w:rsidRDefault="002F5C5B" w:rsidP="002F5C5B">
      <w:r>
        <w:br w:type="page"/>
      </w:r>
    </w:p>
    <w:p w14:paraId="7FC3933F" w14:textId="5835C357" w:rsidR="00DA5A6B" w:rsidRDefault="2DBD4420" w:rsidP="29A8477B">
      <w:pPr>
        <w:pStyle w:val="Naslov1"/>
        <w:spacing w:before="240" w:after="120"/>
      </w:pPr>
      <w:bookmarkStart w:id="2" w:name="_Toc239414890"/>
      <w:r>
        <w:lastRenderedPageBreak/>
        <w:t>Nagovor</w:t>
      </w:r>
      <w:r w:rsidR="2F50BC97">
        <w:t xml:space="preserve"> župana</w:t>
      </w:r>
      <w:bookmarkEnd w:id="0"/>
      <w:bookmarkEnd w:id="1"/>
      <w:bookmarkEnd w:id="2"/>
    </w:p>
    <w:p w14:paraId="6647C027" w14:textId="60F6E311" w:rsidR="00152C8C" w:rsidRDefault="00152C8C" w:rsidP="00152C8C">
      <w:pPr>
        <w:jc w:val="both"/>
      </w:pPr>
      <w:r>
        <w:t>Spoštovane občanke in občani, spoštovani partnerji razvoja,</w:t>
      </w:r>
    </w:p>
    <w:p w14:paraId="436CCDF1" w14:textId="0BC8D4FA" w:rsidR="00152C8C" w:rsidRDefault="00152C8C" w:rsidP="00152C8C">
      <w:pPr>
        <w:jc w:val="both"/>
      </w:pPr>
      <w:r>
        <w:t>pred nami je Strategija razvoja Mestne občine Nova Gorica do leta 2045 – dokument, s katerim skupaj oblikujemo vizijo skupnosti, v kateri želimo živeti, ustvarjati in razvijati prihodnje generacije.</w:t>
      </w:r>
    </w:p>
    <w:p w14:paraId="79D3A149" w14:textId="5F1A9859" w:rsidR="00152C8C" w:rsidRDefault="00152C8C" w:rsidP="00152C8C">
      <w:pPr>
        <w:jc w:val="both"/>
      </w:pPr>
      <w:r>
        <w:t>Nova Gorica je mlado mesto z drzno zgodovino. Nastala je kot simbol novega začetka, danes pa ima priložnost postati zgled sodobnega evropskega mesta, ki svojo prihodnost gradi na znanju, sodelovanju, odprtosti in kakovosti življenja. Izkušnja Evropske prestolnice kulture 2025 nam je pokazala, da največje razvojne preboje dosegamo takrat, ko presežemo meje – geografske, institucionalne in miselne. Zato je vodilo Živimo brezmejno mnogo več kot slogan. Je razvojna usmeritev, ki nas spodbuja k povezovanju ljudi, idej, institucij in prostora.</w:t>
      </w:r>
    </w:p>
    <w:p w14:paraId="05501AA5" w14:textId="1A538AA4" w:rsidR="00152C8C" w:rsidRDefault="00152C8C" w:rsidP="00152C8C">
      <w:pPr>
        <w:jc w:val="both"/>
      </w:pPr>
      <w:r>
        <w:t>Strategija razvoja Mestne občine Nova Gorica do leta 2045 predstavlja skupni razvojni dogovor. Ne prinaša seznama posameznih želja ali kratkoročnih projektov, temveč postavlja jasen okvir za premišljene odločitve, dolgoročna partnerstva in usklajeno izvajanje razvojnih politik. Temelji na prepričanju, da lahko največ dosežemo z medsebojnim sodelovanjem – med mestom in podeželjem, gospodarstvom in znanjem, kulturo in turizmom, lokalnim okoljem ter evropskim prostorom.</w:t>
      </w:r>
    </w:p>
    <w:p w14:paraId="3D7AE0B4" w14:textId="50941920" w:rsidR="00152C8C" w:rsidRDefault="00152C8C" w:rsidP="00152C8C">
      <w:pPr>
        <w:jc w:val="both"/>
      </w:pPr>
      <w:r>
        <w:t>Vizija, ki nas vodi, je jasna: Mestna občina Nova Gorica zagotavlja zdravo in privlačno življenjsko okolje, je brezmejno, evropsko, univerzitetno središče z ambicioznim gospodarstvom. To je vizija občine, ki zna izkoristiti svoje razvojne prednosti, krepi kakovost bivanja, spodbuja ustvarjalnost in podjetnost ter odpira priložnosti za vse generacije.</w:t>
      </w:r>
    </w:p>
    <w:p w14:paraId="7EECEDC6" w14:textId="0365FB9B" w:rsidR="00152C8C" w:rsidRDefault="00152C8C" w:rsidP="00152C8C">
      <w:pPr>
        <w:jc w:val="both"/>
      </w:pPr>
      <w:r>
        <w:t xml:space="preserve">Pet razvojnih stebrov strategije – ambiciozno gospodarstvo, vključujoča družba, mesto priložnosti, vitalno podeželje in goriška </w:t>
      </w:r>
      <w:proofErr w:type="spellStart"/>
      <w:r>
        <w:t>evroregija</w:t>
      </w:r>
      <w:proofErr w:type="spellEnd"/>
      <w:r>
        <w:t xml:space="preserve"> – skupaj tvorijo celovito razvojno zgodbo naše občine. </w:t>
      </w:r>
      <w:r w:rsidR="001B4D39" w:rsidRPr="001B4D39">
        <w:t>Stebri predstavljajo vsebinski okvir za trajnosten razvoj, večjo odpornost prostora in višjo kakovost življenja v prihodnjih desetletjih</w:t>
      </w:r>
      <w:r>
        <w:t>.</w:t>
      </w:r>
    </w:p>
    <w:p w14:paraId="3569F77A" w14:textId="3C4ECC69" w:rsidR="00152C8C" w:rsidRDefault="00152C8C" w:rsidP="00152C8C">
      <w:pPr>
        <w:jc w:val="both"/>
      </w:pPr>
      <w:r>
        <w:t>Pri uresničevanju te vizije bodo odločilni tudi ključni razvojni projekti. Od vzpostavitve vozlišča znanja v Solkanu, razvoja univerzitetnega središča in prestrukturiranja PC Kromberk do čezmejnega prometnega vozlišča, razvoja območja reke Soče, novih stanovanjskih območij ter krepitve lokalnih središč</w:t>
      </w:r>
      <w:r w:rsidR="006937B2">
        <w:t xml:space="preserve">. Pri </w:t>
      </w:r>
      <w:r w:rsidR="00A23636">
        <w:t>njihovi izvedbi</w:t>
      </w:r>
      <w:r w:rsidR="006937B2">
        <w:t xml:space="preserve"> ne bomo čakali do l. 2045</w:t>
      </w:r>
      <w:r w:rsidR="00FD7F2F">
        <w:t xml:space="preserve">. </w:t>
      </w:r>
      <w:r>
        <w:t xml:space="preserve"> </w:t>
      </w:r>
      <w:r w:rsidR="0047377D" w:rsidRPr="0047377D">
        <w:t>Vsi ti projekti so pomembni kot investicije, hkrati pa prinašajo nove priložnosti, večjo povezanost prostora in skupnosti in s tem uresničujejo naše dolgoročne cilje</w:t>
      </w:r>
      <w:r>
        <w:t>.</w:t>
      </w:r>
    </w:p>
    <w:p w14:paraId="09EAD4D6" w14:textId="5C94C1BB" w:rsidR="00152C8C" w:rsidRDefault="00152C8C" w:rsidP="00152C8C">
      <w:pPr>
        <w:jc w:val="both"/>
      </w:pPr>
      <w:r>
        <w:t xml:space="preserve">Uspeh strategije ne bo odvisen le od občinske uprave ali posameznih institucij. Njeno uresničevanje bo mogoče le ob aktivnem sodelovanju občank in občanov, gospodarstva, javnih zavodov, nevladnih organizacij, izobraževalnih ustanov ter številnih razvojnih partnerjev doma in v tujini. Prav zato je ta strategija </w:t>
      </w:r>
      <w:r w:rsidRPr="00D0099F">
        <w:t>predvsem</w:t>
      </w:r>
      <w:r w:rsidRPr="0082171C">
        <w:rPr>
          <w:b/>
          <w:bCs/>
        </w:rPr>
        <w:t xml:space="preserve"> povabilo k skupnemu ustvarjanju prihodnosti</w:t>
      </w:r>
      <w:r>
        <w:t>.</w:t>
      </w:r>
    </w:p>
    <w:p w14:paraId="57EFE454" w14:textId="1FAEB528" w:rsidR="00152C8C" w:rsidRDefault="00152C8C" w:rsidP="00152C8C">
      <w:pPr>
        <w:jc w:val="both"/>
      </w:pPr>
      <w:r>
        <w:t xml:space="preserve">Pred nami je obdobje pomembnih odločitev. </w:t>
      </w:r>
      <w:r w:rsidR="0012621E" w:rsidRPr="0012621E">
        <w:t>Prepričani smo, da ima Mestna občina Nova Gorica vse pogoje, da do leta 2045 postane ena najbolj kakovostnih in prepoznavnih evropskih občin za življenje, delo, ustvarjanje in sodelovanje.</w:t>
      </w:r>
      <w:r>
        <w:t xml:space="preserve"> Strategija, ki je pred vami, je naš skupni kompas na tej poti.</w:t>
      </w:r>
    </w:p>
    <w:p w14:paraId="3112C726" w14:textId="386EBAEC" w:rsidR="002F5C5B" w:rsidRDefault="002F5C5B">
      <w:r>
        <w:br w:type="page"/>
      </w:r>
    </w:p>
    <w:p w14:paraId="147FE17D" w14:textId="246D3493" w:rsidR="00BA2D9C" w:rsidRDefault="2DBD4420" w:rsidP="004A1C14">
      <w:pPr>
        <w:pStyle w:val="Naslov1"/>
        <w:numPr>
          <w:ilvl w:val="0"/>
          <w:numId w:val="40"/>
        </w:numPr>
        <w:spacing w:before="240" w:after="120"/>
        <w:ind w:left="357" w:hanging="357"/>
      </w:pPr>
      <w:bookmarkStart w:id="3" w:name="_Toc772829821"/>
      <w:bookmarkStart w:id="4" w:name="_Toc254766890"/>
      <w:bookmarkStart w:id="5" w:name="_Toc239414891"/>
      <w:r w:rsidRPr="29A8477B">
        <w:lastRenderedPageBreak/>
        <w:t>Strategija</w:t>
      </w:r>
      <w:r>
        <w:t xml:space="preserve"> na kratko</w:t>
      </w:r>
      <w:bookmarkEnd w:id="3"/>
      <w:bookmarkEnd w:id="4"/>
      <w:bookmarkEnd w:id="5"/>
    </w:p>
    <w:p w14:paraId="72A044DA" w14:textId="45A07071" w:rsidR="006A6617" w:rsidRDefault="1B7C8C4F" w:rsidP="00EB0B8E">
      <w:pPr>
        <w:spacing w:before="240" w:after="240"/>
        <w:jc w:val="both"/>
        <w:rPr>
          <w:rFonts w:ascii="Aptos" w:eastAsia="Aptos" w:hAnsi="Aptos" w:cs="Aptos"/>
        </w:rPr>
      </w:pPr>
      <w:r w:rsidRPr="1633040D">
        <w:rPr>
          <w:rFonts w:ascii="Aptos" w:eastAsia="Aptos" w:hAnsi="Aptos" w:cs="Aptos"/>
        </w:rPr>
        <w:t>Strategija razvoja Mestne občine Nova Gorica do leta 2045 je krovni razvojni dokument občine. Povezuje ključne razvojne izzive, obstoječe sektorske usmeritve, pobude deležnikov in prihodnje projekte v skupno razvojno smer. Njena naloga ni pripraviti seznam posameznih želja ali investicij, temveč določiti jasen okvir za dolgoročne odločitve, partnerstva in izvajanje razvojnih projektov.</w:t>
      </w:r>
    </w:p>
    <w:p w14:paraId="37066D0D" w14:textId="77777777" w:rsidR="00437ADA" w:rsidRPr="00EB0B8E" w:rsidRDefault="00437ADA" w:rsidP="00EB0B8E">
      <w:pPr>
        <w:spacing w:before="240" w:after="240"/>
        <w:jc w:val="both"/>
      </w:pPr>
    </w:p>
    <w:p w14:paraId="188367C6" w14:textId="67D0712A" w:rsidR="29A8477B" w:rsidRPr="00437ADA" w:rsidRDefault="7D293DF4" w:rsidP="00437ADA">
      <w:pPr>
        <w:rPr>
          <w:i/>
          <w:iCs/>
        </w:rPr>
      </w:pPr>
      <w:r w:rsidRPr="29A8477B">
        <w:rPr>
          <w:rFonts w:ascii="Aptos" w:eastAsia="Aptos" w:hAnsi="Aptos" w:cs="Aptos"/>
          <w:i/>
          <w:iCs/>
        </w:rPr>
        <w:t xml:space="preserve">Strategijo usmerja vizija, </w:t>
      </w:r>
      <w:r w:rsidR="52AC04BE" w:rsidRPr="29A8477B">
        <w:rPr>
          <w:rFonts w:ascii="Aptos" w:eastAsia="Aptos" w:hAnsi="Aptos" w:cs="Aptos"/>
          <w:i/>
          <w:iCs/>
        </w:rPr>
        <w:t xml:space="preserve">ki se glasi: </w:t>
      </w:r>
      <w:r w:rsidR="17387190" w:rsidRPr="29A8477B">
        <w:rPr>
          <w:i/>
          <w:iCs/>
        </w:rPr>
        <w:t xml:space="preserve"> </w:t>
      </w:r>
      <w:r w:rsidR="00437ADA">
        <w:rPr>
          <w:i/>
          <w:iCs/>
        </w:rPr>
        <w:br/>
      </w:r>
      <w:r w:rsidR="17387190" w:rsidRPr="00437ADA">
        <w:rPr>
          <w:b/>
          <w:bCs/>
          <w:i/>
          <w:iCs/>
          <w:color w:val="003773"/>
          <w:sz w:val="40"/>
          <w:szCs w:val="40"/>
        </w:rPr>
        <w:t>Mestna občina Nova Gorica zagotavlja zdravo in privlačno življenjsko okolje, je brezmejno, evropsko, univerzitetno središče, z ambicioznim gospodarstvom.</w:t>
      </w:r>
    </w:p>
    <w:p w14:paraId="3894F5A4" w14:textId="77777777" w:rsidR="00437ADA" w:rsidRPr="00437ADA" w:rsidRDefault="00437ADA" w:rsidP="00437ADA">
      <w:pPr>
        <w:rPr>
          <w:b/>
          <w:bCs/>
          <w:i/>
          <w:iCs/>
          <w:color w:val="003773"/>
          <w:sz w:val="40"/>
          <w:szCs w:val="40"/>
        </w:rPr>
      </w:pPr>
    </w:p>
    <w:p w14:paraId="2BF7F44F" w14:textId="77777777" w:rsidR="005961C3" w:rsidRDefault="5A07920F" w:rsidP="005961C3">
      <w:pPr>
        <w:spacing w:before="120" w:after="120"/>
        <w:rPr>
          <w:rFonts w:ascii="Aptos" w:eastAsia="Aptos" w:hAnsi="Aptos" w:cs="Aptos"/>
          <w:color w:val="003773"/>
        </w:rPr>
      </w:pPr>
      <w:r w:rsidRPr="00437ADA">
        <w:rPr>
          <w:rFonts w:ascii="Aptos" w:eastAsia="Aptos" w:hAnsi="Aptos" w:cs="Aptos"/>
        </w:rPr>
        <w:t>Slogan</w:t>
      </w:r>
      <w:r w:rsidR="00437ADA">
        <w:rPr>
          <w:rFonts w:ascii="Aptos" w:eastAsia="Aptos" w:hAnsi="Aptos" w:cs="Aptos"/>
          <w:b/>
          <w:bCs/>
        </w:rPr>
        <w:br/>
      </w:r>
      <w:r w:rsidRPr="00437ADA">
        <w:rPr>
          <w:rFonts w:ascii="Aptos" w:eastAsia="Aptos" w:hAnsi="Aptos" w:cs="Aptos"/>
          <w:b/>
          <w:bCs/>
          <w:i/>
          <w:iCs/>
          <w:color w:val="003773"/>
          <w:sz w:val="40"/>
          <w:szCs w:val="40"/>
        </w:rPr>
        <w:t>Živimo brezmejno</w:t>
      </w:r>
      <w:r w:rsidRPr="00437ADA">
        <w:rPr>
          <w:rFonts w:ascii="Aptos" w:eastAsia="Aptos" w:hAnsi="Aptos" w:cs="Aptos"/>
          <w:color w:val="003773"/>
        </w:rPr>
        <w:t xml:space="preserve"> </w:t>
      </w:r>
    </w:p>
    <w:p w14:paraId="34C3FE29" w14:textId="4DFADCDD" w:rsidR="00437ADA" w:rsidRDefault="5A07920F" w:rsidP="005961C3">
      <w:pPr>
        <w:spacing w:after="0"/>
        <w:jc w:val="both"/>
        <w:rPr>
          <w:rFonts w:ascii="Aptos" w:eastAsia="Aptos" w:hAnsi="Aptos" w:cs="Aptos"/>
        </w:rPr>
      </w:pPr>
      <w:r w:rsidRPr="1706C59B">
        <w:rPr>
          <w:rFonts w:ascii="Aptos" w:eastAsia="Aptos" w:hAnsi="Aptos" w:cs="Aptos"/>
        </w:rPr>
        <w:t>pa je izraz razvojne drže, s katero želi Mestna občina Nova Gorica uresničevati svojo vizijo do leta 2045. Nadgrajuje izkušnj</w:t>
      </w:r>
      <w:r w:rsidR="158CC28D" w:rsidRPr="1706C59B">
        <w:rPr>
          <w:rFonts w:ascii="Aptos" w:eastAsia="Aptos" w:hAnsi="Aptos" w:cs="Aptos"/>
        </w:rPr>
        <w:t>o</w:t>
      </w:r>
      <w:r w:rsidRPr="1706C59B">
        <w:rPr>
          <w:rFonts w:ascii="Aptos" w:eastAsia="Aptos" w:hAnsi="Aptos" w:cs="Aptos"/>
        </w:rPr>
        <w:t xml:space="preserve"> Evropske prestolnice kulture 2025</w:t>
      </w:r>
      <w:r w:rsidR="65D38922" w:rsidRPr="1706C59B">
        <w:rPr>
          <w:rFonts w:ascii="Aptos" w:eastAsia="Aptos" w:hAnsi="Aptos" w:cs="Aptos"/>
        </w:rPr>
        <w:t xml:space="preserve"> (GO! 2025)</w:t>
      </w:r>
      <w:r w:rsidRPr="1706C59B">
        <w:rPr>
          <w:rFonts w:ascii="Aptos" w:eastAsia="Aptos" w:hAnsi="Aptos" w:cs="Aptos"/>
        </w:rPr>
        <w:t xml:space="preserve"> in sporočilo Go </w:t>
      </w:r>
      <w:proofErr w:type="spellStart"/>
      <w:r w:rsidRPr="1706C59B">
        <w:rPr>
          <w:rFonts w:ascii="Aptos" w:eastAsia="Aptos" w:hAnsi="Aptos" w:cs="Aptos"/>
        </w:rPr>
        <w:t>Borderless</w:t>
      </w:r>
      <w:proofErr w:type="spellEnd"/>
      <w:r w:rsidRPr="1706C59B">
        <w:rPr>
          <w:rFonts w:ascii="Aptos" w:eastAsia="Aptos" w:hAnsi="Aptos" w:cs="Aptos"/>
        </w:rPr>
        <w:t xml:space="preserve"> / Gremo brezmejno prenaša v dolgoročni razvojni pristop občine. Brezmejnost v</w:t>
      </w:r>
      <w:r w:rsidR="7F0EC117" w:rsidRPr="1706C59B">
        <w:rPr>
          <w:rFonts w:ascii="Aptos" w:eastAsia="Aptos" w:hAnsi="Aptos" w:cs="Aptos"/>
        </w:rPr>
        <w:t xml:space="preserve"> okviru</w:t>
      </w:r>
      <w:r w:rsidRPr="1706C59B">
        <w:rPr>
          <w:rFonts w:ascii="Aptos" w:eastAsia="Aptos" w:hAnsi="Aptos" w:cs="Aptos"/>
        </w:rPr>
        <w:t xml:space="preserve"> te strategij</w:t>
      </w:r>
      <w:r w:rsidR="3692D1B3" w:rsidRPr="1706C59B">
        <w:rPr>
          <w:rFonts w:ascii="Aptos" w:eastAsia="Aptos" w:hAnsi="Aptos" w:cs="Aptos"/>
        </w:rPr>
        <w:t>e</w:t>
      </w:r>
      <w:r w:rsidRPr="1706C59B">
        <w:rPr>
          <w:rFonts w:ascii="Aptos" w:eastAsia="Aptos" w:hAnsi="Aptos" w:cs="Aptos"/>
        </w:rPr>
        <w:t xml:space="preserve"> pomeni sposobnost povezovanja: med Novo Gorico in </w:t>
      </w:r>
      <w:r w:rsidR="21631F97" w:rsidRPr="1706C59B">
        <w:rPr>
          <w:rFonts w:ascii="Aptos" w:eastAsia="Aptos" w:hAnsi="Aptos" w:cs="Aptos"/>
        </w:rPr>
        <w:t xml:space="preserve">sosednjo </w:t>
      </w:r>
      <w:r w:rsidRPr="1706C59B">
        <w:rPr>
          <w:rFonts w:ascii="Aptos" w:eastAsia="Aptos" w:hAnsi="Aptos" w:cs="Aptos"/>
        </w:rPr>
        <w:t>Gorico</w:t>
      </w:r>
      <w:r w:rsidR="1904EF42" w:rsidRPr="1706C59B">
        <w:rPr>
          <w:rFonts w:ascii="Aptos" w:eastAsia="Aptos" w:hAnsi="Aptos" w:cs="Aptos"/>
        </w:rPr>
        <w:t xml:space="preserve"> ter ostalimi občinami</w:t>
      </w:r>
      <w:r w:rsidRPr="1706C59B">
        <w:rPr>
          <w:rFonts w:ascii="Aptos" w:eastAsia="Aptos" w:hAnsi="Aptos" w:cs="Aptos"/>
        </w:rPr>
        <w:t>, mestom in podeželjem, občino in regijo, znanjem in gospodarstvom, kulturo in turizmom ter lokalnim in evropskim prostorom.</w:t>
      </w:r>
    </w:p>
    <w:p w14:paraId="34BA1CFF" w14:textId="77777777" w:rsidR="002F5C5B" w:rsidRDefault="002F5C5B">
      <w:pPr>
        <w:rPr>
          <w:rFonts w:ascii="Aptos" w:eastAsia="Aptos" w:hAnsi="Aptos" w:cs="Aptos"/>
        </w:rPr>
      </w:pPr>
    </w:p>
    <w:p w14:paraId="3F1A858C" w14:textId="77777777" w:rsidR="002F5C5B" w:rsidRDefault="002F5C5B">
      <w:pPr>
        <w:rPr>
          <w:rFonts w:ascii="Aptos" w:eastAsia="Aptos" w:hAnsi="Aptos" w:cs="Aptos"/>
        </w:rPr>
      </w:pPr>
    </w:p>
    <w:p w14:paraId="58124882" w14:textId="77777777" w:rsidR="002F5C5B" w:rsidRDefault="002F5C5B">
      <w:pPr>
        <w:rPr>
          <w:rFonts w:ascii="Aptos" w:eastAsia="Aptos" w:hAnsi="Aptos" w:cs="Aptos"/>
        </w:rPr>
      </w:pPr>
    </w:p>
    <w:p w14:paraId="55537E1B" w14:textId="77822D57" w:rsidR="00437ADA" w:rsidRDefault="00437ADA">
      <w:pPr>
        <w:rPr>
          <w:rFonts w:ascii="Aptos" w:eastAsia="Aptos" w:hAnsi="Aptos" w:cs="Aptos"/>
        </w:rPr>
      </w:pPr>
      <w:r>
        <w:rPr>
          <w:rFonts w:ascii="Aptos" w:eastAsia="Aptos" w:hAnsi="Aptos" w:cs="Aptos"/>
        </w:rPr>
        <w:br w:type="page"/>
      </w:r>
    </w:p>
    <w:p w14:paraId="55E907E6" w14:textId="00E32987" w:rsidR="1B7C8C4F" w:rsidRDefault="1B7C8C4F" w:rsidP="1633040D">
      <w:pPr>
        <w:spacing w:before="240" w:after="240"/>
        <w:jc w:val="both"/>
        <w:rPr>
          <w:rFonts w:ascii="Aptos" w:eastAsia="Aptos" w:hAnsi="Aptos" w:cs="Aptos"/>
        </w:rPr>
      </w:pPr>
      <w:r w:rsidRPr="1633040D">
        <w:rPr>
          <w:rFonts w:ascii="Aptos" w:eastAsia="Aptos" w:hAnsi="Aptos" w:cs="Aptos"/>
        </w:rPr>
        <w:lastRenderedPageBreak/>
        <w:t>Strategija temelji na petih razvojnih stebrih:</w:t>
      </w:r>
    </w:p>
    <w:p w14:paraId="25BCD6BE" w14:textId="1C420CA3" w:rsidR="00437ADA" w:rsidRDefault="00437ADA" w:rsidP="1633040D">
      <w:pPr>
        <w:spacing w:before="240" w:after="240"/>
        <w:jc w:val="both"/>
      </w:pPr>
      <w:r>
        <w:rPr>
          <w:rFonts w:ascii="Aptos" w:eastAsia="Aptos" w:hAnsi="Aptos" w:cs="Aptos"/>
          <w:noProof/>
        </w:rPr>
        <w:drawing>
          <wp:anchor distT="0" distB="0" distL="114300" distR="114300" simplePos="0" relativeHeight="251662336" behindDoc="0" locked="0" layoutInCell="1" allowOverlap="1" wp14:anchorId="7FCAF352" wp14:editId="2CEB835C">
            <wp:simplePos x="0" y="0"/>
            <wp:positionH relativeFrom="margin">
              <wp:align>left</wp:align>
            </wp:positionH>
            <wp:positionV relativeFrom="margin">
              <wp:posOffset>581262</wp:posOffset>
            </wp:positionV>
            <wp:extent cx="905510" cy="905510"/>
            <wp:effectExtent l="0" t="0" r="8890" b="8890"/>
            <wp:wrapTight wrapText="bothSides">
              <wp:wrapPolygon edited="0">
                <wp:start x="0" y="0"/>
                <wp:lineTo x="0" y="21358"/>
                <wp:lineTo x="21358" y="21358"/>
                <wp:lineTo x="21358" y="0"/>
                <wp:lineTo x="0" y="0"/>
              </wp:wrapPolygon>
            </wp:wrapTight>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05510" cy="905510"/>
                    </a:xfrm>
                    <a:prstGeom prst="rect">
                      <a:avLst/>
                    </a:prstGeom>
                  </pic:spPr>
                </pic:pic>
              </a:graphicData>
            </a:graphic>
            <wp14:sizeRelH relativeFrom="margin">
              <wp14:pctWidth>0</wp14:pctWidth>
            </wp14:sizeRelH>
            <wp14:sizeRelV relativeFrom="margin">
              <wp14:pctHeight>0</wp14:pctHeight>
            </wp14:sizeRelV>
          </wp:anchor>
        </w:drawing>
      </w:r>
    </w:p>
    <w:p w14:paraId="7044D6C7" w14:textId="621B3876" w:rsidR="1B7C8C4F" w:rsidRDefault="1B7C8C4F" w:rsidP="1633040D">
      <w:pPr>
        <w:spacing w:before="240" w:after="240"/>
        <w:jc w:val="both"/>
        <w:rPr>
          <w:rFonts w:ascii="Aptos" w:eastAsia="Aptos" w:hAnsi="Aptos" w:cs="Aptos"/>
          <w:noProof/>
        </w:rPr>
      </w:pPr>
      <w:r w:rsidRPr="1633040D">
        <w:rPr>
          <w:rFonts w:ascii="Aptos" w:eastAsia="Aptos" w:hAnsi="Aptos" w:cs="Aptos"/>
          <w:b/>
          <w:bCs/>
        </w:rPr>
        <w:t>Ambiciozno gospodarstvo</w:t>
      </w:r>
      <w:r w:rsidRPr="1633040D">
        <w:rPr>
          <w:rFonts w:ascii="Aptos" w:eastAsia="Aptos" w:hAnsi="Aptos" w:cs="Aptos"/>
        </w:rPr>
        <w:t xml:space="preserve"> </w:t>
      </w:r>
      <w:r w:rsidR="02FFBC8B" w:rsidRPr="1633040D">
        <w:rPr>
          <w:rFonts w:ascii="Aptos" w:eastAsia="Aptos" w:hAnsi="Aptos" w:cs="Aptos"/>
          <w:b/>
          <w:bCs/>
        </w:rPr>
        <w:t>(A)</w:t>
      </w:r>
      <w:r w:rsidR="02FFBC8B" w:rsidRPr="1633040D">
        <w:rPr>
          <w:rFonts w:ascii="Aptos" w:eastAsia="Aptos" w:hAnsi="Aptos" w:cs="Aptos"/>
        </w:rPr>
        <w:t xml:space="preserve"> </w:t>
      </w:r>
      <w:r w:rsidRPr="1633040D">
        <w:rPr>
          <w:rFonts w:ascii="Aptos" w:eastAsia="Aptos" w:hAnsi="Aptos" w:cs="Aptos"/>
        </w:rPr>
        <w:t>usmerja Novo Gorico v razvoj znanja, talentov, inovativnosti, podjetništva, obrti, malih in srednjih podjetij, turizma ter gospodarskega okolja z višjo dodano vrednostjo.</w:t>
      </w:r>
      <w:r w:rsidR="00437ADA" w:rsidRPr="00437ADA">
        <w:rPr>
          <w:rFonts w:ascii="Aptos" w:eastAsia="Aptos" w:hAnsi="Aptos" w:cs="Aptos"/>
          <w:noProof/>
        </w:rPr>
        <w:t xml:space="preserve"> </w:t>
      </w:r>
    </w:p>
    <w:p w14:paraId="4951F11E" w14:textId="159E1F37" w:rsidR="00437ADA" w:rsidRDefault="00437ADA" w:rsidP="1633040D">
      <w:pPr>
        <w:spacing w:before="240" w:after="240"/>
        <w:jc w:val="both"/>
      </w:pPr>
      <w:r>
        <w:rPr>
          <w:rFonts w:ascii="Aptos" w:eastAsia="Aptos" w:hAnsi="Aptos" w:cs="Aptos"/>
          <w:noProof/>
        </w:rPr>
        <w:drawing>
          <wp:anchor distT="0" distB="0" distL="114300" distR="114300" simplePos="0" relativeHeight="251664384" behindDoc="0" locked="0" layoutInCell="1" allowOverlap="1" wp14:anchorId="16028EF2" wp14:editId="6E203BDF">
            <wp:simplePos x="0" y="0"/>
            <wp:positionH relativeFrom="margin">
              <wp:align>left</wp:align>
            </wp:positionH>
            <wp:positionV relativeFrom="margin">
              <wp:posOffset>1590950</wp:posOffset>
            </wp:positionV>
            <wp:extent cx="905510" cy="905510"/>
            <wp:effectExtent l="0" t="0" r="8890" b="8890"/>
            <wp:wrapTight wrapText="bothSides">
              <wp:wrapPolygon edited="0">
                <wp:start x="0" y="0"/>
                <wp:lineTo x="0" y="21358"/>
                <wp:lineTo x="21358" y="21358"/>
                <wp:lineTo x="21358" y="0"/>
                <wp:lineTo x="0" y="0"/>
              </wp:wrapPolygon>
            </wp:wrapTight>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05510" cy="905510"/>
                    </a:xfrm>
                    <a:prstGeom prst="rect">
                      <a:avLst/>
                    </a:prstGeom>
                  </pic:spPr>
                </pic:pic>
              </a:graphicData>
            </a:graphic>
            <wp14:sizeRelH relativeFrom="margin">
              <wp14:pctWidth>0</wp14:pctWidth>
            </wp14:sizeRelH>
            <wp14:sizeRelV relativeFrom="margin">
              <wp14:pctHeight>0</wp14:pctHeight>
            </wp14:sizeRelV>
          </wp:anchor>
        </w:drawing>
      </w:r>
    </w:p>
    <w:p w14:paraId="7CA2D508" w14:textId="65A5D15F" w:rsidR="1B7C8C4F" w:rsidRDefault="1B7C8C4F" w:rsidP="1633040D">
      <w:pPr>
        <w:spacing w:before="240" w:after="240"/>
        <w:jc w:val="both"/>
        <w:rPr>
          <w:rFonts w:ascii="Aptos" w:eastAsia="Aptos" w:hAnsi="Aptos" w:cs="Aptos"/>
        </w:rPr>
      </w:pPr>
      <w:r w:rsidRPr="1633040D">
        <w:rPr>
          <w:rFonts w:ascii="Aptos" w:eastAsia="Aptos" w:hAnsi="Aptos" w:cs="Aptos"/>
          <w:b/>
          <w:bCs/>
        </w:rPr>
        <w:t>Vključujoča družba</w:t>
      </w:r>
      <w:r w:rsidR="36AE6683" w:rsidRPr="1633040D">
        <w:rPr>
          <w:rFonts w:ascii="Aptos" w:eastAsia="Aptos" w:hAnsi="Aptos" w:cs="Aptos"/>
          <w:b/>
          <w:bCs/>
        </w:rPr>
        <w:t xml:space="preserve"> (B)</w:t>
      </w:r>
      <w:r w:rsidRPr="1633040D">
        <w:rPr>
          <w:rFonts w:ascii="Aptos" w:eastAsia="Aptos" w:hAnsi="Aptos" w:cs="Aptos"/>
        </w:rPr>
        <w:t xml:space="preserve"> postavlja v ospredje kakovost bivanja, dostopnost storitev, stanovanjske rešitve, medgeneracijsko povezanost, varnost, zdravje, kulturo, šport in vključevanje različnih skupin prebivalcev.</w:t>
      </w:r>
    </w:p>
    <w:p w14:paraId="255E10FD" w14:textId="7CC63F42" w:rsidR="00437ADA" w:rsidRDefault="00437ADA" w:rsidP="1633040D">
      <w:pPr>
        <w:spacing w:before="240" w:after="240"/>
        <w:jc w:val="both"/>
      </w:pPr>
      <w:r>
        <w:rPr>
          <w:rFonts w:ascii="Aptos" w:eastAsia="Aptos" w:hAnsi="Aptos" w:cs="Aptos"/>
          <w:noProof/>
        </w:rPr>
        <w:drawing>
          <wp:anchor distT="0" distB="0" distL="114300" distR="114300" simplePos="0" relativeHeight="251666432" behindDoc="0" locked="0" layoutInCell="1" allowOverlap="1" wp14:anchorId="6FA4C625" wp14:editId="46CD9BCF">
            <wp:simplePos x="0" y="0"/>
            <wp:positionH relativeFrom="margin">
              <wp:align>left</wp:align>
            </wp:positionH>
            <wp:positionV relativeFrom="margin">
              <wp:posOffset>2636558</wp:posOffset>
            </wp:positionV>
            <wp:extent cx="905510" cy="905510"/>
            <wp:effectExtent l="0" t="0" r="8890" b="8890"/>
            <wp:wrapTight wrapText="bothSides">
              <wp:wrapPolygon edited="0">
                <wp:start x="0" y="0"/>
                <wp:lineTo x="0" y="21358"/>
                <wp:lineTo x="21358" y="21358"/>
                <wp:lineTo x="21358" y="0"/>
                <wp:lineTo x="0" y="0"/>
              </wp:wrapPolygon>
            </wp:wrapTight>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ika 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05510" cy="905510"/>
                    </a:xfrm>
                    <a:prstGeom prst="rect">
                      <a:avLst/>
                    </a:prstGeom>
                  </pic:spPr>
                </pic:pic>
              </a:graphicData>
            </a:graphic>
            <wp14:sizeRelH relativeFrom="margin">
              <wp14:pctWidth>0</wp14:pctWidth>
            </wp14:sizeRelH>
            <wp14:sizeRelV relativeFrom="margin">
              <wp14:pctHeight>0</wp14:pctHeight>
            </wp14:sizeRelV>
          </wp:anchor>
        </w:drawing>
      </w:r>
    </w:p>
    <w:p w14:paraId="5E1F7672" w14:textId="085BB36B" w:rsidR="1B7C8C4F" w:rsidRDefault="1B7C8C4F" w:rsidP="1633040D">
      <w:pPr>
        <w:spacing w:before="240" w:after="240"/>
        <w:jc w:val="both"/>
        <w:rPr>
          <w:rFonts w:ascii="Aptos" w:eastAsia="Aptos" w:hAnsi="Aptos" w:cs="Aptos"/>
        </w:rPr>
      </w:pPr>
      <w:r w:rsidRPr="1633040D">
        <w:rPr>
          <w:rFonts w:ascii="Aptos" w:eastAsia="Aptos" w:hAnsi="Aptos" w:cs="Aptos"/>
          <w:b/>
          <w:bCs/>
        </w:rPr>
        <w:t>Mesto priložnosti</w:t>
      </w:r>
      <w:r w:rsidRPr="1633040D">
        <w:rPr>
          <w:rFonts w:ascii="Aptos" w:eastAsia="Aptos" w:hAnsi="Aptos" w:cs="Aptos"/>
        </w:rPr>
        <w:t xml:space="preserve"> </w:t>
      </w:r>
      <w:r w:rsidR="09C088AE" w:rsidRPr="1633040D">
        <w:rPr>
          <w:rFonts w:ascii="Aptos" w:eastAsia="Aptos" w:hAnsi="Aptos" w:cs="Aptos"/>
          <w:b/>
          <w:bCs/>
        </w:rPr>
        <w:t>(C)</w:t>
      </w:r>
      <w:r w:rsidR="09C088AE" w:rsidRPr="1633040D">
        <w:rPr>
          <w:rFonts w:ascii="Aptos" w:eastAsia="Aptos" w:hAnsi="Aptos" w:cs="Aptos"/>
        </w:rPr>
        <w:t xml:space="preserve"> </w:t>
      </w:r>
      <w:r w:rsidRPr="002F168F">
        <w:rPr>
          <w:rFonts w:ascii="Aptos" w:eastAsia="Aptos" w:hAnsi="Aptos" w:cs="Aptos"/>
          <w:highlight w:val="yellow"/>
        </w:rPr>
        <w:t>obravnava</w:t>
      </w:r>
      <w:r w:rsidR="00DD37DA" w:rsidRPr="002F168F">
        <w:rPr>
          <w:rFonts w:ascii="Aptos" w:eastAsia="Aptos" w:hAnsi="Aptos" w:cs="Aptos"/>
          <w:highlight w:val="yellow"/>
        </w:rPr>
        <w:t xml:space="preserve"> </w:t>
      </w:r>
      <w:r w:rsidR="00CB78E8">
        <w:rPr>
          <w:rFonts w:ascii="Aptos" w:eastAsia="Aptos" w:hAnsi="Aptos" w:cs="Aptos"/>
          <w:highlight w:val="yellow"/>
        </w:rPr>
        <w:t>mesto</w:t>
      </w:r>
      <w:r w:rsidR="001341D9" w:rsidRPr="002F168F">
        <w:rPr>
          <w:rFonts w:ascii="Aptos" w:eastAsia="Aptos" w:hAnsi="Aptos" w:cs="Aptos"/>
          <w:highlight w:val="yellow"/>
        </w:rPr>
        <w:t xml:space="preserve"> </w:t>
      </w:r>
      <w:r w:rsidRPr="002F168F">
        <w:rPr>
          <w:rFonts w:ascii="Aptos" w:eastAsia="Aptos" w:hAnsi="Aptos" w:cs="Aptos"/>
          <w:highlight w:val="yellow"/>
        </w:rPr>
        <w:t>Nov</w:t>
      </w:r>
      <w:r w:rsidR="00CB78E8">
        <w:rPr>
          <w:rFonts w:ascii="Aptos" w:eastAsia="Aptos" w:hAnsi="Aptos" w:cs="Aptos"/>
          <w:highlight w:val="yellow"/>
        </w:rPr>
        <w:t>a</w:t>
      </w:r>
      <w:r w:rsidRPr="002F168F">
        <w:rPr>
          <w:rFonts w:ascii="Aptos" w:eastAsia="Aptos" w:hAnsi="Aptos" w:cs="Aptos"/>
          <w:highlight w:val="yellow"/>
        </w:rPr>
        <w:t xml:space="preserve"> Goric</w:t>
      </w:r>
      <w:r w:rsidR="00CB78E8">
        <w:rPr>
          <w:rFonts w:ascii="Aptos" w:eastAsia="Aptos" w:hAnsi="Aptos" w:cs="Aptos"/>
          <w:highlight w:val="yellow"/>
        </w:rPr>
        <w:t>a</w:t>
      </w:r>
      <w:r w:rsidRPr="002F168F">
        <w:rPr>
          <w:rFonts w:ascii="Aptos" w:eastAsia="Aptos" w:hAnsi="Aptos" w:cs="Aptos"/>
          <w:highlight w:val="yellow"/>
        </w:rPr>
        <w:t xml:space="preserve"> kot zeleno</w:t>
      </w:r>
      <w:r w:rsidRPr="1633040D">
        <w:rPr>
          <w:rFonts w:ascii="Aptos" w:eastAsia="Aptos" w:hAnsi="Aptos" w:cs="Aptos"/>
        </w:rPr>
        <w:t>, zdravo, kakovostno in prepoznavno urbano središče, ki razvija javni prostor, trajnostno mobilnost, ključne mestne funkcije ter privlačno okolje za življenje, delo, študij in prosti čas.</w:t>
      </w:r>
    </w:p>
    <w:p w14:paraId="57487D3C" w14:textId="62E1AD1F" w:rsidR="00437ADA" w:rsidRDefault="00437ADA" w:rsidP="1633040D">
      <w:pPr>
        <w:spacing w:before="240" w:after="240"/>
        <w:jc w:val="both"/>
      </w:pPr>
      <w:r>
        <w:rPr>
          <w:rFonts w:ascii="Aptos" w:eastAsia="Aptos" w:hAnsi="Aptos" w:cs="Aptos"/>
          <w:noProof/>
        </w:rPr>
        <w:drawing>
          <wp:anchor distT="0" distB="0" distL="114300" distR="114300" simplePos="0" relativeHeight="251668480" behindDoc="0" locked="0" layoutInCell="1" allowOverlap="1" wp14:anchorId="7F98FA3A" wp14:editId="06BB727B">
            <wp:simplePos x="0" y="0"/>
            <wp:positionH relativeFrom="margin">
              <wp:align>left</wp:align>
            </wp:positionH>
            <wp:positionV relativeFrom="margin">
              <wp:posOffset>3653686</wp:posOffset>
            </wp:positionV>
            <wp:extent cx="905510" cy="905510"/>
            <wp:effectExtent l="0" t="0" r="8890" b="8890"/>
            <wp:wrapTight wrapText="bothSides">
              <wp:wrapPolygon edited="0">
                <wp:start x="0" y="0"/>
                <wp:lineTo x="0" y="21358"/>
                <wp:lineTo x="21358" y="21358"/>
                <wp:lineTo x="21358" y="0"/>
                <wp:lineTo x="0" y="0"/>
              </wp:wrapPolygon>
            </wp:wrapTight>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05510" cy="905510"/>
                    </a:xfrm>
                    <a:prstGeom prst="rect">
                      <a:avLst/>
                    </a:prstGeom>
                  </pic:spPr>
                </pic:pic>
              </a:graphicData>
            </a:graphic>
            <wp14:sizeRelH relativeFrom="margin">
              <wp14:pctWidth>0</wp14:pctWidth>
            </wp14:sizeRelH>
            <wp14:sizeRelV relativeFrom="margin">
              <wp14:pctHeight>0</wp14:pctHeight>
            </wp14:sizeRelV>
          </wp:anchor>
        </w:drawing>
      </w:r>
    </w:p>
    <w:p w14:paraId="3214E50D" w14:textId="55E23A41" w:rsidR="1B7C8C4F" w:rsidRDefault="1B7C8C4F" w:rsidP="1633040D">
      <w:pPr>
        <w:spacing w:before="240" w:after="240"/>
        <w:jc w:val="both"/>
        <w:rPr>
          <w:rFonts w:ascii="Aptos" w:eastAsia="Aptos" w:hAnsi="Aptos" w:cs="Aptos"/>
        </w:rPr>
      </w:pPr>
      <w:r w:rsidRPr="1633040D">
        <w:rPr>
          <w:rFonts w:ascii="Aptos" w:eastAsia="Aptos" w:hAnsi="Aptos" w:cs="Aptos"/>
          <w:b/>
          <w:bCs/>
        </w:rPr>
        <w:t>Vitalno podeželje</w:t>
      </w:r>
      <w:r w:rsidRPr="1633040D">
        <w:rPr>
          <w:rFonts w:ascii="Aptos" w:eastAsia="Aptos" w:hAnsi="Aptos" w:cs="Aptos"/>
        </w:rPr>
        <w:t xml:space="preserve"> </w:t>
      </w:r>
      <w:r w:rsidR="28118DCA" w:rsidRPr="1633040D">
        <w:rPr>
          <w:rFonts w:ascii="Aptos" w:eastAsia="Aptos" w:hAnsi="Aptos" w:cs="Aptos"/>
          <w:b/>
          <w:bCs/>
        </w:rPr>
        <w:t>(D)</w:t>
      </w:r>
      <w:r w:rsidR="542ED0B8" w:rsidRPr="1633040D">
        <w:rPr>
          <w:rFonts w:ascii="Aptos" w:eastAsia="Aptos" w:hAnsi="Aptos" w:cs="Aptos"/>
          <w:b/>
          <w:bCs/>
        </w:rPr>
        <w:t xml:space="preserve"> </w:t>
      </w:r>
      <w:r w:rsidRPr="1633040D">
        <w:rPr>
          <w:rFonts w:ascii="Aptos" w:eastAsia="Aptos" w:hAnsi="Aptos" w:cs="Aptos"/>
        </w:rPr>
        <w:t>poudarja pomen poseljenega, aktivnega in razvojno vključenega podeželja, kjer se prepletajo kakovost bivanja, kmetijstvo, lokalna samooskrba, naravna in kulturna dediščina, turizem, rekreacija in nove oblike dela.</w:t>
      </w:r>
    </w:p>
    <w:p w14:paraId="5DC28491" w14:textId="0A649542" w:rsidR="00437ADA" w:rsidRDefault="00437ADA" w:rsidP="1633040D">
      <w:pPr>
        <w:spacing w:before="240" w:after="240"/>
        <w:jc w:val="both"/>
      </w:pPr>
      <w:r>
        <w:rPr>
          <w:rFonts w:ascii="Aptos" w:eastAsia="Aptos" w:hAnsi="Aptos" w:cs="Aptos"/>
          <w:noProof/>
        </w:rPr>
        <w:drawing>
          <wp:anchor distT="0" distB="0" distL="114300" distR="114300" simplePos="0" relativeHeight="251670528" behindDoc="0" locked="0" layoutInCell="1" allowOverlap="1" wp14:anchorId="4FBEABA4" wp14:editId="15AB0BF7">
            <wp:simplePos x="0" y="0"/>
            <wp:positionH relativeFrom="margin">
              <wp:posOffset>0</wp:posOffset>
            </wp:positionH>
            <wp:positionV relativeFrom="margin">
              <wp:posOffset>4659468</wp:posOffset>
            </wp:positionV>
            <wp:extent cx="905510" cy="905510"/>
            <wp:effectExtent l="0" t="0" r="8890" b="8890"/>
            <wp:wrapTight wrapText="bothSides">
              <wp:wrapPolygon edited="0">
                <wp:start x="0" y="0"/>
                <wp:lineTo x="0" y="21358"/>
                <wp:lineTo x="21358" y="21358"/>
                <wp:lineTo x="21358" y="0"/>
                <wp:lineTo x="0" y="0"/>
              </wp:wrapPolygon>
            </wp:wrapTight>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05510" cy="905510"/>
                    </a:xfrm>
                    <a:prstGeom prst="rect">
                      <a:avLst/>
                    </a:prstGeom>
                  </pic:spPr>
                </pic:pic>
              </a:graphicData>
            </a:graphic>
            <wp14:sizeRelH relativeFrom="margin">
              <wp14:pctWidth>0</wp14:pctWidth>
            </wp14:sizeRelH>
            <wp14:sizeRelV relativeFrom="margin">
              <wp14:pctHeight>0</wp14:pctHeight>
            </wp14:sizeRelV>
          </wp:anchor>
        </w:drawing>
      </w:r>
    </w:p>
    <w:p w14:paraId="5A6DB67B" w14:textId="384D4D8E" w:rsidR="002F5C5B" w:rsidRPr="002F5C5B" w:rsidRDefault="1B7C8C4F" w:rsidP="1633040D">
      <w:pPr>
        <w:spacing w:before="240" w:after="240"/>
        <w:jc w:val="both"/>
        <w:rPr>
          <w:rFonts w:ascii="Aptos" w:eastAsia="Aptos" w:hAnsi="Aptos" w:cs="Aptos"/>
        </w:rPr>
      </w:pPr>
      <w:r w:rsidRPr="1633040D">
        <w:rPr>
          <w:rFonts w:ascii="Aptos" w:eastAsia="Aptos" w:hAnsi="Aptos" w:cs="Aptos"/>
          <w:b/>
          <w:bCs/>
        </w:rPr>
        <w:t xml:space="preserve">Goriška </w:t>
      </w:r>
      <w:proofErr w:type="spellStart"/>
      <w:r w:rsidRPr="1633040D">
        <w:rPr>
          <w:rFonts w:ascii="Aptos" w:eastAsia="Aptos" w:hAnsi="Aptos" w:cs="Aptos"/>
          <w:b/>
          <w:bCs/>
        </w:rPr>
        <w:t>evroregija</w:t>
      </w:r>
      <w:proofErr w:type="spellEnd"/>
      <w:r w:rsidRPr="1633040D">
        <w:rPr>
          <w:rFonts w:ascii="Aptos" w:eastAsia="Aptos" w:hAnsi="Aptos" w:cs="Aptos"/>
        </w:rPr>
        <w:t xml:space="preserve"> </w:t>
      </w:r>
      <w:r w:rsidR="715C2918" w:rsidRPr="1633040D">
        <w:rPr>
          <w:rFonts w:ascii="Aptos" w:eastAsia="Aptos" w:hAnsi="Aptos" w:cs="Aptos"/>
          <w:b/>
          <w:bCs/>
        </w:rPr>
        <w:t>(E)</w:t>
      </w:r>
      <w:r w:rsidR="715C2918" w:rsidRPr="1633040D">
        <w:rPr>
          <w:rFonts w:ascii="Aptos" w:eastAsia="Aptos" w:hAnsi="Aptos" w:cs="Aptos"/>
        </w:rPr>
        <w:t xml:space="preserve"> </w:t>
      </w:r>
      <w:r w:rsidRPr="1633040D">
        <w:rPr>
          <w:rFonts w:ascii="Aptos" w:eastAsia="Aptos" w:hAnsi="Aptos" w:cs="Aptos"/>
        </w:rPr>
        <w:t>opredeljuje Novo Gorico kot del širšega čezmejnega prostora, kjer se razvojne priložnosti oblikujejo s skupnim načrtovanjem, povezano mobilnostjo, usklajenimi storitvami, odpravljanjem administrativnih ovir in večjo mednarodno prepoznavnostjo.</w:t>
      </w:r>
    </w:p>
    <w:p w14:paraId="6A0F7F59" w14:textId="3FCB3854" w:rsidR="03686AC2" w:rsidRDefault="7196B4B8" w:rsidP="29A8477B">
      <w:pPr>
        <w:spacing w:before="240" w:after="240"/>
        <w:jc w:val="both"/>
        <w:rPr>
          <w:rFonts w:ascii="Aptos" w:eastAsia="Aptos" w:hAnsi="Aptos" w:cs="Aptos"/>
        </w:rPr>
      </w:pPr>
      <w:r w:rsidRPr="00D36719">
        <w:rPr>
          <w:rFonts w:ascii="Aptos" w:eastAsia="Aptos" w:hAnsi="Aptos" w:cs="Aptos"/>
        </w:rPr>
        <w:t xml:space="preserve">V okviru teh stebrov strategija določa dvanajst strateških ciljev. Cilji so oblikovani tako, da presegajo zgolj ozko gledano področje občinskih pristojnosti. Opredeljujejo vsebine, ki so medsebojno odvisne in postavljajo temelj za dolgoročni razvoj. Izvajanje strategije temelji na oblikovanju partnerstev, strateških projektih, ambicioznih programskih sklopih, akcijskih načrtih in preudarnih proračunskih odločitvah. </w:t>
      </w:r>
      <w:r w:rsidRPr="56A112A9">
        <w:rPr>
          <w:rFonts w:ascii="Aptos" w:eastAsia="Aptos" w:hAnsi="Aptos" w:cs="Aptos"/>
        </w:rPr>
        <w:t xml:space="preserve"> </w:t>
      </w:r>
    </w:p>
    <w:p w14:paraId="763FCE0D" w14:textId="3FF09FBF" w:rsidR="00AE2CB0" w:rsidRPr="006C6AEB" w:rsidRDefault="00AE2CB0" w:rsidP="00AE2CB0">
      <w:pPr>
        <w:spacing w:before="240" w:after="240"/>
        <w:jc w:val="both"/>
        <w:rPr>
          <w:rFonts w:ascii="Aptos" w:eastAsia="Aptos" w:hAnsi="Aptos" w:cs="Aptos"/>
        </w:rPr>
      </w:pPr>
      <w:r w:rsidRPr="002F168F">
        <w:rPr>
          <w:rFonts w:ascii="Aptos" w:eastAsia="Aptos" w:hAnsi="Aptos" w:cs="Aptos"/>
          <w:highlight w:val="yellow"/>
        </w:rPr>
        <w:t xml:space="preserve">Horizontalni načeli – Brezmejnost in Trajnostni pristop sta orodji za pripravo aktivnosti in projektnih pobud ter presojo predlogov projektov s katerimi se bo Mestna občina srečevala v prihodnosti. Brezmejnost opredeljuje drzno in inovativno </w:t>
      </w:r>
      <w:r w:rsidRPr="00191261">
        <w:rPr>
          <w:rFonts w:ascii="Aptos" w:eastAsia="Aptos" w:hAnsi="Aptos" w:cs="Aptos"/>
          <w:highlight w:val="yellow"/>
        </w:rPr>
        <w:t>postopanje</w:t>
      </w:r>
      <w:r w:rsidRPr="002F168F">
        <w:rPr>
          <w:rFonts w:ascii="Aptos" w:eastAsia="Aptos" w:hAnsi="Aptos" w:cs="Aptos"/>
          <w:highlight w:val="yellow"/>
        </w:rPr>
        <w:t xml:space="preserve"> za preseganja vseh vrst mej, medtem ko trajnostni pristop zagotavlja usmeritev za izbiro projektov, ki celostno prispevajo k ohranjanju vrednot kakovosti bivanja, zdravega življenjskega okolja in skrbi za ohranjanje naravnih virov.</w:t>
      </w:r>
      <w:r w:rsidRPr="006C6AEB">
        <w:rPr>
          <w:rFonts w:ascii="Aptos" w:eastAsia="Aptos" w:hAnsi="Aptos" w:cs="Aptos"/>
        </w:rPr>
        <w:t xml:space="preserve">  </w:t>
      </w:r>
    </w:p>
    <w:p w14:paraId="64C554A1" w14:textId="77777777" w:rsidR="00AE2CB0" w:rsidRPr="00D36719" w:rsidRDefault="00AE2CB0" w:rsidP="29A8477B">
      <w:pPr>
        <w:spacing w:before="240" w:after="240"/>
        <w:jc w:val="both"/>
        <w:rPr>
          <w:rFonts w:ascii="Aptos" w:eastAsia="Aptos" w:hAnsi="Aptos" w:cs="Aptos"/>
        </w:rPr>
      </w:pPr>
    </w:p>
    <w:p w14:paraId="4B71886F" w14:textId="4C32DDAC" w:rsidR="1B7C8C4F" w:rsidRDefault="574E0C04" w:rsidP="1633040D">
      <w:pPr>
        <w:spacing w:before="240" w:after="240"/>
        <w:jc w:val="both"/>
        <w:rPr>
          <w:rFonts w:ascii="Aptos" w:eastAsia="Aptos" w:hAnsi="Aptos" w:cs="Aptos"/>
        </w:rPr>
      </w:pPr>
      <w:r w:rsidRPr="1F30B503">
        <w:rPr>
          <w:rFonts w:ascii="Aptos" w:eastAsia="Aptos" w:hAnsi="Aptos" w:cs="Aptos"/>
        </w:rPr>
        <w:lastRenderedPageBreak/>
        <w:t xml:space="preserve">Strategija </w:t>
      </w:r>
      <w:r w:rsidR="0B7A4382" w:rsidRPr="1F30B503">
        <w:rPr>
          <w:rFonts w:ascii="Aptos" w:eastAsia="Aptos" w:hAnsi="Aptos" w:cs="Aptos"/>
        </w:rPr>
        <w:t xml:space="preserve">razvoja </w:t>
      </w:r>
      <w:r w:rsidRPr="1F30B503">
        <w:rPr>
          <w:rFonts w:ascii="Aptos" w:eastAsia="Aptos" w:hAnsi="Aptos" w:cs="Aptos"/>
        </w:rPr>
        <w:t xml:space="preserve">MONG 2045 je skupni razvojni dogovor o prihodnosti občine. Njena </w:t>
      </w:r>
      <w:r w:rsidR="1F4AD030" w:rsidRPr="1F30B503">
        <w:rPr>
          <w:rFonts w:ascii="Aptos" w:eastAsia="Aptos" w:hAnsi="Aptos" w:cs="Aptos"/>
        </w:rPr>
        <w:t>naloga je</w:t>
      </w:r>
      <w:r w:rsidRPr="1F30B503">
        <w:rPr>
          <w:rFonts w:ascii="Aptos" w:eastAsia="Aptos" w:hAnsi="Aptos" w:cs="Aptos"/>
        </w:rPr>
        <w:t xml:space="preserve">, da </w:t>
      </w:r>
      <w:r w:rsidR="47E40B5C" w:rsidRPr="1F30B503">
        <w:rPr>
          <w:rFonts w:ascii="Aptos" w:eastAsia="Aptos" w:hAnsi="Aptos" w:cs="Aptos"/>
        </w:rPr>
        <w:t>pomaga</w:t>
      </w:r>
      <w:r w:rsidRPr="1F30B503">
        <w:rPr>
          <w:rFonts w:ascii="Aptos" w:eastAsia="Aptos" w:hAnsi="Aptos" w:cs="Aptos"/>
        </w:rPr>
        <w:t xml:space="preserve"> usmerjati razvojne odločitve, povezovati ključne akterje in pretvarjati prednosti </w:t>
      </w:r>
      <w:r w:rsidR="2441D1B7" w:rsidRPr="1F30B503">
        <w:rPr>
          <w:rFonts w:ascii="Aptos" w:eastAsia="Aptos" w:hAnsi="Aptos" w:cs="Aptos"/>
        </w:rPr>
        <w:t xml:space="preserve">Mestne občine </w:t>
      </w:r>
      <w:r w:rsidRPr="1F30B503">
        <w:rPr>
          <w:rFonts w:ascii="Aptos" w:eastAsia="Aptos" w:hAnsi="Aptos" w:cs="Aptos"/>
        </w:rPr>
        <w:t>Nov</w:t>
      </w:r>
      <w:r w:rsidR="54857F37" w:rsidRPr="1F30B503">
        <w:rPr>
          <w:rFonts w:ascii="Aptos" w:eastAsia="Aptos" w:hAnsi="Aptos" w:cs="Aptos"/>
        </w:rPr>
        <w:t>a</w:t>
      </w:r>
      <w:r w:rsidRPr="1F30B503">
        <w:rPr>
          <w:rFonts w:ascii="Aptos" w:eastAsia="Aptos" w:hAnsi="Aptos" w:cs="Aptos"/>
        </w:rPr>
        <w:t xml:space="preserve"> Goric</w:t>
      </w:r>
      <w:r w:rsidR="55568FDD" w:rsidRPr="1F30B503">
        <w:rPr>
          <w:rFonts w:ascii="Aptos" w:eastAsia="Aptos" w:hAnsi="Aptos" w:cs="Aptos"/>
        </w:rPr>
        <w:t>a</w:t>
      </w:r>
      <w:r w:rsidRPr="1F30B503">
        <w:rPr>
          <w:rFonts w:ascii="Aptos" w:eastAsia="Aptos" w:hAnsi="Aptos" w:cs="Aptos"/>
        </w:rPr>
        <w:t xml:space="preserve"> v dolgoročne razvojne rezultate.</w:t>
      </w:r>
    </w:p>
    <w:p w14:paraId="0A97C512" w14:textId="481E4E25" w:rsidR="5F247FA8" w:rsidRDefault="5F247FA8" w:rsidP="1F30B503">
      <w:pPr>
        <w:spacing w:before="240" w:after="240"/>
        <w:jc w:val="both"/>
      </w:pPr>
      <w:r w:rsidRPr="1F30B503">
        <w:rPr>
          <w:rFonts w:ascii="Aptos" w:eastAsia="Aptos" w:hAnsi="Aptos" w:cs="Aptos"/>
        </w:rPr>
        <w:t>KLJUČNI RAZVOJNI PROJEKTI</w:t>
      </w:r>
    </w:p>
    <w:p w14:paraId="6E4E5AEB" w14:textId="5904C088" w:rsidR="5F247FA8" w:rsidRDefault="5F247FA8" w:rsidP="004A1C14">
      <w:pPr>
        <w:pStyle w:val="Odstavekseznama"/>
        <w:numPr>
          <w:ilvl w:val="0"/>
          <w:numId w:val="1"/>
        </w:numPr>
        <w:spacing w:before="240" w:after="240"/>
        <w:jc w:val="both"/>
        <w:rPr>
          <w:rFonts w:ascii="Aptos" w:eastAsia="Aptos" w:hAnsi="Aptos" w:cs="Aptos"/>
        </w:rPr>
      </w:pPr>
      <w:r w:rsidRPr="1706C59B">
        <w:rPr>
          <w:rFonts w:ascii="Aptos" w:eastAsia="Aptos" w:hAnsi="Aptos" w:cs="Aptos"/>
        </w:rPr>
        <w:t>Vozlišče znanja</w:t>
      </w:r>
      <w:r w:rsidR="59CC8E82" w:rsidRPr="1706C59B">
        <w:rPr>
          <w:rFonts w:ascii="Aptos" w:eastAsia="Aptos" w:hAnsi="Aptos" w:cs="Aptos"/>
        </w:rPr>
        <w:t xml:space="preserve"> v</w:t>
      </w:r>
      <w:r w:rsidRPr="1706C59B">
        <w:rPr>
          <w:rFonts w:ascii="Aptos" w:eastAsia="Aptos" w:hAnsi="Aptos" w:cs="Aptos"/>
        </w:rPr>
        <w:t xml:space="preserve"> Solkan</w:t>
      </w:r>
      <w:r w:rsidR="0B3F06A3" w:rsidRPr="1706C59B">
        <w:rPr>
          <w:rFonts w:ascii="Aptos" w:eastAsia="Aptos" w:hAnsi="Aptos" w:cs="Aptos"/>
        </w:rPr>
        <w:t>u</w:t>
      </w:r>
      <w:r w:rsidRPr="1706C59B">
        <w:rPr>
          <w:rFonts w:ascii="Aptos" w:eastAsia="Aptos" w:hAnsi="Aptos" w:cs="Aptos"/>
        </w:rPr>
        <w:t xml:space="preserve"> – najpomembnejši strukturni projekt;</w:t>
      </w:r>
    </w:p>
    <w:p w14:paraId="43B1824A" w14:textId="2010590F" w:rsidR="5F247FA8" w:rsidRDefault="5F247FA8" w:rsidP="004A1C14">
      <w:pPr>
        <w:pStyle w:val="Odstavekseznama"/>
        <w:numPr>
          <w:ilvl w:val="0"/>
          <w:numId w:val="1"/>
        </w:numPr>
        <w:spacing w:before="240" w:after="240"/>
        <w:jc w:val="both"/>
        <w:rPr>
          <w:rFonts w:ascii="Aptos" w:eastAsia="Aptos" w:hAnsi="Aptos" w:cs="Aptos"/>
        </w:rPr>
      </w:pPr>
      <w:r w:rsidRPr="1F30B503">
        <w:rPr>
          <w:rFonts w:ascii="Aptos" w:eastAsia="Aptos" w:hAnsi="Aptos" w:cs="Aptos"/>
        </w:rPr>
        <w:t xml:space="preserve">Revitalizacija </w:t>
      </w:r>
      <w:r w:rsidR="00AF534F">
        <w:rPr>
          <w:rFonts w:ascii="Aptos" w:eastAsia="Aptos" w:hAnsi="Aptos" w:cs="Aptos"/>
        </w:rPr>
        <w:t>in prestrukturiranje poslovne cone Kromberk zahod</w:t>
      </w:r>
      <w:r w:rsidRPr="1F30B503">
        <w:rPr>
          <w:rFonts w:ascii="Aptos" w:eastAsia="Aptos" w:hAnsi="Aptos" w:cs="Aptos"/>
        </w:rPr>
        <w:t xml:space="preserve"> </w:t>
      </w:r>
      <w:r w:rsidR="00603DA2">
        <w:rPr>
          <w:rFonts w:ascii="Aptos" w:eastAsia="Aptos" w:hAnsi="Aptos" w:cs="Aptos"/>
        </w:rPr>
        <w:t>–</w:t>
      </w:r>
      <w:r w:rsidRPr="1F30B503">
        <w:rPr>
          <w:rFonts w:ascii="Aptos" w:eastAsia="Aptos" w:hAnsi="Aptos" w:cs="Aptos"/>
        </w:rPr>
        <w:t xml:space="preserve"> </w:t>
      </w:r>
      <w:r w:rsidR="00603DA2">
        <w:rPr>
          <w:rFonts w:ascii="Aptos" w:eastAsia="Aptos" w:hAnsi="Aptos" w:cs="Aptos"/>
        </w:rPr>
        <w:t>razrešitev desetletja trajajoče stihije</w:t>
      </w:r>
    </w:p>
    <w:p w14:paraId="1FCFE907" w14:textId="67F126AA" w:rsidR="5F247FA8" w:rsidRDefault="5F247FA8" w:rsidP="004A1C14">
      <w:pPr>
        <w:pStyle w:val="Odstavekseznama"/>
        <w:numPr>
          <w:ilvl w:val="0"/>
          <w:numId w:val="1"/>
        </w:numPr>
        <w:spacing w:before="240" w:after="240"/>
        <w:jc w:val="both"/>
        <w:rPr>
          <w:rFonts w:ascii="Aptos" w:eastAsia="Aptos" w:hAnsi="Aptos" w:cs="Aptos"/>
        </w:rPr>
      </w:pPr>
      <w:r w:rsidRPr="1F30B503">
        <w:rPr>
          <w:rFonts w:ascii="Aptos" w:eastAsia="Aptos" w:hAnsi="Aptos" w:cs="Aptos"/>
        </w:rPr>
        <w:t>Čezmejno prometno vozlišče - od simbolične k funkcionalni brezmejnosti (s skrbjo za lokalne prebivalce)</w:t>
      </w:r>
    </w:p>
    <w:p w14:paraId="449A3C5D" w14:textId="39C38EFE" w:rsidR="5F247FA8" w:rsidRDefault="5F247FA8" w:rsidP="004A1C14">
      <w:pPr>
        <w:pStyle w:val="Odstavekseznama"/>
        <w:numPr>
          <w:ilvl w:val="0"/>
          <w:numId w:val="1"/>
        </w:numPr>
        <w:spacing w:before="240" w:after="240"/>
        <w:jc w:val="both"/>
        <w:rPr>
          <w:rFonts w:ascii="Aptos" w:eastAsia="Aptos" w:hAnsi="Aptos" w:cs="Aptos"/>
        </w:rPr>
      </w:pPr>
      <w:r w:rsidRPr="1F30B503">
        <w:rPr>
          <w:rFonts w:ascii="Aptos" w:eastAsia="Aptos" w:hAnsi="Aptos" w:cs="Aptos"/>
        </w:rPr>
        <w:t>Fakultetni center UNG – osrednji projekt univerzitetnega mesta</w:t>
      </w:r>
    </w:p>
    <w:p w14:paraId="764C3814" w14:textId="4D8B9752" w:rsidR="5F247FA8" w:rsidRDefault="5F247FA8" w:rsidP="004A1C14">
      <w:pPr>
        <w:pStyle w:val="Odstavekseznama"/>
        <w:numPr>
          <w:ilvl w:val="0"/>
          <w:numId w:val="1"/>
        </w:numPr>
        <w:spacing w:before="240" w:after="240"/>
        <w:jc w:val="both"/>
        <w:rPr>
          <w:rFonts w:ascii="Aptos" w:eastAsia="Aptos" w:hAnsi="Aptos" w:cs="Aptos"/>
        </w:rPr>
      </w:pPr>
      <w:r w:rsidRPr="1F30B503">
        <w:rPr>
          <w:rFonts w:ascii="Aptos" w:eastAsia="Aptos" w:hAnsi="Aptos" w:cs="Aptos"/>
        </w:rPr>
        <w:t>Aktivacija stavbnih zemljišč za stanovanjsko gradnjo – podporni projekt, ki omogoča realizacijo ostalih  (</w:t>
      </w:r>
      <w:r w:rsidR="00856C42">
        <w:rPr>
          <w:rFonts w:ascii="Aptos" w:eastAsia="Aptos" w:hAnsi="Aptos" w:cs="Aptos"/>
        </w:rPr>
        <w:t>M</w:t>
      </w:r>
      <w:r w:rsidRPr="1F30B503">
        <w:rPr>
          <w:rFonts w:ascii="Aptos" w:eastAsia="Aptos" w:hAnsi="Aptos" w:cs="Aptos"/>
        </w:rPr>
        <w:t>ajske poljane,</w:t>
      </w:r>
      <w:r w:rsidR="00856C42">
        <w:rPr>
          <w:rFonts w:ascii="Aptos" w:eastAsia="Aptos" w:hAnsi="Aptos" w:cs="Aptos"/>
        </w:rPr>
        <w:t xml:space="preserve"> R</w:t>
      </w:r>
      <w:r w:rsidRPr="1F30B503">
        <w:rPr>
          <w:rFonts w:ascii="Aptos" w:eastAsia="Aptos" w:hAnsi="Aptos" w:cs="Aptos"/>
        </w:rPr>
        <w:t xml:space="preserve">ezidenca ob </w:t>
      </w:r>
      <w:proofErr w:type="spellStart"/>
      <w:r w:rsidRPr="1F30B503">
        <w:rPr>
          <w:rFonts w:ascii="Aptos" w:eastAsia="Aptos" w:hAnsi="Aptos" w:cs="Aptos"/>
        </w:rPr>
        <w:t>Kornu</w:t>
      </w:r>
      <w:proofErr w:type="spellEnd"/>
      <w:r w:rsidRPr="1F30B503">
        <w:rPr>
          <w:rFonts w:ascii="Aptos" w:eastAsia="Aptos" w:hAnsi="Aptos" w:cs="Aptos"/>
        </w:rPr>
        <w:t xml:space="preserve">, </w:t>
      </w:r>
      <w:r w:rsidR="00D14439">
        <w:rPr>
          <w:rFonts w:ascii="Aptos" w:eastAsia="Aptos" w:hAnsi="Aptos" w:cs="Aptos"/>
        </w:rPr>
        <w:t xml:space="preserve">OPPN </w:t>
      </w:r>
      <w:r w:rsidR="1B0EBBF5" w:rsidRPr="1F30B503">
        <w:rPr>
          <w:rFonts w:ascii="Aptos" w:eastAsia="Aptos" w:hAnsi="Aptos" w:cs="Aptos"/>
        </w:rPr>
        <w:t xml:space="preserve">ob gasilskem domu, </w:t>
      </w:r>
      <w:proofErr w:type="spellStart"/>
      <w:r w:rsidRPr="1F30B503">
        <w:rPr>
          <w:rFonts w:ascii="Aptos" w:eastAsia="Aptos" w:hAnsi="Aptos" w:cs="Aptos"/>
        </w:rPr>
        <w:t>Ščedne</w:t>
      </w:r>
      <w:proofErr w:type="spellEnd"/>
      <w:r w:rsidRPr="1F30B503">
        <w:rPr>
          <w:rFonts w:ascii="Aptos" w:eastAsia="Aptos" w:hAnsi="Aptos" w:cs="Aptos"/>
        </w:rPr>
        <w:t>,</w:t>
      </w:r>
      <w:r w:rsidR="345A983E" w:rsidRPr="1F30B503">
        <w:rPr>
          <w:rFonts w:ascii="Aptos" w:eastAsia="Aptos" w:hAnsi="Aptos" w:cs="Aptos"/>
        </w:rPr>
        <w:t xml:space="preserve"> </w:t>
      </w:r>
      <w:r w:rsidRPr="1F30B503">
        <w:rPr>
          <w:rFonts w:ascii="Aptos" w:eastAsia="Aptos" w:hAnsi="Aptos" w:cs="Aptos"/>
        </w:rPr>
        <w:t>podeželje)</w:t>
      </w:r>
    </w:p>
    <w:p w14:paraId="43E64B7E" w14:textId="2BAD2FA0" w:rsidR="0F35166F" w:rsidRDefault="0F35166F" w:rsidP="004A1C14">
      <w:pPr>
        <w:pStyle w:val="Odstavekseznama"/>
        <w:numPr>
          <w:ilvl w:val="0"/>
          <w:numId w:val="1"/>
        </w:numPr>
        <w:spacing w:before="240" w:after="240"/>
        <w:jc w:val="both"/>
        <w:rPr>
          <w:rFonts w:ascii="Aptos" w:eastAsia="Aptos" w:hAnsi="Aptos" w:cs="Aptos"/>
        </w:rPr>
      </w:pPr>
      <w:r w:rsidRPr="1F30B503">
        <w:rPr>
          <w:rFonts w:ascii="Aptos" w:eastAsia="Aptos" w:hAnsi="Aptos" w:cs="Aptos"/>
        </w:rPr>
        <w:t>Čezmejni razvoj območja reke Soče: Soča-</w:t>
      </w:r>
      <w:proofErr w:type="spellStart"/>
      <w:r w:rsidRPr="1F30B503">
        <w:rPr>
          <w:rFonts w:ascii="Aptos" w:eastAsia="Aptos" w:hAnsi="Aptos" w:cs="Aptos"/>
        </w:rPr>
        <w:t>Isonzo</w:t>
      </w:r>
      <w:proofErr w:type="spellEnd"/>
      <w:r w:rsidRPr="1F30B503">
        <w:rPr>
          <w:rFonts w:ascii="Aptos" w:eastAsia="Aptos" w:hAnsi="Aptos" w:cs="Aptos"/>
        </w:rPr>
        <w:t xml:space="preserve"> II</w:t>
      </w:r>
      <w:r w:rsidR="17BE6034" w:rsidRPr="1F30B503">
        <w:rPr>
          <w:rFonts w:ascii="Aptos" w:eastAsia="Aptos" w:hAnsi="Aptos" w:cs="Aptos"/>
        </w:rPr>
        <w:t xml:space="preserve"> – vodilni projekt identitete prostora</w:t>
      </w:r>
    </w:p>
    <w:p w14:paraId="714F8271" w14:textId="3762655C" w:rsidR="00DD37DA" w:rsidRDefault="17BE6034" w:rsidP="00AE2CB0">
      <w:pPr>
        <w:pStyle w:val="Odstavekseznama"/>
        <w:numPr>
          <w:ilvl w:val="0"/>
          <w:numId w:val="1"/>
        </w:numPr>
        <w:spacing w:before="240" w:after="240"/>
        <w:jc w:val="both"/>
        <w:rPr>
          <w:rFonts w:ascii="Aptos" w:eastAsia="Aptos" w:hAnsi="Aptos" w:cs="Aptos"/>
        </w:rPr>
      </w:pPr>
      <w:r w:rsidRPr="1F30B503">
        <w:rPr>
          <w:rFonts w:ascii="Aptos" w:eastAsia="Aptos" w:hAnsi="Aptos" w:cs="Aptos"/>
        </w:rPr>
        <w:t>Program revitalizacije lokalnih središč - projekt teritorialne kohezije občine</w:t>
      </w:r>
    </w:p>
    <w:p w14:paraId="202D24DB" w14:textId="070B9568" w:rsidR="002F168F" w:rsidRPr="002F168F" w:rsidRDefault="00BE3363" w:rsidP="00024A70">
      <w:pPr>
        <w:spacing w:before="240" w:after="240"/>
        <w:jc w:val="both"/>
        <w:rPr>
          <w:rFonts w:ascii="Aptos" w:eastAsia="Aptos" w:hAnsi="Aptos" w:cs="Aptos"/>
        </w:rPr>
      </w:pPr>
      <w:r>
        <w:rPr>
          <w:rFonts w:ascii="Aptos" w:eastAsia="Aptos" w:hAnsi="Aptos" w:cs="Aptos"/>
        </w:rPr>
        <w:br w:type="page"/>
      </w:r>
    </w:p>
    <w:p w14:paraId="42B23AC2" w14:textId="4495CFF4" w:rsidR="00DA5A6B" w:rsidRDefault="4E3481F0" w:rsidP="004A1C14">
      <w:pPr>
        <w:pStyle w:val="Naslov1"/>
        <w:numPr>
          <w:ilvl w:val="0"/>
          <w:numId w:val="40"/>
        </w:numPr>
        <w:spacing w:before="240" w:after="120"/>
        <w:ind w:left="357" w:hanging="357"/>
      </w:pPr>
      <w:bookmarkStart w:id="6" w:name="_Toc1542365558"/>
      <w:bookmarkStart w:id="7" w:name="_Toc2099313852"/>
      <w:bookmarkStart w:id="8" w:name="_Toc239414892"/>
      <w:r>
        <w:lastRenderedPageBreak/>
        <w:t>Zakaj strategija</w:t>
      </w:r>
      <w:bookmarkEnd w:id="6"/>
      <w:bookmarkEnd w:id="7"/>
      <w:bookmarkEnd w:id="8"/>
    </w:p>
    <w:p w14:paraId="19037BCE" w14:textId="37847A0C" w:rsidR="06D34D52" w:rsidRDefault="5BCAFC35" w:rsidP="29A8477B">
      <w:pPr>
        <w:jc w:val="both"/>
      </w:pPr>
      <w:r w:rsidRPr="008465CE">
        <w:rPr>
          <w:highlight w:val="yellow"/>
        </w:rPr>
        <w:t>Mestna občina Nova Gorica potrebuje razvojni okvir</w:t>
      </w:r>
      <w:r>
        <w:t>, ki bo povezal ključne odločitve, projekte in partnerstva v daljšem časovnem obdobju.</w:t>
      </w:r>
      <w:r w:rsidR="5A7477C8">
        <w:t xml:space="preserve"> Celovitega strateškega razvoj</w:t>
      </w:r>
      <w:r w:rsidR="2652FFB4">
        <w:t>neg</w:t>
      </w:r>
      <w:r w:rsidR="5A7477C8">
        <w:t>a dokumenta v zadnjih dveh desetletjih MONG ni izdelala.</w:t>
      </w:r>
      <w:r>
        <w:t xml:space="preserve"> Občina ima danes številne sektorske dokumente, razvojne pobude, projektne </w:t>
      </w:r>
      <w:r w:rsidR="37D55456">
        <w:t>usmeritve</w:t>
      </w:r>
      <w:r>
        <w:t xml:space="preserve"> in strokovne podlage</w:t>
      </w:r>
      <w:r w:rsidR="41876C86">
        <w:t xml:space="preserve">. </w:t>
      </w:r>
      <w:r w:rsidR="41876C86" w:rsidRPr="1706C59B">
        <w:rPr>
          <w:rFonts w:eastAsiaTheme="minorEastAsia"/>
          <w:color w:val="000000" w:themeColor="text1"/>
        </w:rPr>
        <w:t>O</w:t>
      </w:r>
      <w:r w:rsidR="41876C86" w:rsidRPr="1706C59B">
        <w:rPr>
          <w:rFonts w:eastAsiaTheme="minorEastAsia"/>
          <w:color w:val="000000" w:themeColor="text1"/>
          <w:sz w:val="21"/>
          <w:szCs w:val="21"/>
        </w:rPr>
        <w:t xml:space="preserve">bstoječe sektorske strategije </w:t>
      </w:r>
      <w:r w:rsidR="41876C86" w:rsidRPr="1706C59B">
        <w:rPr>
          <w:rFonts w:eastAsiaTheme="minorEastAsia"/>
          <w:color w:val="000000" w:themeColor="text1"/>
        </w:rPr>
        <w:t>so</w:t>
      </w:r>
      <w:r w:rsidR="41876C86" w:rsidRPr="1706C59B">
        <w:rPr>
          <w:rFonts w:eastAsiaTheme="minorEastAsia"/>
          <w:color w:val="000000" w:themeColor="text1"/>
          <w:sz w:val="21"/>
          <w:szCs w:val="21"/>
        </w:rPr>
        <w:t xml:space="preserve"> večinoma kratkoročne (5 let)</w:t>
      </w:r>
      <w:r w:rsidR="41876C86" w:rsidRPr="1706C59B">
        <w:rPr>
          <w:rFonts w:eastAsiaTheme="minorEastAsia"/>
          <w:color w:val="000000" w:themeColor="text1"/>
        </w:rPr>
        <w:t>.</w:t>
      </w:r>
      <w:r w:rsidR="41876C86" w:rsidRPr="1706C59B">
        <w:rPr>
          <w:rFonts w:eastAsiaTheme="minorEastAsia"/>
          <w:color w:val="000000" w:themeColor="text1"/>
          <w:sz w:val="21"/>
          <w:szCs w:val="21"/>
        </w:rPr>
        <w:t xml:space="preserve"> </w:t>
      </w:r>
      <w:r w:rsidR="41876C86" w:rsidRPr="1706C59B">
        <w:rPr>
          <w:rFonts w:eastAsiaTheme="minorEastAsia"/>
          <w:color w:val="000000" w:themeColor="text1"/>
        </w:rPr>
        <w:t>V</w:t>
      </w:r>
      <w:r w:rsidR="41876C86" w:rsidRPr="1706C59B">
        <w:rPr>
          <w:rFonts w:eastAsiaTheme="minorEastAsia"/>
          <w:color w:val="000000" w:themeColor="text1"/>
          <w:sz w:val="21"/>
          <w:szCs w:val="21"/>
        </w:rPr>
        <w:t xml:space="preserve"> strateških dokumentih je pogosto spregledan ekonomsko-gospodarski položaj občine ter položaj podeželskega dela občine</w:t>
      </w:r>
      <w:r w:rsidR="56178FA6" w:rsidRPr="1706C59B">
        <w:rPr>
          <w:rFonts w:eastAsiaTheme="minorEastAsia"/>
          <w:color w:val="000000" w:themeColor="text1"/>
          <w:sz w:val="21"/>
          <w:szCs w:val="21"/>
        </w:rPr>
        <w:t xml:space="preserve"> v odnosu do mesta.</w:t>
      </w:r>
      <w:r w:rsidRPr="1706C59B">
        <w:rPr>
          <w:rFonts w:eastAsiaTheme="minorEastAsia"/>
        </w:rPr>
        <w:t xml:space="preserve"> </w:t>
      </w:r>
      <w:r>
        <w:t xml:space="preserve"> Strategija </w:t>
      </w:r>
      <w:r w:rsidR="6542D2AB">
        <w:t xml:space="preserve">razvoja </w:t>
      </w:r>
      <w:r>
        <w:t>MONG 2045 zato vzpostavlja krovni okvir, ki povezuje različna področja občinskega delovanja v skupno vizijo razvoja mesta, podeželja</w:t>
      </w:r>
      <w:r w:rsidR="70B89B55">
        <w:t xml:space="preserve"> in</w:t>
      </w:r>
      <w:r>
        <w:t xml:space="preserve"> regijskega središča</w:t>
      </w:r>
      <w:r w:rsidR="7A2E0417">
        <w:t xml:space="preserve"> z vplivom na </w:t>
      </w:r>
      <w:r w:rsidR="4D7673F8">
        <w:t xml:space="preserve">Goriško </w:t>
      </w:r>
      <w:r w:rsidR="7A2E0417">
        <w:t xml:space="preserve">širše mestno območje </w:t>
      </w:r>
      <w:r>
        <w:t>in</w:t>
      </w:r>
      <w:r w:rsidR="040DA16D">
        <w:t xml:space="preserve"> širš</w:t>
      </w:r>
      <w:r w:rsidR="0460B27F">
        <w:t>i</w:t>
      </w:r>
      <w:r w:rsidR="040DA16D">
        <w:t xml:space="preserve"> </w:t>
      </w:r>
      <w:r>
        <w:t xml:space="preserve"> čezmejn</w:t>
      </w:r>
      <w:r w:rsidR="575D96FE">
        <w:t>i</w:t>
      </w:r>
      <w:r>
        <w:t xml:space="preserve"> prostor. </w:t>
      </w:r>
    </w:p>
    <w:p w14:paraId="79B63B72" w14:textId="6E8CAE89" w:rsidR="06D34D52" w:rsidRDefault="2DCBE005" w:rsidP="4DEB5EF2">
      <w:pPr>
        <w:jc w:val="both"/>
      </w:pPr>
      <w:r>
        <w:t xml:space="preserve">Obdobje do leta 2045 zahteva dolgoročen pogled, ker se </w:t>
      </w:r>
      <w:r w:rsidR="681DA2D9">
        <w:t xml:space="preserve">lahko </w:t>
      </w:r>
      <w:r>
        <w:t>ključni razvojni izzivi občine  reš</w:t>
      </w:r>
      <w:r w:rsidR="4C59A068">
        <w:t xml:space="preserve">ujejo z dolgoročnimi povezanimi ukrepi, ki presegajo </w:t>
      </w:r>
      <w:r>
        <w:t xml:space="preserve"> en</w:t>
      </w:r>
      <w:r w:rsidR="76371935">
        <w:t>o</w:t>
      </w:r>
      <w:r>
        <w:t xml:space="preserve"> mandatn</w:t>
      </w:r>
      <w:r w:rsidR="37B2FDEF">
        <w:t>o</w:t>
      </w:r>
      <w:r>
        <w:t xml:space="preserve"> obdobj</w:t>
      </w:r>
      <w:r w:rsidR="5099C802">
        <w:t>e</w:t>
      </w:r>
      <w:r>
        <w:t xml:space="preserve">. Demografske spremembe, stanovanjska politika, razvoj gospodarstva, krepitev univerzitetnega in raziskovalnega okolja, prometna povezanost, čezmejno upravljanje, razvoj podeželja, podnebna odpornost in kakovost javnih storitev zahtevajo vztrajnost, usklajenost in postopno izvajanje skozi daljše </w:t>
      </w:r>
      <w:r w:rsidR="530A054E">
        <w:t xml:space="preserve">časovno </w:t>
      </w:r>
      <w:r>
        <w:t>obdobje.</w:t>
      </w:r>
    </w:p>
    <w:p w14:paraId="2AA409F9" w14:textId="2F329F2C" w:rsidR="06D34D52" w:rsidRDefault="09D8E391" w:rsidP="4DEB5EF2">
      <w:pPr>
        <w:jc w:val="both"/>
      </w:pPr>
      <w:r>
        <w:t xml:space="preserve">Strategija je potrebna tudi zato, ker </w:t>
      </w:r>
      <w:r w:rsidR="523257CF">
        <w:t xml:space="preserve">je </w:t>
      </w:r>
      <w:r>
        <w:t>Nova Gorica</w:t>
      </w:r>
      <w:r w:rsidR="258311A0">
        <w:t xml:space="preserve"> poleg občinskega središča tudi regijsko središče </w:t>
      </w:r>
      <w:r w:rsidR="653AA279">
        <w:t xml:space="preserve">in hkrati tudi del čezmejnega </w:t>
      </w:r>
      <w:r w:rsidR="5B67CE70">
        <w:t xml:space="preserve">središča </w:t>
      </w:r>
      <w:r w:rsidR="258311A0">
        <w:t xml:space="preserve">z oblikovanim čezmejnim širšim mestnim območjem. </w:t>
      </w:r>
      <w:r>
        <w:t xml:space="preserve"> Kot </w:t>
      </w:r>
      <w:r w:rsidR="71460E99">
        <w:t xml:space="preserve">mestna občina, regijsko središče in del čezmejnega </w:t>
      </w:r>
      <w:proofErr w:type="spellStart"/>
      <w:r w:rsidR="71460E99">
        <w:t>somestja</w:t>
      </w:r>
      <w:proofErr w:type="spellEnd"/>
      <w:r w:rsidR="71460E99">
        <w:t xml:space="preserve"> </w:t>
      </w:r>
      <w:r>
        <w:t>mora oblikovati razvojne odgovore, ki presegajo posamezne sektorje in ozko lokalne interese. Njena prihodnja konkurenčnost bo odvisna od sposobnosti povezovanja: z državo, sosednjimi občinami, Gorico, regijskimi institucijami, gospodarstvom, univerzo, javnimi zavodi, krajevnimi skupnostmi in civilno družbo.</w:t>
      </w:r>
    </w:p>
    <w:p w14:paraId="4766AE31" w14:textId="0BBECBE1" w:rsidR="00F652A7" w:rsidRDefault="2DCBE005" w:rsidP="4DEB5EF2">
      <w:pPr>
        <w:jc w:val="both"/>
      </w:pPr>
      <w:r>
        <w:t>Izkušnja Evropske prestolnice kulture 2025 je pokazala, da lahko Nova Gorica s čezmejnim sodelovanjem, ustvarjalnostjo in jasno razvojno ambicijo oblikuje</w:t>
      </w:r>
      <w:r w:rsidR="5B3ADE67">
        <w:t xml:space="preserve"> razvojne</w:t>
      </w:r>
      <w:r>
        <w:t xml:space="preserve"> projekte evropskega pomena. Vendar mora ta izkušnja postati več kot enkraten dogodek. Postati mora razvojni model: način, kako občina razmišlja, načrtuje in izvaja skupne projekte v prostoru, ki je po svoji naravi brezmejen. </w:t>
      </w:r>
    </w:p>
    <w:p w14:paraId="61692E0A" w14:textId="53084A16" w:rsidR="4DEB5EF2" w:rsidRDefault="68B4FFE6" w:rsidP="4DEB5EF2">
      <w:pPr>
        <w:jc w:val="both"/>
      </w:pPr>
      <w:r w:rsidRPr="4DEB5EF2">
        <w:t>Prav zato strategija pomeni</w:t>
      </w:r>
      <w:r w:rsidR="06D34D52" w:rsidRPr="4DEB5EF2">
        <w:t xml:space="preserve"> skupni razvojni dogovor. Določa smer, v katero želi občina voditi svoj razvoj, in ustvarja podlago za umeščanje projektov, pripravo akcijskih načrtov, usklajevanje proračunskih odločitev, povezovanje partnerjev ter spremljanje napredka. Njena vrednost bo v tem, da bo omogočila bolj zbrane, premišljene in dosledne razvojne odločitve.</w:t>
      </w:r>
    </w:p>
    <w:p w14:paraId="57E73B37" w14:textId="38099B59" w:rsidR="008F2AA8" w:rsidRDefault="2DBD4420" w:rsidP="004A1C14">
      <w:pPr>
        <w:pStyle w:val="Naslov1"/>
        <w:numPr>
          <w:ilvl w:val="0"/>
          <w:numId w:val="40"/>
        </w:numPr>
        <w:spacing w:before="240" w:after="120"/>
        <w:ind w:left="357" w:hanging="357"/>
      </w:pPr>
      <w:bookmarkStart w:id="9" w:name="_Toc239414893"/>
      <w:bookmarkStart w:id="10" w:name="_Toc783978648"/>
      <w:bookmarkStart w:id="11" w:name="_Toc1012204007"/>
      <w:r>
        <w:t>Pot do strategije</w:t>
      </w:r>
      <w:bookmarkEnd w:id="9"/>
      <w:r w:rsidR="216047E7">
        <w:t xml:space="preserve"> </w:t>
      </w:r>
      <w:bookmarkEnd w:id="10"/>
      <w:bookmarkEnd w:id="11"/>
    </w:p>
    <w:p w14:paraId="5EE9CFB5" w14:textId="56923A3D" w:rsidR="21DF7E0D" w:rsidRDefault="11CD1923" w:rsidP="29A8477B">
      <w:pPr>
        <w:spacing w:before="240" w:after="240"/>
        <w:jc w:val="both"/>
        <w:rPr>
          <w:rFonts w:ascii="Aptos" w:eastAsia="Aptos" w:hAnsi="Aptos" w:cs="Aptos"/>
        </w:rPr>
      </w:pPr>
      <w:r w:rsidRPr="1706C59B">
        <w:rPr>
          <w:rFonts w:ascii="Aptos" w:eastAsia="Aptos" w:hAnsi="Aptos" w:cs="Aptos"/>
        </w:rPr>
        <w:t xml:space="preserve">Strategija </w:t>
      </w:r>
      <w:r w:rsidR="05453FCD" w:rsidRPr="1706C59B">
        <w:rPr>
          <w:rFonts w:ascii="Aptos" w:eastAsia="Aptos" w:hAnsi="Aptos" w:cs="Aptos"/>
        </w:rPr>
        <w:t xml:space="preserve">razvoja </w:t>
      </w:r>
      <w:r w:rsidRPr="1706C59B">
        <w:rPr>
          <w:rFonts w:ascii="Aptos" w:eastAsia="Aptos" w:hAnsi="Aptos" w:cs="Aptos"/>
        </w:rPr>
        <w:t>MONG 2045 je nastajala kot strokovno voden in participativen proces. Izhajala je iz pregleda obstoječih sektorskih strategij, strokovnih podlag, občinskih razvojnih usmeritev in že evidentiranih ukrepov</w:t>
      </w:r>
      <w:r w:rsidR="23CBB417" w:rsidRPr="1706C59B">
        <w:rPr>
          <w:rFonts w:ascii="Aptos" w:eastAsia="Aptos" w:hAnsi="Aptos" w:cs="Aptos"/>
        </w:rPr>
        <w:t xml:space="preserve"> (Priloga 3)</w:t>
      </w:r>
      <w:r w:rsidR="697A2114" w:rsidRPr="1706C59B">
        <w:rPr>
          <w:rFonts w:ascii="Aptos" w:eastAsia="Aptos" w:hAnsi="Aptos" w:cs="Aptos"/>
        </w:rPr>
        <w:t>.</w:t>
      </w:r>
      <w:r w:rsidRPr="1706C59B">
        <w:rPr>
          <w:rFonts w:ascii="Aptos" w:eastAsia="Aptos" w:hAnsi="Aptos" w:cs="Aptos"/>
        </w:rPr>
        <w:t xml:space="preserve"> </w:t>
      </w:r>
      <w:r w:rsidR="3065091A" w:rsidRPr="1706C59B">
        <w:rPr>
          <w:rFonts w:ascii="Aptos" w:eastAsia="Aptos" w:hAnsi="Aptos" w:cs="Aptos"/>
        </w:rPr>
        <w:t>H</w:t>
      </w:r>
      <w:r w:rsidRPr="1706C59B">
        <w:rPr>
          <w:rFonts w:ascii="Aptos" w:eastAsia="Aptos" w:hAnsi="Aptos" w:cs="Aptos"/>
        </w:rPr>
        <w:t xml:space="preserve">krati pa je bila nadgrajena z razpravami </w:t>
      </w:r>
      <w:r w:rsidR="6DE158B1" w:rsidRPr="1706C59B">
        <w:rPr>
          <w:rFonts w:ascii="Aptos" w:eastAsia="Aptos" w:hAnsi="Aptos" w:cs="Aptos"/>
        </w:rPr>
        <w:t>s številnimi deležniki</w:t>
      </w:r>
      <w:r w:rsidR="1E4AF00B" w:rsidRPr="1706C59B">
        <w:rPr>
          <w:rFonts w:ascii="Aptos" w:eastAsia="Aptos" w:hAnsi="Aptos" w:cs="Aptos"/>
        </w:rPr>
        <w:t>.</w:t>
      </w:r>
      <w:r w:rsidRPr="1706C59B">
        <w:rPr>
          <w:rFonts w:ascii="Aptos" w:eastAsia="Aptos" w:hAnsi="Aptos" w:cs="Aptos"/>
        </w:rPr>
        <w:t xml:space="preserve"> </w:t>
      </w:r>
      <w:r w:rsidR="6F11F672" w:rsidRPr="1706C59B">
        <w:rPr>
          <w:rFonts w:ascii="Aptos" w:eastAsia="Aptos" w:hAnsi="Aptos" w:cs="Aptos"/>
        </w:rPr>
        <w:t xml:space="preserve"> Namen procesa je bil oblikovati skupen strateški okvir za dolgoročni razvoj mesta in podeželja ter za krepitev vloge Nove Gorice kot regijskega in čezmejnega središča v Goriškem širšem mestnem območju in širšem čezmejnem prostoru.</w:t>
      </w:r>
    </w:p>
    <w:p w14:paraId="147987D7" w14:textId="37F86E24" w:rsidR="648709C5" w:rsidRDefault="648709C5" w:rsidP="4DEB5EF2">
      <w:pPr>
        <w:spacing w:before="240" w:after="240"/>
        <w:jc w:val="both"/>
        <w:rPr>
          <w:rFonts w:ascii="Aptos" w:eastAsia="Aptos" w:hAnsi="Aptos" w:cs="Aptos"/>
        </w:rPr>
      </w:pPr>
      <w:r w:rsidRPr="4DEB5EF2">
        <w:rPr>
          <w:rFonts w:ascii="Aptos" w:eastAsia="Aptos" w:hAnsi="Aptos" w:cs="Aptos"/>
        </w:rPr>
        <w:t>Proces je bil zasnovan postopno. Začel se je z oblikovanjem razvojne vizije in prepoznavanjem ključnih vsebinskih področij, nato pa se je nadaljeval s pregledom sektorskih strategij in obstoječih</w:t>
      </w:r>
      <w:r w:rsidR="5232FB15" w:rsidRPr="4DEB5EF2">
        <w:rPr>
          <w:rFonts w:ascii="Aptos" w:eastAsia="Aptos" w:hAnsi="Aptos" w:cs="Aptos"/>
        </w:rPr>
        <w:t xml:space="preserve"> ciljev in</w:t>
      </w:r>
      <w:r w:rsidRPr="4DEB5EF2">
        <w:rPr>
          <w:rFonts w:ascii="Aptos" w:eastAsia="Aptos" w:hAnsi="Aptos" w:cs="Aptos"/>
        </w:rPr>
        <w:t xml:space="preserve"> ukrepov. Na tej podlagi so bili oblikovani prvi krovni cilji in nabor možnih ukrepov, ki so bili v nadaljevanju preverjeni, dopolnjeni in preoblikovani skozi delavnice ter posvete z različnimi skupinami deležnikov.</w:t>
      </w:r>
    </w:p>
    <w:p w14:paraId="6CF7EE9A" w14:textId="42BBB6D2" w:rsidR="403228BC" w:rsidRDefault="2E35D389" w:rsidP="4DEB5EF2">
      <w:pPr>
        <w:spacing w:before="240" w:after="240"/>
        <w:jc w:val="both"/>
      </w:pPr>
      <w:r w:rsidRPr="29A8477B">
        <w:rPr>
          <w:rFonts w:ascii="Aptos" w:eastAsia="Aptos" w:hAnsi="Aptos" w:cs="Aptos"/>
        </w:rPr>
        <w:lastRenderedPageBreak/>
        <w:t>Posebna vrednost procesa je bila v tem, da so se</w:t>
      </w:r>
      <w:r w:rsidR="00DD37DA">
        <w:rPr>
          <w:rFonts w:ascii="Aptos" w:eastAsia="Aptos" w:hAnsi="Aptos" w:cs="Aptos"/>
        </w:rPr>
        <w:t xml:space="preserve"> </w:t>
      </w:r>
      <w:r w:rsidRPr="29A8477B">
        <w:rPr>
          <w:rFonts w:ascii="Aptos" w:eastAsia="Aptos" w:hAnsi="Aptos" w:cs="Aptos"/>
        </w:rPr>
        <w:t xml:space="preserve">razvojne teme pokazale kot izrazito povezane. Stanovanjska politika, mobilnost, dostopnost storitev, znanje, gospodarstvo, turizem, kultura in urejanje prostora se niso odpirali kot ločena sektorska vprašanja, temveč kot medsebojno </w:t>
      </w:r>
      <w:r w:rsidR="00DD37DA" w:rsidRPr="000606B8">
        <w:rPr>
          <w:rFonts w:ascii="Aptos" w:eastAsia="Aptos" w:hAnsi="Aptos" w:cs="Aptos"/>
          <w:highlight w:val="yellow"/>
        </w:rPr>
        <w:t>so</w:t>
      </w:r>
      <w:r w:rsidRPr="000606B8">
        <w:rPr>
          <w:rFonts w:ascii="Aptos" w:eastAsia="Aptos" w:hAnsi="Aptos" w:cs="Aptos"/>
          <w:highlight w:val="yellow"/>
        </w:rPr>
        <w:t>odvisni ra</w:t>
      </w:r>
      <w:r w:rsidRPr="29A8477B">
        <w:rPr>
          <w:rFonts w:ascii="Aptos" w:eastAsia="Aptos" w:hAnsi="Aptos" w:cs="Aptos"/>
        </w:rPr>
        <w:t xml:space="preserve">zvojni pogoji. To je potrdilo potrebo po strategiji, ki presega ozko sektorsko obravnavo in razvoj občine </w:t>
      </w:r>
      <w:r w:rsidR="323E9960" w:rsidRPr="29A8477B">
        <w:rPr>
          <w:rFonts w:ascii="Aptos" w:eastAsia="Aptos" w:hAnsi="Aptos" w:cs="Aptos"/>
        </w:rPr>
        <w:t>obravnava</w:t>
      </w:r>
      <w:r w:rsidRPr="29A8477B">
        <w:rPr>
          <w:rFonts w:ascii="Aptos" w:eastAsia="Aptos" w:hAnsi="Aptos" w:cs="Aptos"/>
        </w:rPr>
        <w:t xml:space="preserve"> kot povezan sistem</w:t>
      </w:r>
      <w:r w:rsidR="3800A1DD" w:rsidRPr="29A8477B">
        <w:rPr>
          <w:rFonts w:ascii="Aptos" w:eastAsia="Aptos" w:hAnsi="Aptos" w:cs="Aptos"/>
        </w:rPr>
        <w:t>.</w:t>
      </w:r>
      <w:r w:rsidRPr="29A8477B">
        <w:rPr>
          <w:rFonts w:ascii="Aptos" w:eastAsia="Aptos" w:hAnsi="Aptos" w:cs="Aptos"/>
        </w:rPr>
        <w:t xml:space="preserve"> </w:t>
      </w:r>
    </w:p>
    <w:p w14:paraId="7D3480EF" w14:textId="2C387C20" w:rsidR="648709C5" w:rsidRDefault="333ECAE7" w:rsidP="4DEB5EF2">
      <w:pPr>
        <w:spacing w:before="240" w:after="240"/>
        <w:jc w:val="both"/>
      </w:pPr>
      <w:r w:rsidRPr="1F30B503">
        <w:rPr>
          <w:rFonts w:ascii="Aptos" w:eastAsia="Aptos" w:hAnsi="Aptos" w:cs="Aptos"/>
        </w:rPr>
        <w:t xml:space="preserve">V pripravo strategije je bil vključen širok nabor deležnikov. Poleg intenzivnega sodelovanja občinske uprave so v procesu sodelovali predstavniki krajevnih skupnosti, javnih zavodov, gospodarstva, </w:t>
      </w:r>
      <w:r w:rsidR="6FEA9F54" w:rsidRPr="1F30B503">
        <w:rPr>
          <w:rFonts w:ascii="Aptos" w:eastAsia="Aptos" w:hAnsi="Aptos" w:cs="Aptos"/>
        </w:rPr>
        <w:t xml:space="preserve">različnih </w:t>
      </w:r>
      <w:r w:rsidRPr="1F30B503">
        <w:rPr>
          <w:rFonts w:ascii="Aptos" w:eastAsia="Aptos" w:hAnsi="Aptos" w:cs="Aptos"/>
        </w:rPr>
        <w:t xml:space="preserve">strokovnih skupin, družbenih dejavnosti in mestnega sveta. Skupaj je bilo izvedenih 19 tematskih srečanj, na katera je bilo vabljenih 233 predstavnikov, zabeleženih pa je bilo 179 udeležb. Tudi v času </w:t>
      </w:r>
      <w:r w:rsidR="0F827AF7" w:rsidRPr="1F30B503">
        <w:rPr>
          <w:rFonts w:ascii="Aptos" w:eastAsia="Aptos" w:hAnsi="Aptos" w:cs="Aptos"/>
        </w:rPr>
        <w:t>tematskih srečanj z različnimi deležniki</w:t>
      </w:r>
      <w:r w:rsidRPr="1F30B503">
        <w:rPr>
          <w:rFonts w:ascii="Aptos" w:eastAsia="Aptos" w:hAnsi="Aptos" w:cs="Aptos"/>
        </w:rPr>
        <w:t xml:space="preserve"> so potekali dodatni posveti znotraj občinske uprave in njenih </w:t>
      </w:r>
      <w:r w:rsidRPr="008465CE">
        <w:rPr>
          <w:rFonts w:ascii="Aptos" w:eastAsia="Aptos" w:hAnsi="Aptos" w:cs="Aptos"/>
        </w:rPr>
        <w:t>služb.</w:t>
      </w:r>
      <w:r w:rsidR="2E325DF9" w:rsidRPr="1F30B503">
        <w:rPr>
          <w:rFonts w:ascii="Aptos" w:eastAsia="Aptos" w:hAnsi="Aptos" w:cs="Aptos"/>
        </w:rPr>
        <w:t xml:space="preserve"> </w:t>
      </w:r>
      <w:r w:rsidR="218E1C26" w:rsidRPr="1F30B503">
        <w:rPr>
          <w:rFonts w:ascii="Aptos" w:eastAsia="Aptos" w:hAnsi="Aptos" w:cs="Aptos"/>
        </w:rPr>
        <w:t>Takšen obseg procesa</w:t>
      </w:r>
      <w:r w:rsidR="17CF8EC2" w:rsidRPr="1F30B503">
        <w:rPr>
          <w:rFonts w:ascii="Aptos" w:eastAsia="Aptos" w:hAnsi="Aptos" w:cs="Aptos"/>
        </w:rPr>
        <w:t xml:space="preserve"> pa</w:t>
      </w:r>
      <w:r w:rsidR="218E1C26" w:rsidRPr="1F30B503">
        <w:rPr>
          <w:rFonts w:ascii="Aptos" w:eastAsia="Aptos" w:hAnsi="Aptos" w:cs="Aptos"/>
        </w:rPr>
        <w:t xml:space="preserve"> je omogočil, da so bili razvojni cilji preverjeni z različnih vidikov in da strategija odraža širše razumevanje potreb mesta, podeželja in čezmejnega prostora.</w:t>
      </w:r>
    </w:p>
    <w:p w14:paraId="30EB396E" w14:textId="217132A8" w:rsidR="648709C5" w:rsidRDefault="21DF7E0D" w:rsidP="4DEB5EF2">
      <w:pPr>
        <w:spacing w:before="240" w:after="240"/>
        <w:jc w:val="both"/>
        <w:rPr>
          <w:rFonts w:ascii="Aptos" w:eastAsia="Aptos" w:hAnsi="Aptos" w:cs="Aptos"/>
        </w:rPr>
      </w:pPr>
      <w:r w:rsidRPr="29A8477B">
        <w:rPr>
          <w:rFonts w:ascii="Aptos" w:eastAsia="Aptos" w:hAnsi="Aptos" w:cs="Aptos"/>
        </w:rPr>
        <w:t>Pri oblikovanju strateškega okvira je bilo</w:t>
      </w:r>
      <w:r w:rsidR="6FF2757D" w:rsidRPr="29A8477B">
        <w:rPr>
          <w:rFonts w:ascii="Aptos" w:eastAsia="Aptos" w:hAnsi="Aptos" w:cs="Aptos"/>
        </w:rPr>
        <w:t xml:space="preserve"> na tematskih </w:t>
      </w:r>
      <w:r w:rsidR="4A686C1A" w:rsidRPr="29A8477B">
        <w:rPr>
          <w:rFonts w:ascii="Aptos" w:eastAsia="Aptos" w:hAnsi="Aptos" w:cs="Aptos"/>
        </w:rPr>
        <w:t xml:space="preserve">srečanjih </w:t>
      </w:r>
      <w:r w:rsidRPr="29A8477B">
        <w:rPr>
          <w:rFonts w:ascii="Aptos" w:eastAsia="Aptos" w:hAnsi="Aptos" w:cs="Aptos"/>
        </w:rPr>
        <w:t xml:space="preserve">uporabljeno tudi točkovanje ciljev. Točkovanje </w:t>
      </w:r>
      <w:r w:rsidR="0005BE1D" w:rsidRPr="29A8477B">
        <w:rPr>
          <w:rFonts w:ascii="Aptos" w:eastAsia="Aptos" w:hAnsi="Aptos" w:cs="Aptos"/>
        </w:rPr>
        <w:t>je</w:t>
      </w:r>
      <w:r w:rsidR="1D4F91A8" w:rsidRPr="29A8477B">
        <w:rPr>
          <w:rFonts w:ascii="Aptos" w:eastAsia="Aptos" w:hAnsi="Aptos" w:cs="Aptos"/>
        </w:rPr>
        <w:t xml:space="preserve"> </w:t>
      </w:r>
      <w:r w:rsidRPr="29A8477B">
        <w:rPr>
          <w:rFonts w:ascii="Aptos" w:eastAsia="Aptos" w:hAnsi="Aptos" w:cs="Aptos"/>
        </w:rPr>
        <w:t xml:space="preserve">bilo uporabljeno kot </w:t>
      </w:r>
      <w:r w:rsidR="00AE0966">
        <w:rPr>
          <w:rFonts w:ascii="Aptos" w:eastAsia="Aptos" w:hAnsi="Aptos" w:cs="Aptos"/>
        </w:rPr>
        <w:t>podlaga</w:t>
      </w:r>
      <w:r w:rsidRPr="29A8477B">
        <w:rPr>
          <w:rFonts w:ascii="Aptos" w:eastAsia="Aptos" w:hAnsi="Aptos" w:cs="Aptos"/>
        </w:rPr>
        <w:t xml:space="preserve"> za presojo prioritet. Pri nadaljnjem oblikovanju ciljev </w:t>
      </w:r>
      <w:r w:rsidR="00AE0966">
        <w:rPr>
          <w:rFonts w:ascii="Aptos" w:eastAsia="Aptos" w:hAnsi="Aptos" w:cs="Aptos"/>
        </w:rPr>
        <w:t xml:space="preserve">pa </w:t>
      </w:r>
      <w:r w:rsidRPr="29A8477B">
        <w:rPr>
          <w:rFonts w:ascii="Aptos" w:eastAsia="Aptos" w:hAnsi="Aptos" w:cs="Aptos"/>
        </w:rPr>
        <w:t>so bile upoštevane tudi vsebinske povezave, ponavljajoče se teme, razvojni učinek posameznih predlogov ter možnost združevanja sorodnih ukrepov v bolj pregledne strateške cilje.</w:t>
      </w:r>
    </w:p>
    <w:p w14:paraId="2B7D9F70" w14:textId="01C69BA9" w:rsidR="00F652A7" w:rsidRDefault="0CB363C1" w:rsidP="29A8477B">
      <w:pPr>
        <w:spacing w:before="240" w:after="240"/>
        <w:jc w:val="both"/>
        <w:rPr>
          <w:rFonts w:eastAsia="Segoe UI" w:cs="Segoe UI"/>
          <w:color w:val="242424"/>
        </w:rPr>
      </w:pPr>
      <w:r w:rsidRPr="1706C59B">
        <w:rPr>
          <w:rFonts w:ascii="Aptos" w:eastAsia="Aptos" w:hAnsi="Aptos" w:cs="Aptos"/>
        </w:rPr>
        <w:t xml:space="preserve">Rezultat procesa je prehod od širokega nabora pobud, ciljev in ukrepov k bolj zgoščenemu strateškemu okviru. </w:t>
      </w:r>
      <w:r w:rsidR="73C3FEC0" w:rsidRPr="1706C59B">
        <w:rPr>
          <w:rFonts w:ascii="Aptos" w:eastAsia="Aptos" w:hAnsi="Aptos" w:cs="Aptos"/>
        </w:rPr>
        <w:t>Strategija posamezne predloge povzema z različno stopnjo podrobnosti in jih hkrati umešča v jasno strukturo vizije, razvojnih stebrov, ciljev, razvojnih usmeritev, strateških projektov in kazalnikov.</w:t>
      </w:r>
      <w:r w:rsidRPr="1706C59B">
        <w:rPr>
          <w:rFonts w:ascii="Aptos" w:eastAsia="Aptos" w:hAnsi="Aptos" w:cs="Aptos"/>
        </w:rPr>
        <w:t xml:space="preserve"> </w:t>
      </w:r>
      <w:r w:rsidR="3E5003BC" w:rsidRPr="1706C59B">
        <w:rPr>
          <w:rFonts w:eastAsia="Segoe UI" w:cs="Segoe UI"/>
          <w:color w:val="242424"/>
        </w:rPr>
        <w:t>Posamezne ključne projekte je tako mogoče ovrednotiti glede na njihov prispevek k strateškim ciljem, način uresničevanja obeh horizontalnih načel, možne nosilce, časovni okvir izvedbe ter podporo viziji MONG 2045.</w:t>
      </w:r>
    </w:p>
    <w:p w14:paraId="35186A49" w14:textId="14521F6F" w:rsidR="00987C83" w:rsidRPr="00AE32FD" w:rsidRDefault="2DBD4420" w:rsidP="004A1C14">
      <w:pPr>
        <w:pStyle w:val="Naslov1"/>
        <w:numPr>
          <w:ilvl w:val="0"/>
          <w:numId w:val="40"/>
        </w:numPr>
        <w:spacing w:before="240" w:after="120"/>
        <w:ind w:left="357" w:hanging="357"/>
      </w:pPr>
      <w:bookmarkStart w:id="12" w:name="_Toc590861726"/>
      <w:bookmarkStart w:id="13" w:name="_Toc1666608043"/>
      <w:bookmarkStart w:id="14" w:name="_Toc239414894"/>
      <w:r>
        <w:t>Razvojni položaj in ključni izzivi mestne občine</w:t>
      </w:r>
      <w:bookmarkEnd w:id="12"/>
      <w:bookmarkEnd w:id="13"/>
      <w:bookmarkEnd w:id="14"/>
    </w:p>
    <w:p w14:paraId="360F3E95" w14:textId="461754F0" w:rsidR="00D35F0D" w:rsidRDefault="2E38F6C9" w:rsidP="29A8477B">
      <w:pPr>
        <w:jc w:val="both"/>
      </w:pPr>
      <w:r>
        <w:t>Mestna občina Nova Gorica vstopa v obdobje do leta 2045 kot prostor z izrazitimi razvojnimi prednostmi</w:t>
      </w:r>
      <w:r w:rsidR="18EB01AC">
        <w:t xml:space="preserve"> in</w:t>
      </w:r>
      <w:r>
        <w:t xml:space="preserve"> z jasno prepoznanimi strukturnimi izzivi. </w:t>
      </w:r>
      <w:r w:rsidR="7C328B5D">
        <w:t xml:space="preserve">Mestna občina Nova Gorica ima status mestne občine, Nova Gorica pa vlogo regijskega in čezmejnega središča ter skupaj s Šempetrom pri Gorici in Gorico tvori čezmejno urbano območje. Občinski prostor zaznamuje bogata naravna, kulturna, gospodarska in družbena raznolikost. </w:t>
      </w:r>
      <w:r>
        <w:t xml:space="preserve">Hkrati se sooča z demografskimi spremembami, vprašanjem razvojne konkurenčnosti, </w:t>
      </w:r>
      <w:r w:rsidR="62966741">
        <w:t>iskanjem ravnotežja</w:t>
      </w:r>
      <w:r>
        <w:t xml:space="preserve"> med mestom in podeželjem, </w:t>
      </w:r>
      <w:r w:rsidR="2980AAEA">
        <w:t>spremembami v gospodarski strukturi</w:t>
      </w:r>
      <w:r>
        <w:t xml:space="preserve">, </w:t>
      </w:r>
      <w:r w:rsidR="3AF6A9E5">
        <w:t>izzivi</w:t>
      </w:r>
      <w:r>
        <w:t xml:space="preserve"> čezmejnega upravljanja ter potrebo po večji usklajenosti delovanja javnih sistemov.</w:t>
      </w:r>
    </w:p>
    <w:p w14:paraId="592392B7" w14:textId="15A0C3EA" w:rsidR="00D35F0D" w:rsidRPr="00D35F0D" w:rsidRDefault="2E38F6C9" w:rsidP="4DEB5EF2">
      <w:pPr>
        <w:jc w:val="both"/>
        <w:rPr>
          <w:rFonts w:ascii="Aptos" w:eastAsia="Aptos" w:hAnsi="Aptos" w:cs="Aptos"/>
        </w:rPr>
      </w:pPr>
      <w:r>
        <w:t xml:space="preserve">Namen tega poglavja </w:t>
      </w:r>
      <w:r w:rsidR="6800BD1E">
        <w:t xml:space="preserve">je </w:t>
      </w:r>
      <w:r>
        <w:t>strnjeno opredeliti tista razvojna vprašanja, ki najbolj vplivajo na izbiro vizije, stebrov, ciljev in prihodnjih projektov.</w:t>
      </w:r>
      <w:r w:rsidR="37FB8C44">
        <w:t xml:space="preserve"> </w:t>
      </w:r>
      <w:r w:rsidR="747F30BF" w:rsidRPr="29A8477B">
        <w:rPr>
          <w:rFonts w:ascii="Aptos" w:eastAsia="Aptos" w:hAnsi="Aptos" w:cs="Aptos"/>
        </w:rPr>
        <w:t xml:space="preserve">Izzivi so zato predstavljeni kot strateška izhodišča za oblikovanje razvojnega </w:t>
      </w:r>
      <w:r w:rsidR="6EE3F80A" w:rsidRPr="29A8477B">
        <w:rPr>
          <w:rFonts w:ascii="Aptos" w:eastAsia="Aptos" w:hAnsi="Aptos" w:cs="Aptos"/>
        </w:rPr>
        <w:t>dogovora</w:t>
      </w:r>
      <w:r w:rsidR="747F30BF" w:rsidRPr="29A8477B">
        <w:rPr>
          <w:rFonts w:ascii="Aptos" w:eastAsia="Aptos" w:hAnsi="Aptos" w:cs="Aptos"/>
        </w:rPr>
        <w:t xml:space="preserve"> Mestne občine Nova Gorica do leta 2045.</w:t>
      </w:r>
    </w:p>
    <w:p w14:paraId="32DB5D41" w14:textId="15A0C3EA" w:rsidR="0009737C" w:rsidRDefault="1BC44FA1" w:rsidP="00B4329D">
      <w:pPr>
        <w:pStyle w:val="Naslov2"/>
        <w:spacing w:before="240" w:after="120"/>
      </w:pPr>
      <w:bookmarkStart w:id="15" w:name="_Toc1941379589"/>
      <w:bookmarkStart w:id="16" w:name="_Toc341748448"/>
      <w:bookmarkStart w:id="17" w:name="_Toc239414895"/>
      <w:r>
        <w:t xml:space="preserve">4.1 </w:t>
      </w:r>
      <w:r w:rsidR="76569827">
        <w:t>Demografska odpornost in privabljanje aktivnega prebivalstva</w:t>
      </w:r>
      <w:bookmarkEnd w:id="15"/>
      <w:bookmarkEnd w:id="16"/>
      <w:bookmarkEnd w:id="17"/>
    </w:p>
    <w:p w14:paraId="79FC58A1" w14:textId="37382044" w:rsidR="00B260E8" w:rsidRDefault="3898B154" w:rsidP="00690A66">
      <w:pPr>
        <w:jc w:val="both"/>
      </w:pPr>
      <w:r>
        <w:t>Eden ključnih dolgoročnih izzivov občine in regije so demografske spremembe. Projekcije in razvojni trendi kažejo na tveganje postopnega zmanjševanja števila prebivalcev, staranja prebivalstva ter pomanjkanja delovno aktivnih oseb. Ti procesi niso značilni samo za Novo Gorico ali Goriško, temveč so del širših slovenskih in evropskih trendov</w:t>
      </w:r>
      <w:r w:rsidR="13C907B4">
        <w:t xml:space="preserve">. </w:t>
      </w:r>
      <w:r w:rsidR="22A56867">
        <w:t>Največji učinek imajo v</w:t>
      </w:r>
      <w:r>
        <w:t xml:space="preserve"> prostoru z razpršeno poselitvijo, izrazitim podeželskim zaledjem in omejeno kritično maso prebivalstva.</w:t>
      </w:r>
      <w:r w:rsidR="3AEE0404">
        <w:t xml:space="preserve"> V</w:t>
      </w:r>
      <w:r w:rsidR="1990BC10">
        <w:t xml:space="preserve"> izdelani </w:t>
      </w:r>
      <w:r w:rsidR="68C69AFC">
        <w:t>demografski študiji</w:t>
      </w:r>
      <w:r w:rsidR="3AEE0404">
        <w:t xml:space="preserve"> je </w:t>
      </w:r>
      <w:r w:rsidR="3AEE0404">
        <w:lastRenderedPageBreak/>
        <w:t>kot pomembno tveganje izpostavljen</w:t>
      </w:r>
      <w:r w:rsidR="1990BC10">
        <w:t>a</w:t>
      </w:r>
      <w:r w:rsidR="3AEE0404">
        <w:t xml:space="preserve"> možnost zmanjšanja števila prebivalcev v regiji do približno 5 % v 20-letnem obdobju, pri čemer so negativni trendi izrazitejši v </w:t>
      </w:r>
      <w:r w:rsidR="2AD37595">
        <w:t>višje ležečih</w:t>
      </w:r>
      <w:r w:rsidR="3AEE0404">
        <w:t xml:space="preserve"> in redkeje poseljenih delih kot v ravninskih oziroma dolinskih območjih.</w:t>
      </w:r>
    </w:p>
    <w:p w14:paraId="34EFD35C" w14:textId="7324147B" w:rsidR="004D3DBD" w:rsidRPr="00B260E8" w:rsidRDefault="324CB4FA" w:rsidP="29A8477B">
      <w:pPr>
        <w:jc w:val="both"/>
      </w:pPr>
      <w:r w:rsidRPr="29A8477B">
        <w:rPr>
          <w:rFonts w:ascii="Aptos" w:eastAsia="Aptos" w:hAnsi="Aptos" w:cs="Aptos"/>
        </w:rPr>
        <w:t>Demografska odpornost temelji na stabilnem številu prebivalcev ter sposobnosti prostora, da ljudi privablja, razvija njihove potenciale in ustvarja pogoje za njihovo dolgoročno bivanje.</w:t>
      </w:r>
      <w:r w:rsidR="7673D8EF">
        <w:t xml:space="preserve"> Za prihodnji razvoj bodo ključni dostopna stanovanja, kakovostna delovna mesta, izobraževalne in raziskovalne priložnosti, kakovostne javne storitve, varno in zdravo življenjsko okolje ter občutek pripadnosti skupnosti. </w:t>
      </w:r>
      <w:r w:rsidR="00B62205" w:rsidRPr="00B62205">
        <w:t>Mestna občina Nova Gorica</w:t>
      </w:r>
      <w:r w:rsidR="7673D8EF">
        <w:t xml:space="preserve"> mora zato demografski izziv razumeti širše</w:t>
      </w:r>
      <w:r w:rsidR="7CC86FB7">
        <w:t xml:space="preserve">, in sicer </w:t>
      </w:r>
      <w:r w:rsidR="7673D8EF">
        <w:t>kot vprašanje kakovosti bivanja, gospodarske vitalnosti, stanovanjskih možnosti, dostopnosti storitev in privlačnosti prostora za mlade, družine, strokovnjake, ustvarjalce in nove prebivalce.</w:t>
      </w:r>
    </w:p>
    <w:p w14:paraId="3E67B03F" w14:textId="20CE9E2B" w:rsidR="0006164C" w:rsidRDefault="32F8F356" w:rsidP="00F475D6">
      <w:pPr>
        <w:pStyle w:val="Naslov2"/>
        <w:spacing w:before="240" w:after="120"/>
      </w:pPr>
      <w:bookmarkStart w:id="18" w:name="_Toc1346638591"/>
      <w:bookmarkStart w:id="19" w:name="_Toc1417854922"/>
      <w:bookmarkStart w:id="20" w:name="_Toc239414896"/>
      <w:r>
        <w:t xml:space="preserve">4.2 </w:t>
      </w:r>
      <w:r w:rsidR="6C92B98F">
        <w:t>Kritična masa in vloga regijskega ter čezmejnega središča</w:t>
      </w:r>
      <w:bookmarkEnd w:id="18"/>
      <w:bookmarkEnd w:id="19"/>
      <w:bookmarkEnd w:id="20"/>
    </w:p>
    <w:p w14:paraId="1BF2D2A7" w14:textId="3C66DA1A" w:rsidR="001F4E49" w:rsidRDefault="4C1747F9" w:rsidP="00690A66">
      <w:pPr>
        <w:jc w:val="both"/>
      </w:pPr>
      <w:r>
        <w:t xml:space="preserve">Mestna občina Nova Gorica ima zaradi </w:t>
      </w:r>
      <w:r w:rsidR="285C6766">
        <w:t xml:space="preserve">opredelitve </w:t>
      </w:r>
      <w:r w:rsidR="1AFEF151">
        <w:t xml:space="preserve">središča Nova Gorica </w:t>
      </w:r>
      <w:r w:rsidR="0FF3919F">
        <w:t>v državnem omrežju naselij</w:t>
      </w:r>
      <w:r>
        <w:t xml:space="preserve"> bistveno širšo razvojno vlogo, kot jo določajo njene administrativne meje. </w:t>
      </w:r>
      <w:r w:rsidR="13FE3F7C">
        <w:t>Nova Gorica je</w:t>
      </w:r>
      <w:r w:rsidR="154D0BDF">
        <w:t xml:space="preserve"> glede na hierarhijo naselij v SPRS</w:t>
      </w:r>
      <w:r w:rsidR="7AF8D207">
        <w:t xml:space="preserve"> 2050</w:t>
      </w:r>
      <w:r w:rsidR="13FE3F7C">
        <w:t xml:space="preserve"> središče druge ravni, regijsko in čezmejno središče ter </w:t>
      </w:r>
      <w:r w:rsidR="2746213D">
        <w:t xml:space="preserve">s tem del </w:t>
      </w:r>
      <w:r w:rsidR="13FE3F7C">
        <w:t>nosiln</w:t>
      </w:r>
      <w:r w:rsidR="37816B61">
        <w:t>e urbane aglomeracije</w:t>
      </w:r>
      <w:r w:rsidR="13FE3F7C">
        <w:t xml:space="preserve"> Goriškega širšega mestnega območja. Skupaj s Šempetrom pri Gorici in Gorico tvori čezmejno urbano območje, zato razvoj občine pomembno vpliva na Severno Primorsko (Goriško) razvojno regijo in širši čezmejni prostor. Takšna vloga občini nalaga posebno razvojno odgovornost in ji odpira pomembne priložnosti za povezovanje, usklajevanje ter krepitev funkcij regionalnega in mednarodnega pomena.</w:t>
      </w:r>
      <w:r w:rsidR="2A1D8F95">
        <w:t xml:space="preserve"> </w:t>
      </w:r>
    </w:p>
    <w:p w14:paraId="7AD97A26" w14:textId="3FF886E6" w:rsidR="001F4E49" w:rsidRDefault="733B3FA3" w:rsidP="00690A66">
      <w:pPr>
        <w:jc w:val="both"/>
      </w:pPr>
      <w:r>
        <w:t xml:space="preserve">Vprašanje kritične mase je za Novo Gorico eno osrednjih strateških vprašanj. Posamezna občina sama ne more vedno zagotoviti obsega prebivalstva, storitev, institucij, kadrov in investicij, ki jih zahteva sodoben mestni razvoj. V povezavi s sosednjimi občinami in čezmejnim prostorom  lahko Nova Gorica oblikuje bistveno močnejši razvojni okvir. Prav zato </w:t>
      </w:r>
      <w:r w:rsidR="699E8B14">
        <w:t xml:space="preserve">bo </w:t>
      </w:r>
      <w:r>
        <w:t>strategija prese</w:t>
      </w:r>
      <w:r w:rsidR="21291E86">
        <w:t>gla</w:t>
      </w:r>
      <w:r>
        <w:t xml:space="preserve"> ozko občinsko logiko in Novo Gorico </w:t>
      </w:r>
      <w:r w:rsidR="1943104B">
        <w:t xml:space="preserve">opredelila </w:t>
      </w:r>
      <w:r>
        <w:t>kot povezovalno središče širšega funkcionalnega prostora.</w:t>
      </w:r>
    </w:p>
    <w:p w14:paraId="6CFB4E13" w14:textId="6CCB269D" w:rsidR="00E00608" w:rsidRDefault="7070B208" w:rsidP="1F30B503">
      <w:pPr>
        <w:jc w:val="both"/>
      </w:pPr>
      <w:r>
        <w:t>Mesto Nova Gorica ima, upoštevaje meje naselja, približno 13.000 prebivalcev</w:t>
      </w:r>
      <w:r w:rsidR="1F06DC93">
        <w:t>,</w:t>
      </w:r>
      <w:r>
        <w:t xml:space="preserve"> in je po velikosti 13. mesto v Sloveniji. </w:t>
      </w:r>
      <w:r w:rsidR="58050E25" w:rsidRPr="1F30B503">
        <w:rPr>
          <w:rFonts w:eastAsiaTheme="minorEastAsia"/>
        </w:rPr>
        <w:t>Naselje Nova Gorica skupaj z naselji Solkan, Kromberk, Pristava, Ajševica, Rožna Dolina, Loke in Stara Gora predstavlja skupn</w:t>
      </w:r>
      <w:r w:rsidR="6586259B" w:rsidRPr="1F30B503">
        <w:rPr>
          <w:rFonts w:eastAsiaTheme="minorEastAsia"/>
        </w:rPr>
        <w:t>o urbano območje</w:t>
      </w:r>
      <w:r w:rsidR="2011AD76" w:rsidRPr="1F30B503">
        <w:rPr>
          <w:rFonts w:eastAsiaTheme="minorEastAsia"/>
        </w:rPr>
        <w:t xml:space="preserve"> </w:t>
      </w:r>
      <w:r w:rsidR="48A1C380" w:rsidRPr="1F30B503">
        <w:rPr>
          <w:rFonts w:eastAsiaTheme="minorEastAsia"/>
        </w:rPr>
        <w:t>z</w:t>
      </w:r>
      <w:r w:rsidR="2011AD76" w:rsidRPr="1F30B503">
        <w:rPr>
          <w:rFonts w:eastAsiaTheme="minorEastAsia"/>
        </w:rPr>
        <w:t xml:space="preserve"> </w:t>
      </w:r>
      <w:r w:rsidR="1F62D791" w:rsidRPr="1F30B503">
        <w:rPr>
          <w:rFonts w:eastAsiaTheme="minorEastAsia"/>
        </w:rPr>
        <w:t>20</w:t>
      </w:r>
      <w:r w:rsidR="5C2F306A" w:rsidRPr="1F30B503">
        <w:rPr>
          <w:rFonts w:eastAsiaTheme="minorEastAsia"/>
        </w:rPr>
        <w:t>.000</w:t>
      </w:r>
      <w:r w:rsidR="2011AD76" w:rsidRPr="1F30B503">
        <w:rPr>
          <w:rFonts w:eastAsiaTheme="minorEastAsia"/>
        </w:rPr>
        <w:t xml:space="preserve"> prebiva</w:t>
      </w:r>
      <w:r w:rsidR="2011AD76" w:rsidRPr="1F30B503">
        <w:rPr>
          <w:rFonts w:ascii="Aptos" w:eastAsia="Aptos" w:hAnsi="Aptos" w:cs="Aptos"/>
          <w:sz w:val="24"/>
          <w:szCs w:val="24"/>
        </w:rPr>
        <w:t>lci</w:t>
      </w:r>
      <w:r w:rsidR="58050E25" w:rsidRPr="1F30B503">
        <w:rPr>
          <w:rFonts w:ascii="Aptos" w:eastAsia="Aptos" w:hAnsi="Aptos" w:cs="Aptos"/>
          <w:sz w:val="24"/>
          <w:szCs w:val="24"/>
          <w:u w:val="single"/>
        </w:rPr>
        <w:t>.</w:t>
      </w:r>
      <w:r w:rsidR="58050E25">
        <w:t xml:space="preserve"> </w:t>
      </w:r>
      <w:r>
        <w:t xml:space="preserve"> </w:t>
      </w:r>
      <w:r w:rsidR="7C00125F">
        <w:t>U</w:t>
      </w:r>
      <w:r>
        <w:t>pošteva</w:t>
      </w:r>
      <w:r w:rsidR="0A96F869">
        <w:t>je</w:t>
      </w:r>
      <w:r>
        <w:t xml:space="preserve"> čezmejno </w:t>
      </w:r>
      <w:r w:rsidR="0F793A49">
        <w:t>urbano območje</w:t>
      </w:r>
      <w:r>
        <w:t xml:space="preserve"> Nove Gorice, Gorice in Šempetra pri Gorici s sosednjimi naselji, </w:t>
      </w:r>
      <w:r w:rsidR="4B5A0DE5">
        <w:t>presega</w:t>
      </w:r>
      <w:r>
        <w:t xml:space="preserve"> 60.000 prebivalc</w:t>
      </w:r>
      <w:r w:rsidR="025187A9">
        <w:t>ev</w:t>
      </w:r>
      <w:r>
        <w:t xml:space="preserve">, kar takšen prostor po velikosti umešča med največja urbana območja v </w:t>
      </w:r>
      <w:r w:rsidR="06BD5170">
        <w:t>Sloveniji</w:t>
      </w:r>
      <w:r>
        <w:t xml:space="preserve">. </w:t>
      </w:r>
    </w:p>
    <w:p w14:paraId="013030C1" w14:textId="5B48C8D9" w:rsidR="00947313" w:rsidRDefault="5EA5E007" w:rsidP="00290A3E">
      <w:pPr>
        <w:pStyle w:val="Naslov2"/>
        <w:spacing w:before="240" w:after="120"/>
      </w:pPr>
      <w:bookmarkStart w:id="21" w:name="_Toc1659048576"/>
      <w:bookmarkStart w:id="22" w:name="_Toc1363917522"/>
      <w:bookmarkStart w:id="23" w:name="_Toc239414897"/>
      <w:r>
        <w:t xml:space="preserve">4.3 </w:t>
      </w:r>
      <w:r w:rsidR="05421680">
        <w:t>Mesto in podeželje kot povezan razvojni prostor</w:t>
      </w:r>
      <w:bookmarkEnd w:id="21"/>
      <w:bookmarkEnd w:id="22"/>
      <w:bookmarkEnd w:id="23"/>
    </w:p>
    <w:p w14:paraId="7B554C2D" w14:textId="6329AE4A" w:rsidR="00947313" w:rsidRDefault="03B11B45" w:rsidP="29A8477B">
      <w:pPr>
        <w:jc w:val="both"/>
      </w:pPr>
      <w:r>
        <w:t>MONG je prostorsko zelo raznolika občina.</w:t>
      </w:r>
      <w:r w:rsidR="4377A76C">
        <w:t xml:space="preserve"> Po površini je 10. največja občina v Sloveniji, med mestnimi občinami pa je po površini na 3. mestu</w:t>
      </w:r>
      <w:r w:rsidR="2FEBF607">
        <w:t>.</w:t>
      </w:r>
      <w:r w:rsidR="4377A76C">
        <w:t xml:space="preserve"> </w:t>
      </w:r>
      <w:r>
        <w:t xml:space="preserve">Sestavljajo jo </w:t>
      </w:r>
      <w:r w:rsidR="0B439395">
        <w:t>središče</w:t>
      </w:r>
      <w:r>
        <w:t xml:space="preserve"> Nov</w:t>
      </w:r>
      <w:r w:rsidR="3E91315E">
        <w:t>a</w:t>
      </w:r>
      <w:r>
        <w:t xml:space="preserve"> Goric</w:t>
      </w:r>
      <w:r w:rsidR="3E91315E">
        <w:t>a</w:t>
      </w:r>
      <w:r>
        <w:t>, podeželski del Vipavske doline ter obsežnejša, redkeje poseljena območja Trnovsko-Banjške planote</w:t>
      </w:r>
      <w:r w:rsidR="1E09F1D4">
        <w:t>. To</w:t>
      </w:r>
      <w:r w:rsidR="31216A00">
        <w:t xml:space="preserve"> dodatno poudarja prostorsk</w:t>
      </w:r>
      <w:r w:rsidR="0F4B187F">
        <w:t>o</w:t>
      </w:r>
      <w:r w:rsidR="31216A00">
        <w:t xml:space="preserve"> raznolikost in zahtevnost uravnoteženega razvoja občine.</w:t>
      </w:r>
      <w:r>
        <w:t xml:space="preserve"> </w:t>
      </w:r>
      <w:r w:rsidR="47E03B6C">
        <w:t>R</w:t>
      </w:r>
      <w:r>
        <w:t>aznolikost je ena od pomembnih kakovosti občine, vendar hkrati odpira vprašanje notranje povezanosti, enakomerne dostopnosti storitev in občutka skupne razvojne pripadnosti.</w:t>
      </w:r>
    </w:p>
    <w:p w14:paraId="1299C57B" w14:textId="21E2EEB4" w:rsidR="00697CA5" w:rsidRDefault="21ED9475" w:rsidP="29A8477B">
      <w:pPr>
        <w:jc w:val="both"/>
      </w:pPr>
      <w:r>
        <w:t xml:space="preserve">Razkorak med mestom in podeželjem </w:t>
      </w:r>
      <w:r w:rsidR="72963384">
        <w:t>predstavlja</w:t>
      </w:r>
      <w:r>
        <w:t xml:space="preserve"> izziv</w:t>
      </w:r>
      <w:r w:rsidR="20760FA4">
        <w:t xml:space="preserve"> pri</w:t>
      </w:r>
      <w:r>
        <w:t xml:space="preserve"> oblikovanj</w:t>
      </w:r>
      <w:r w:rsidR="1F866B2D">
        <w:t>u</w:t>
      </w:r>
      <w:r>
        <w:t xml:space="preserve"> bolj povezanega razvojnega modela. Podeželje</w:t>
      </w:r>
      <w:r w:rsidR="5AE147C1">
        <w:t xml:space="preserve"> ni zgolj</w:t>
      </w:r>
      <w:r w:rsidR="6C4FE68A">
        <w:t xml:space="preserve"> zaledje mesta</w:t>
      </w:r>
      <w:r w:rsidR="5AE147C1">
        <w:t>, temveč</w:t>
      </w:r>
      <w:r w:rsidR="6C4FE68A">
        <w:t xml:space="preserve"> </w:t>
      </w:r>
      <w:r w:rsidR="6F9D2064">
        <w:t>je</w:t>
      </w:r>
      <w:r>
        <w:t xml:space="preserve"> prostor bivanja, kmetijstva, lokalne samooskrbe, naravne in kulturne dediščine, turizma, rekreacije, skupnostnega življenja in novih oblik dela. Mesto  zagotavlja storitve, institucije, delovna mesta, izobraževanje in širšo prepoznavnost. Ključno vprašanje </w:t>
      </w:r>
      <w:r>
        <w:lastRenderedPageBreak/>
        <w:t>strategije je</w:t>
      </w:r>
      <w:r w:rsidR="00A23636">
        <w:t>,</w:t>
      </w:r>
      <w:r>
        <w:t xml:space="preserve"> kako med mestom in podeželjem vzpostaviti razvojno razmerje, ki bo obema prostoroma prinašalo koristi.</w:t>
      </w:r>
    </w:p>
    <w:p w14:paraId="10EA99E2" w14:textId="631B9CDE" w:rsidR="00A23049" w:rsidRDefault="0FB7504B" w:rsidP="1F30B503">
      <w:pPr>
        <w:pStyle w:val="Naslov2"/>
        <w:spacing w:before="240" w:after="120"/>
      </w:pPr>
      <w:bookmarkStart w:id="24" w:name="_Toc759780516"/>
      <w:bookmarkStart w:id="25" w:name="_Toc1782057927"/>
      <w:bookmarkStart w:id="26" w:name="_Toc239414898"/>
      <w:r>
        <w:t>4.</w:t>
      </w:r>
      <w:r w:rsidR="66F54B7A">
        <w:t>4</w:t>
      </w:r>
      <w:r w:rsidR="6086639C">
        <w:t xml:space="preserve"> </w:t>
      </w:r>
      <w:r w:rsidR="33DB5502">
        <w:t>Regionalna konkurenčnost in centralizacija</w:t>
      </w:r>
      <w:bookmarkEnd w:id="24"/>
      <w:bookmarkEnd w:id="25"/>
      <w:bookmarkEnd w:id="26"/>
    </w:p>
    <w:p w14:paraId="58E4F114" w14:textId="6DB4CED0" w:rsidR="00CC43F3" w:rsidRDefault="574729A7" w:rsidP="00E9282E">
      <w:pPr>
        <w:jc w:val="both"/>
      </w:pPr>
      <w:r>
        <w:t>Razvojn</w:t>
      </w:r>
      <w:r w:rsidR="4B7EC8DC">
        <w:t>o problematiko</w:t>
      </w:r>
      <w:r>
        <w:t xml:space="preserve"> MONG je </w:t>
      </w:r>
      <w:r w:rsidR="63614066">
        <w:t xml:space="preserve">dobro </w:t>
      </w:r>
      <w:r>
        <w:t>razumeti tudi v širšem državnem okviru, kjer se razvoj vse bolj koncentrira v osrednjeslovenskem prostoru. Ta izstopa po gospodarski aktivnosti, produktivnosti, izobrazbeni strukturi prebivalstva, koncentraciji delovnih mest ter raziskovalno-inovacijskih dejavnostih</w:t>
      </w:r>
      <w:r w:rsidR="5FCCED51">
        <w:t xml:space="preserve">. </w:t>
      </w:r>
      <w:r w:rsidR="7C61E94F">
        <w:t>M</w:t>
      </w:r>
      <w:r>
        <w:t xml:space="preserve">edtem ko večina drugih regij relativno izgublja položaj glede na </w:t>
      </w:r>
      <w:r w:rsidR="38C31929">
        <w:t xml:space="preserve">osrednjo Slovenijo </w:t>
      </w:r>
      <w:r>
        <w:t>.</w:t>
      </w:r>
      <w:r w:rsidR="1988A286">
        <w:t xml:space="preserve"> </w:t>
      </w:r>
    </w:p>
    <w:p w14:paraId="257799BF" w14:textId="641DFC57" w:rsidR="00C26E4C" w:rsidRDefault="39ADD603" w:rsidP="29A8477B">
      <w:pPr>
        <w:jc w:val="both"/>
      </w:pPr>
      <w:r>
        <w:t>Ob tem je pomembno tudi vprašanje notranje regijske povezanosti</w:t>
      </w:r>
      <w:r w:rsidR="63015CEB">
        <w:t xml:space="preserve"> Severno Primorske </w:t>
      </w:r>
      <w:r w:rsidR="293363A2">
        <w:t>(</w:t>
      </w:r>
      <w:r w:rsidR="63015CEB">
        <w:t>Goriške</w:t>
      </w:r>
      <w:r w:rsidR="5A1BC8BB">
        <w:t>)</w:t>
      </w:r>
      <w:r w:rsidR="63015CEB">
        <w:t xml:space="preserve"> </w:t>
      </w:r>
      <w:r w:rsidR="003FB8AF">
        <w:t xml:space="preserve">razvojne </w:t>
      </w:r>
      <w:r w:rsidR="63015CEB">
        <w:t>regije</w:t>
      </w:r>
      <w:r>
        <w:t xml:space="preserve">. </w:t>
      </w:r>
      <w:proofErr w:type="spellStart"/>
      <w:r>
        <w:t>Subregijska</w:t>
      </w:r>
      <w:proofErr w:type="spellEnd"/>
      <w:r>
        <w:t xml:space="preserve"> središča imajo lastne razvojne interese, prometne povezave in institucionalne usmeritve, ki </w:t>
      </w:r>
      <w:r w:rsidR="02F75081">
        <w:t xml:space="preserve">med seboj </w:t>
      </w:r>
      <w:r>
        <w:t xml:space="preserve">niso vedno usklajene. Tekmovalnost med območji je lahko razvojno spodbudna, vendar ne sme nadomestiti skupnega regijskega interesa.  </w:t>
      </w:r>
      <w:r w:rsidR="0753D610">
        <w:t>Nova Gorica</w:t>
      </w:r>
      <w:r w:rsidR="469D1417">
        <w:t xml:space="preserve"> </w:t>
      </w:r>
      <w:r w:rsidR="33931CA5">
        <w:t>bo zato</w:t>
      </w:r>
      <w:r>
        <w:t xml:space="preserve"> vlogo regijskega središča uresničeva</w:t>
      </w:r>
      <w:r w:rsidR="7E3721A6">
        <w:t>la</w:t>
      </w:r>
      <w:r>
        <w:t xml:space="preserve"> aktivno</w:t>
      </w:r>
      <w:r w:rsidR="0A93A502">
        <w:t xml:space="preserve">, </w:t>
      </w:r>
      <w:r w:rsidR="1988A286">
        <w:t>s povezovanjem</w:t>
      </w:r>
      <w:r w:rsidR="0A93A502">
        <w:t xml:space="preserve"> z drugimi občinami</w:t>
      </w:r>
      <w:r>
        <w:t>, institucij</w:t>
      </w:r>
      <w:r w:rsidR="1D166B1D">
        <w:t>ami</w:t>
      </w:r>
      <w:r>
        <w:t>, gospodarstv</w:t>
      </w:r>
      <w:r w:rsidR="1D166B1D">
        <w:t>om</w:t>
      </w:r>
      <w:r>
        <w:t xml:space="preserve"> in drugi</w:t>
      </w:r>
      <w:r w:rsidR="1D166B1D">
        <w:t>mi</w:t>
      </w:r>
      <w:r>
        <w:t xml:space="preserve"> partnerj</w:t>
      </w:r>
      <w:r w:rsidR="1D166B1D">
        <w:t>i</w:t>
      </w:r>
      <w:r>
        <w:t xml:space="preserve"> pri skupnih razvojnih vprašanjih ter z oblikovanjem projektov, pri katerih lahko širši goriški prostor nastopa enotneje in močneje do države in čezmejnih partnerjev.</w:t>
      </w:r>
    </w:p>
    <w:p w14:paraId="3BCDB7E3" w14:textId="6DABE6DC" w:rsidR="00B53287" w:rsidRDefault="7A969787" w:rsidP="1F30B503">
      <w:pPr>
        <w:pStyle w:val="Naslov2"/>
        <w:spacing w:before="240" w:after="120"/>
      </w:pPr>
      <w:bookmarkStart w:id="27" w:name="_Toc1556064897"/>
      <w:bookmarkStart w:id="28" w:name="_Toc1125679488"/>
      <w:bookmarkStart w:id="29" w:name="_Toc239414899"/>
      <w:r>
        <w:t>4.</w:t>
      </w:r>
      <w:r w:rsidR="66F54B7A">
        <w:t>5</w:t>
      </w:r>
      <w:r>
        <w:t xml:space="preserve"> </w:t>
      </w:r>
      <w:r w:rsidR="5FEF4A4F">
        <w:t>Prehod v novo razvojno ekonomijo</w:t>
      </w:r>
      <w:bookmarkEnd w:id="27"/>
      <w:bookmarkEnd w:id="28"/>
      <w:bookmarkEnd w:id="29"/>
    </w:p>
    <w:p w14:paraId="47A29583" w14:textId="77777777" w:rsidR="00503D10" w:rsidRDefault="0008225E" w:rsidP="0008225E">
      <w:pPr>
        <w:jc w:val="both"/>
      </w:pPr>
      <w:r>
        <w:t>Gospodarska struktura Nove Gorice se je v zadnjih desetletjih pomembno spreminjala. Po obdobju prehoda iz industrijsko-proizvodnega okolja v storitveno gospodarstvo, močno zaznamovano z igralništvom, se občina danes ponovno sooča z vprašanjem prihodnje gospodarske identitete. Fizično igralništvo izgublja del nekdanjega prostorskega in zaposlitvenega pomena, hkrati pa se odpirajo nove priložnosti na področju visokih tehnologij, digitalnih vsebin, IKT, umetne inteligence, raziskav, inovacij, podjetništva, turizma, kulture, obrti in napredne proizvodnje.</w:t>
      </w:r>
      <w:r w:rsidR="0090490A">
        <w:t xml:space="preserve"> </w:t>
      </w:r>
    </w:p>
    <w:p w14:paraId="353CCA84" w14:textId="2E54EA62" w:rsidR="00E00608" w:rsidRDefault="704DB68F" w:rsidP="0008225E">
      <w:pPr>
        <w:jc w:val="both"/>
      </w:pPr>
      <w:r>
        <w:t>Ob tem se po daljšem obdobju omejenega vlaganja v komunalno opremljanje poslovnih in obrtnih območij ponovno odpira vprašanje prostorskih pogojev za gospodarski razvoj.</w:t>
      </w:r>
      <w:r w:rsidR="26CBC30A">
        <w:t xml:space="preserve"> </w:t>
      </w:r>
      <w:r w:rsidR="7708FC3E">
        <w:t xml:space="preserve">Ključni izziv </w:t>
      </w:r>
      <w:r w:rsidR="710DFFBC">
        <w:t>je</w:t>
      </w:r>
      <w:r w:rsidR="7708FC3E">
        <w:t xml:space="preserve"> oblikovanje odpornega, raznolikega in ambicioznega gospodarskega okolja. </w:t>
      </w:r>
      <w:r w:rsidR="00635F3B">
        <w:t>Mestna občina Nova Gorica</w:t>
      </w:r>
      <w:r w:rsidR="7708FC3E">
        <w:t xml:space="preserve"> potrebuje pogoje za kakovostna delovna mesta, poslovne površine, razvoj podjetniškega podpornega okolja, močnejše povezovanje med gospodarstvom in znanjem, privabljanje talentov ter boljšo izrabo čezmejnega prostora. Gospodarski razvoj mora biti hkrati povezan s kakovostjo bivanja, stanovanjsko politiko, mobilnostjo, izobraževanjem in prostorskim načrtovanjem.</w:t>
      </w:r>
    </w:p>
    <w:p w14:paraId="5A79C4A9" w14:textId="65084E3F" w:rsidR="00B63C3D" w:rsidRDefault="0A676752" w:rsidP="1F30B503">
      <w:pPr>
        <w:pStyle w:val="Naslov2"/>
        <w:spacing w:before="240" w:after="120"/>
      </w:pPr>
      <w:bookmarkStart w:id="30" w:name="_Toc371718200"/>
      <w:bookmarkStart w:id="31" w:name="_Toc975802232"/>
      <w:bookmarkStart w:id="32" w:name="_Toc239414900"/>
      <w:r>
        <w:t xml:space="preserve">4.6 </w:t>
      </w:r>
      <w:r w:rsidR="11BB1952">
        <w:t xml:space="preserve">Od simbolne </w:t>
      </w:r>
      <w:proofErr w:type="spellStart"/>
      <w:r w:rsidR="11BB1952">
        <w:t>čezmejnosti</w:t>
      </w:r>
      <w:proofErr w:type="spellEnd"/>
      <w:r w:rsidR="11BB1952">
        <w:t xml:space="preserve"> k funkcionalnemu brezmejnemu prostoru</w:t>
      </w:r>
      <w:bookmarkEnd w:id="30"/>
      <w:bookmarkEnd w:id="31"/>
      <w:bookmarkEnd w:id="32"/>
    </w:p>
    <w:p w14:paraId="11901991" w14:textId="3FDF7C1A" w:rsidR="29A8477B" w:rsidRDefault="6505765E" w:rsidP="29A8477B">
      <w:pPr>
        <w:jc w:val="both"/>
      </w:pPr>
      <w:r>
        <w:t xml:space="preserve">Čezmejno sodelovanje je ena največjih primerjalnih prednosti Nove Gorice. Izkušnja Evropske prestolnice kulture 2025 je pokazala, da lahko Nova Gorica in Gorica skupaj oblikujeta razvojne zgodbe evropskega pomena. Hkrati pa je pokazala tudi, da čezmejno </w:t>
      </w:r>
      <w:r w:rsidR="3F542820">
        <w:t>sod</w:t>
      </w:r>
      <w:r>
        <w:t>e</w:t>
      </w:r>
      <w:r w:rsidR="24733E3D">
        <w:t>lovanje</w:t>
      </w:r>
      <w:r w:rsidR="28D0F786">
        <w:t xml:space="preserve"> </w:t>
      </w:r>
      <w:r>
        <w:t>ni samoumevno. Zahteva stalno</w:t>
      </w:r>
      <w:r w:rsidR="45048231">
        <w:t xml:space="preserve"> in zelo zahtevno</w:t>
      </w:r>
      <w:r>
        <w:t xml:space="preserve"> politično, institucionalno, kulturno, jezikovno in operativno delo.</w:t>
      </w:r>
    </w:p>
    <w:p w14:paraId="4D7DB476" w14:textId="553916FA" w:rsidR="007F2B49" w:rsidRPr="007F2B49" w:rsidRDefault="2121CAE3" w:rsidP="29A8477B">
      <w:pPr>
        <w:jc w:val="both"/>
      </w:pPr>
      <w:r>
        <w:t>V prihodnje bo ključno, da se čezmejno</w:t>
      </w:r>
      <w:r w:rsidR="4B3F79DA">
        <w:t xml:space="preserve"> sodelovanje</w:t>
      </w:r>
      <w:r>
        <w:t xml:space="preserve"> razvije v funkcionalen razvojni model, ki presega njen simbolni, projektni in identitetni pomen</w:t>
      </w:r>
      <w:r w:rsidR="64B3076B">
        <w:t xml:space="preserve">. To pomeni skupno prostorsko razmišljanje, bolj povezano mobilnost, usklajene storitve, čezmejne programe, skupne institucije, odpravljanje administrativnih ovir in razvoj projektov, ki jih posamezna občina sama ne more izvesti z enakim učinkom. </w:t>
      </w:r>
      <w:r w:rsidR="47ED9148">
        <w:t>Č</w:t>
      </w:r>
      <w:r w:rsidR="19DE0B0F">
        <w:t>ezmejno</w:t>
      </w:r>
      <w:r w:rsidR="4974BE38">
        <w:t xml:space="preserve"> sodelovanje</w:t>
      </w:r>
      <w:r w:rsidR="19DE0B0F">
        <w:t xml:space="preserve"> </w:t>
      </w:r>
      <w:r w:rsidR="7746357B">
        <w:t xml:space="preserve">bo </w:t>
      </w:r>
      <w:r w:rsidR="19DE0B0F">
        <w:t>posta</w:t>
      </w:r>
      <w:r w:rsidR="038BB6B7">
        <w:t>l</w:t>
      </w:r>
      <w:r w:rsidR="13AC51BF">
        <w:t>o</w:t>
      </w:r>
      <w:r w:rsidR="19DE0B0F">
        <w:t xml:space="preserve"> način načrtovanja, odločanja in izvajanja razvojnih politik, ki povezuje mesto, podeželje, regijo in čezmejni prostor v bolj učinkovit in prepoznaven razvojni prostor.</w:t>
      </w:r>
    </w:p>
    <w:p w14:paraId="72E798E5" w14:textId="2FCD58D7" w:rsidR="003276EB" w:rsidRDefault="57BDD41E" w:rsidP="1F30B503">
      <w:pPr>
        <w:pStyle w:val="Naslov2"/>
        <w:spacing w:before="240" w:after="120"/>
      </w:pPr>
      <w:bookmarkStart w:id="33" w:name="_Toc1252129625"/>
      <w:bookmarkStart w:id="34" w:name="_Toc1712623782"/>
      <w:bookmarkStart w:id="35" w:name="_Toc239414901"/>
      <w:r>
        <w:lastRenderedPageBreak/>
        <w:t xml:space="preserve">4.7 </w:t>
      </w:r>
      <w:r w:rsidR="4531F625">
        <w:t>Zaupanje, usklajenost in izvedbena sposobnost</w:t>
      </w:r>
      <w:bookmarkEnd w:id="33"/>
      <w:bookmarkEnd w:id="34"/>
      <w:bookmarkEnd w:id="35"/>
    </w:p>
    <w:p w14:paraId="7907423D" w14:textId="7A045669" w:rsidR="0039647A" w:rsidRDefault="398127CE" w:rsidP="0039647A">
      <w:pPr>
        <w:jc w:val="both"/>
      </w:pPr>
      <w:r>
        <w:t>Nova Gorica je mlado mesto, ki še vedno oblikuje svojo dolgoročno urbano, institucionalno in skupnostno identiteto. V preteklih desetletjih so se v javnosti pogosto pojavljali občutki zamujenih priložnosti, počasnosti postopkov, razpršenosti razvojnih odločitev in nezadostne usklajenosti med različnimi občinskimi sistemi. Takšni občutki vplivajo na zaupanje v institucijo in na pripravljenost prebivalcev, deležnikov in partnerjev, da se prepoznajo v skupnih razvojnih pobudah.</w:t>
      </w:r>
    </w:p>
    <w:p w14:paraId="2D2F7EAC" w14:textId="6864F134" w:rsidR="003276EB" w:rsidRDefault="0039647A" w:rsidP="0039647A">
      <w:pPr>
        <w:jc w:val="both"/>
      </w:pPr>
      <w:r>
        <w:t>Zato</w:t>
      </w:r>
      <w:r w:rsidR="009D1DCF">
        <w:t xml:space="preserve"> je</w:t>
      </w:r>
      <w:r>
        <w:t xml:space="preserve"> eden ključnih izzivov </w:t>
      </w:r>
      <w:r w:rsidR="00DE2F84">
        <w:t>predvsem</w:t>
      </w:r>
      <w:r>
        <w:t xml:space="preserve"> izvedbeni. </w:t>
      </w:r>
      <w:r w:rsidR="00522444">
        <w:t>Uspešnost strategije se bo merila v</w:t>
      </w:r>
      <w:r>
        <w:t xml:space="preserve"> sposobn</w:t>
      </w:r>
      <w:r w:rsidR="00522444">
        <w:t>osti</w:t>
      </w:r>
      <w:r>
        <w:t xml:space="preserve"> povez</w:t>
      </w:r>
      <w:r w:rsidR="00522444">
        <w:t>ovanja</w:t>
      </w:r>
      <w:r>
        <w:t xml:space="preserve"> občinsk</w:t>
      </w:r>
      <w:r w:rsidR="00522444">
        <w:t>e</w:t>
      </w:r>
      <w:r>
        <w:t xml:space="preserve"> uprav</w:t>
      </w:r>
      <w:r w:rsidR="00522444">
        <w:t>e</w:t>
      </w:r>
      <w:r>
        <w:t>, javn</w:t>
      </w:r>
      <w:r w:rsidR="00522444">
        <w:t>ih</w:t>
      </w:r>
      <w:r>
        <w:t xml:space="preserve"> zavod</w:t>
      </w:r>
      <w:r w:rsidR="00522444">
        <w:t>ov</w:t>
      </w:r>
      <w:r>
        <w:t>, javn</w:t>
      </w:r>
      <w:r w:rsidR="00522444">
        <w:t>ih</w:t>
      </w:r>
      <w:r>
        <w:t xml:space="preserve"> podjet</w:t>
      </w:r>
      <w:r w:rsidR="00522444">
        <w:t>ij</w:t>
      </w:r>
      <w:r>
        <w:t>, krajevn</w:t>
      </w:r>
      <w:r w:rsidR="00522444">
        <w:t>ih</w:t>
      </w:r>
      <w:r>
        <w:t xml:space="preserve"> skupnosti, gospodarstv</w:t>
      </w:r>
      <w:r w:rsidR="00522444">
        <w:t>a</w:t>
      </w:r>
      <w:r>
        <w:t>, civiln</w:t>
      </w:r>
      <w:r w:rsidR="00522444">
        <w:t>e</w:t>
      </w:r>
      <w:r>
        <w:t xml:space="preserve"> družb</w:t>
      </w:r>
      <w:r w:rsidR="00522444">
        <w:t>e</w:t>
      </w:r>
      <w:r>
        <w:t>, sosednj</w:t>
      </w:r>
      <w:r w:rsidR="00522444">
        <w:t>ih</w:t>
      </w:r>
      <w:r>
        <w:t xml:space="preserve"> občin, držav</w:t>
      </w:r>
      <w:r w:rsidR="00522444">
        <w:t>e</w:t>
      </w:r>
      <w:r>
        <w:t xml:space="preserve"> in čezmejn</w:t>
      </w:r>
      <w:r w:rsidR="00522444">
        <w:t>ih</w:t>
      </w:r>
      <w:r>
        <w:t xml:space="preserve"> partnerje</w:t>
      </w:r>
      <w:r w:rsidR="00522444">
        <w:t>v</w:t>
      </w:r>
      <w:r>
        <w:t xml:space="preserve">. </w:t>
      </w:r>
      <w:r w:rsidR="000A34EF" w:rsidRPr="000A34EF">
        <w:t xml:space="preserve">Potrebna bo večja usklajenost med sektorskimi strategijami, jasnejša </w:t>
      </w:r>
      <w:proofErr w:type="spellStart"/>
      <w:r w:rsidR="000A34EF" w:rsidRPr="000A34EF">
        <w:t>prioritizacija</w:t>
      </w:r>
      <w:proofErr w:type="spellEnd"/>
      <w:r w:rsidR="000A34EF" w:rsidRPr="000A34EF">
        <w:t xml:space="preserve"> projektov, boljša priprava izvedbenih nalog, spremljanje napredka ter sposobnost ohranjanja razvojne kontinuitete tudi ob menjavah občinskega vodstva in sestave mestnega sveta.</w:t>
      </w:r>
    </w:p>
    <w:p w14:paraId="1340EBD4" w14:textId="169C0935" w:rsidR="00A06969" w:rsidRDefault="269DC0F8" w:rsidP="1706C59B">
      <w:pPr>
        <w:pStyle w:val="Naslov2"/>
      </w:pPr>
      <w:bookmarkStart w:id="36" w:name="_Toc190369156"/>
      <w:bookmarkStart w:id="37" w:name="_Toc1631321643"/>
      <w:bookmarkStart w:id="38" w:name="_Toc239414902"/>
      <w:r>
        <w:t xml:space="preserve">4.8 </w:t>
      </w:r>
      <w:r w:rsidR="29B0A5C2">
        <w:t>Občinske finance</w:t>
      </w:r>
      <w:bookmarkEnd w:id="36"/>
      <w:bookmarkEnd w:id="37"/>
      <w:bookmarkEnd w:id="38"/>
    </w:p>
    <w:p w14:paraId="693D832E" w14:textId="15A3123D" w:rsidR="76A9B256" w:rsidRDefault="296DF048" w:rsidP="29A8477B">
      <w:pPr>
        <w:jc w:val="both"/>
      </w:pPr>
      <w:r>
        <w:t xml:space="preserve">Izhodišče strateškega razmišljanja temelji na odločitvi, da se občina skupaj z vključenimi deležniki aktivno loti razreševanja prepoznanih razvojnih izzivov. Uresničevanje posameznih projektov in drugih aktivnosti je zato v veliki meri odvisno od angažmaja pristojnih služb, javnih zavodov, partnerjev in posameznikov. Ob tem </w:t>
      </w:r>
      <w:r w:rsidR="4111EA01">
        <w:t xml:space="preserve">je potrebno </w:t>
      </w:r>
      <w:r w:rsidR="00A23636">
        <w:t>upoštevati</w:t>
      </w:r>
      <w:r>
        <w:t xml:space="preserve"> finančn</w:t>
      </w:r>
      <w:r w:rsidR="3D7E810B">
        <w:t>e</w:t>
      </w:r>
      <w:r>
        <w:t xml:space="preserve"> zmožnosti občine in način usmerjanja investicijskih sredstev.</w:t>
      </w:r>
    </w:p>
    <w:p w14:paraId="6D1BCA10" w14:textId="61A79845" w:rsidR="76A9B256" w:rsidRDefault="78F1C880" w:rsidP="1706C59B">
      <w:pPr>
        <w:jc w:val="both"/>
      </w:pPr>
      <w:r>
        <w:t>MONG razpolaga z letnim proračunom, ki se je v zadnjih petih letih v povprečju gibal okoli 50 milijonov evrov. Od tega je bilo v povprečju približno 20 milijonov evrov namenjenih investicijskim izdatkom</w:t>
      </w:r>
      <w:r w:rsidR="253787E9">
        <w:t xml:space="preserve">. </w:t>
      </w:r>
      <w:r w:rsidR="253787E9" w:rsidRPr="1706C59B">
        <w:rPr>
          <w:rFonts w:eastAsiaTheme="minorEastAsia"/>
        </w:rPr>
        <w:t>Spremljanje gibanja investicijskih izdatkov se ocenjuje kot primeren kriterij za spremljanje dolgoročnega razvoja občine.</w:t>
      </w:r>
    </w:p>
    <w:p w14:paraId="1CB3B029" w14:textId="37E0AD4B" w:rsidR="00505676" w:rsidRDefault="2DAC3A77" w:rsidP="1633040D">
      <w:pPr>
        <w:jc w:val="both"/>
      </w:pPr>
      <w:r>
        <w:t>Za potrebe priprave strategije so bili investicijski izdatki razdeljeni v deset kategorij, nato pa je bila preverjena njihova razporeditev v zadnjih petih letih. Pri tem je bil zaznan izrazitejši investicijski skok na področju zdravstva, povezan z gradnjo zdravstvenega doma v letih 2023–2025, ter povečanje investicij na področju kulture zaradi projektov</w:t>
      </w:r>
      <w:r w:rsidR="00850127">
        <w:t>, povezanih z izvedbo</w:t>
      </w:r>
      <w:r>
        <w:t xml:space="preserve"> Evropske prestolnice kulture</w:t>
      </w:r>
      <w:r w:rsidR="00C244CA">
        <w:t>,</w:t>
      </w:r>
      <w:r>
        <w:t xml:space="preserve"> od leta 2024 dalje. Podrobnejši pregled je prikazan v </w:t>
      </w:r>
      <w:r w:rsidR="6F6B78DB">
        <w:t>P</w:t>
      </w:r>
      <w:r>
        <w:t>rilogi</w:t>
      </w:r>
      <w:r w:rsidR="030F41F4">
        <w:t xml:space="preserve"> 1</w:t>
      </w:r>
      <w:r>
        <w:t>.</w:t>
      </w:r>
    </w:p>
    <w:p w14:paraId="3A493B5C" w14:textId="19411137" w:rsidR="296DF048" w:rsidRDefault="296DF048" w:rsidP="1F30B503">
      <w:pPr>
        <w:jc w:val="both"/>
      </w:pPr>
      <w:r>
        <w:t>Na podlagi strateških usmeritev si bo MONG prizadevala za usklajeno in razvojno naravnano razporejanje investicijskih izdatkov,</w:t>
      </w:r>
      <w:r w:rsidR="6417011C">
        <w:t xml:space="preserve"> skladno s prioritetami te strategije in upoštevaje vsakokratne akcijske načrte.</w:t>
      </w:r>
      <w:r>
        <w:t xml:space="preserve"> </w:t>
      </w:r>
      <w:r w:rsidR="00CE5FE3" w:rsidRPr="009A2B50">
        <w:rPr>
          <w:highlight w:val="yellow"/>
        </w:rPr>
        <w:t>Za doseg zastavljenih strateških ciljev in ohranjanje investicijskega potenciala bo potreben velik angažma glede zagotavljanja drugih virov financiranja, ki ne izvirajo neposredno iz lastnih sredstev občine.</w:t>
      </w:r>
      <w:r w:rsidR="00CE5FE3">
        <w:t xml:space="preserve"> </w:t>
      </w:r>
    </w:p>
    <w:p w14:paraId="0FC116F1" w14:textId="77777777" w:rsidR="009A2B50" w:rsidRDefault="009A2B50" w:rsidP="1F30B503">
      <w:pPr>
        <w:jc w:val="both"/>
      </w:pPr>
    </w:p>
    <w:p w14:paraId="125CFD8F" w14:textId="77777777" w:rsidR="009A2B50" w:rsidRDefault="009A2B50" w:rsidP="1F30B503">
      <w:pPr>
        <w:jc w:val="both"/>
      </w:pPr>
    </w:p>
    <w:p w14:paraId="3DF1FE68" w14:textId="77777777" w:rsidR="009A2B50" w:rsidRDefault="009A2B50" w:rsidP="1F30B503">
      <w:pPr>
        <w:jc w:val="both"/>
      </w:pPr>
    </w:p>
    <w:p w14:paraId="31D7AF11" w14:textId="77777777" w:rsidR="009A2B50" w:rsidRDefault="009A2B50" w:rsidP="1F30B503">
      <w:pPr>
        <w:jc w:val="both"/>
      </w:pPr>
    </w:p>
    <w:p w14:paraId="573A6C73" w14:textId="0AF81CBE" w:rsidR="008F2AA8" w:rsidRDefault="1E0346C0" w:rsidP="004A1C14">
      <w:pPr>
        <w:pStyle w:val="Naslov1"/>
        <w:numPr>
          <w:ilvl w:val="0"/>
          <w:numId w:val="40"/>
        </w:numPr>
        <w:spacing w:before="240" w:after="120"/>
        <w:ind w:left="357" w:hanging="357"/>
      </w:pPr>
      <w:bookmarkStart w:id="39" w:name="_Toc548479711"/>
      <w:bookmarkStart w:id="40" w:name="_Toc1651989639"/>
      <w:bookmarkStart w:id="41" w:name="_Toc239414903"/>
      <w:r w:rsidRPr="00F70748">
        <w:lastRenderedPageBreak/>
        <w:t>Vizija razvoja Mestne občine Nova</w:t>
      </w:r>
      <w:r>
        <w:t xml:space="preserve"> Gorica do leta 2045</w:t>
      </w:r>
      <w:bookmarkEnd w:id="39"/>
      <w:bookmarkEnd w:id="40"/>
      <w:bookmarkEnd w:id="41"/>
    </w:p>
    <w:p w14:paraId="0AE5423D" w14:textId="07B0E85A" w:rsidR="5DECBCAA" w:rsidRDefault="5DECBCAA" w:rsidP="35147BA0">
      <w:pPr>
        <w:jc w:val="both"/>
      </w:pPr>
      <w:r>
        <w:t>Vizija razvoja Mestne občine Nova Gorica do leta 2045 se glasi:</w:t>
      </w:r>
    </w:p>
    <w:p w14:paraId="201F6F6E" w14:textId="2B259830" w:rsidR="33962555" w:rsidRPr="00561F10" w:rsidRDefault="79332631" w:rsidP="29A8477B">
      <w:pPr>
        <w:jc w:val="both"/>
        <w:rPr>
          <w:b/>
          <w:bCs/>
        </w:rPr>
      </w:pPr>
      <w:r w:rsidRPr="00561F10">
        <w:rPr>
          <w:b/>
          <w:bCs/>
          <w:i/>
          <w:iCs/>
        </w:rPr>
        <w:t xml:space="preserve">Mestna občina Nova Gorica </w:t>
      </w:r>
      <w:r w:rsidR="6A222158" w:rsidRPr="00561F10">
        <w:rPr>
          <w:b/>
          <w:bCs/>
          <w:i/>
          <w:iCs/>
        </w:rPr>
        <w:t>zagotavlja</w:t>
      </w:r>
      <w:r w:rsidRPr="00561F10">
        <w:rPr>
          <w:b/>
          <w:bCs/>
          <w:i/>
          <w:iCs/>
        </w:rPr>
        <w:t xml:space="preserve"> zdravo</w:t>
      </w:r>
      <w:r w:rsidR="600C4595" w:rsidRPr="00561F10">
        <w:rPr>
          <w:b/>
          <w:bCs/>
          <w:i/>
          <w:iCs/>
        </w:rPr>
        <w:t xml:space="preserve"> </w:t>
      </w:r>
      <w:r w:rsidR="7B69F111" w:rsidRPr="00561F10">
        <w:rPr>
          <w:b/>
          <w:bCs/>
          <w:i/>
          <w:iCs/>
        </w:rPr>
        <w:t>in</w:t>
      </w:r>
      <w:r w:rsidRPr="00561F10">
        <w:rPr>
          <w:b/>
          <w:bCs/>
          <w:i/>
          <w:iCs/>
        </w:rPr>
        <w:t xml:space="preserve"> privlačno življenjsko okolje</w:t>
      </w:r>
      <w:r w:rsidR="5E44B740" w:rsidRPr="00561F10">
        <w:rPr>
          <w:b/>
          <w:bCs/>
          <w:i/>
          <w:iCs/>
        </w:rPr>
        <w:t>,</w:t>
      </w:r>
      <w:r w:rsidRPr="00561F10">
        <w:rPr>
          <w:b/>
          <w:bCs/>
          <w:i/>
          <w:iCs/>
        </w:rPr>
        <w:t xml:space="preserve"> </w:t>
      </w:r>
      <w:r w:rsidR="26BAC6C5" w:rsidRPr="00561F10">
        <w:rPr>
          <w:b/>
          <w:bCs/>
          <w:i/>
          <w:iCs/>
        </w:rPr>
        <w:t>je</w:t>
      </w:r>
      <w:r w:rsidRPr="00561F10">
        <w:rPr>
          <w:b/>
          <w:bCs/>
          <w:i/>
          <w:iCs/>
        </w:rPr>
        <w:t xml:space="preserve"> brezmejno, evropsko</w:t>
      </w:r>
      <w:r w:rsidR="06BEBB18" w:rsidRPr="00561F10">
        <w:rPr>
          <w:b/>
          <w:bCs/>
          <w:i/>
          <w:iCs/>
        </w:rPr>
        <w:t>,</w:t>
      </w:r>
      <w:r w:rsidRPr="00561F10">
        <w:rPr>
          <w:b/>
          <w:bCs/>
          <w:i/>
          <w:iCs/>
        </w:rPr>
        <w:t xml:space="preserve"> univerzitetno središče</w:t>
      </w:r>
      <w:r w:rsidR="23879EE1" w:rsidRPr="00561F10">
        <w:rPr>
          <w:b/>
          <w:bCs/>
          <w:i/>
          <w:iCs/>
        </w:rPr>
        <w:t>,</w:t>
      </w:r>
      <w:r w:rsidRPr="00561F10">
        <w:rPr>
          <w:b/>
          <w:bCs/>
          <w:i/>
          <w:iCs/>
        </w:rPr>
        <w:t xml:space="preserve"> z ambicioznim gospodarstvom.</w:t>
      </w:r>
    </w:p>
    <w:p w14:paraId="5ED83F86" w14:textId="5C4C25D4" w:rsidR="52AB40F2" w:rsidRDefault="52AB40F2" w:rsidP="00505676">
      <w:pPr>
        <w:spacing w:line="257" w:lineRule="auto"/>
        <w:jc w:val="both"/>
        <w:rPr>
          <w:rFonts w:ascii="Aptos" w:eastAsia="Aptos" w:hAnsi="Aptos" w:cs="Aptos"/>
        </w:rPr>
      </w:pPr>
      <w:r w:rsidRPr="29A8477B">
        <w:rPr>
          <w:rFonts w:ascii="Aptos" w:eastAsia="Aptos" w:hAnsi="Aptos" w:cs="Aptos"/>
        </w:rPr>
        <w:t>Vizija izraža želeno razvojno podobo Mestne občine Nova Gorica do leta 2045. V ospredje postavlja kakovost bivanja, brezmejnost, znanje, evropsko vlogo mesta</w:t>
      </w:r>
      <w:r w:rsidR="70908973" w:rsidRPr="29A8477B">
        <w:rPr>
          <w:rFonts w:ascii="Aptos" w:eastAsia="Aptos" w:hAnsi="Aptos" w:cs="Aptos"/>
        </w:rPr>
        <w:t>,</w:t>
      </w:r>
      <w:r w:rsidRPr="29A8477B">
        <w:rPr>
          <w:rFonts w:ascii="Aptos" w:eastAsia="Aptos" w:hAnsi="Aptos" w:cs="Aptos"/>
        </w:rPr>
        <w:t xml:space="preserve"> univerzitetni potencial ter željo po ambicioznem gospodarstvu. </w:t>
      </w:r>
    </w:p>
    <w:p w14:paraId="1695CCF0" w14:textId="26400A3E" w:rsidR="52AB40F2" w:rsidRDefault="506DCFCE" w:rsidP="008117C1">
      <w:pPr>
        <w:spacing w:line="257" w:lineRule="auto"/>
        <w:jc w:val="both"/>
        <w:rPr>
          <w:rFonts w:ascii="Aptos" w:eastAsia="Aptos" w:hAnsi="Aptos" w:cs="Aptos"/>
        </w:rPr>
      </w:pPr>
      <w:r w:rsidRPr="1F30B503">
        <w:rPr>
          <w:rFonts w:ascii="Aptos" w:eastAsia="Aptos" w:hAnsi="Aptos" w:cs="Aptos"/>
          <w:b/>
          <w:bCs/>
        </w:rPr>
        <w:t>Kakovost bivanja</w:t>
      </w:r>
      <w:r w:rsidRPr="1F30B503">
        <w:rPr>
          <w:rFonts w:ascii="Aptos" w:eastAsia="Aptos" w:hAnsi="Aptos" w:cs="Aptos"/>
        </w:rPr>
        <w:t xml:space="preserve"> je ključna razvojna usmeritev, ki izhaja iz obstoječih sektorskih strategij, močno pa je bila izražena tudi v okviru participativnega procesa. Je vsebina, ki se intenzivno pojavlja znotraj vizij in strategij mest in občin na ravni celotne Republike Slovenije, opredeljena pa je tudi v analiziranih podlagah širšega čezmejnega prostora. </w:t>
      </w:r>
      <w:r w:rsidR="51A7F026" w:rsidRPr="1F30B503">
        <w:rPr>
          <w:rFonts w:ascii="Aptos" w:eastAsia="Aptos" w:hAnsi="Aptos" w:cs="Aptos"/>
        </w:rPr>
        <w:t>Pokazalo se je, da prebivalci in drugi vključeni deležniki kakovost bivanja prepoznavajo kot pomembno prednost in vrednoto tega prostora, ki jo je treba ohranjati in razvijati tudi v prihodnje.</w:t>
      </w:r>
      <w:r w:rsidRPr="1F30B503">
        <w:rPr>
          <w:rFonts w:ascii="Aptos" w:eastAsia="Aptos" w:hAnsi="Aptos" w:cs="Aptos"/>
        </w:rPr>
        <w:t xml:space="preserve"> Vsebina se konkretizira v horizontalnem razvojnem načelu »Trajnostni pristop«, posebej pa je vključena tudi v steber B.</w:t>
      </w:r>
    </w:p>
    <w:p w14:paraId="3D614826" w14:textId="5981EC06" w:rsidR="52AB40F2" w:rsidRDefault="506DCFCE" w:rsidP="29A8477B">
      <w:pPr>
        <w:spacing w:line="257" w:lineRule="auto"/>
        <w:jc w:val="both"/>
        <w:rPr>
          <w:rFonts w:ascii="Aptos" w:eastAsia="Aptos" w:hAnsi="Aptos" w:cs="Aptos"/>
        </w:rPr>
      </w:pPr>
      <w:r w:rsidRPr="1F30B503">
        <w:rPr>
          <w:rFonts w:ascii="Aptos" w:eastAsia="Aptos" w:hAnsi="Aptos" w:cs="Aptos"/>
          <w:b/>
          <w:bCs/>
        </w:rPr>
        <w:t xml:space="preserve">Brezmejnost </w:t>
      </w:r>
      <w:r w:rsidRPr="1F30B503">
        <w:rPr>
          <w:rFonts w:ascii="Aptos" w:eastAsia="Aptos" w:hAnsi="Aptos" w:cs="Aptos"/>
        </w:rPr>
        <w:t>je ključna razvojna usmeritev, ki izvira iz pričujoče strategije in je bila potrjena v participativnem procesu.</w:t>
      </w:r>
      <w:r w:rsidR="5CB2B862" w:rsidRPr="1F30B503">
        <w:rPr>
          <w:rFonts w:ascii="Aptos" w:eastAsia="Aptos" w:hAnsi="Aptos" w:cs="Aptos"/>
        </w:rPr>
        <w:t xml:space="preserve"> Brezmejnost predstavlja način delovanja, ki je usmerjen v preseganje mej. Meje (državne, medobčinske, sektorske, med narodnimi skupnostmi) neizogibno ostajajo. Ključno je, da se jih zavedamo, jih razumemo in smo </w:t>
      </w:r>
      <w:r w:rsidR="395EC9A5" w:rsidRPr="1F30B503">
        <w:rPr>
          <w:rFonts w:ascii="Aptos" w:eastAsia="Aptos" w:hAnsi="Aptos" w:cs="Aptos"/>
        </w:rPr>
        <w:t>pripravljeni pogledati čez nje.</w:t>
      </w:r>
      <w:r w:rsidRPr="1F30B503">
        <w:rPr>
          <w:rFonts w:ascii="Aptos" w:eastAsia="Aptos" w:hAnsi="Aptos" w:cs="Aptos"/>
        </w:rPr>
        <w:t xml:space="preserve"> Gre za vsebino po kateri je Nova Gorica prepoznavna in izstopa v Slovenskem prostoru ter na podlagi katere se že ustvarjajo vsebine evropskega nivoja, kot npr.</w:t>
      </w:r>
      <w:r w:rsidR="00842469">
        <w:rPr>
          <w:rFonts w:ascii="Aptos" w:eastAsia="Aptos" w:hAnsi="Aptos" w:cs="Aptos"/>
        </w:rPr>
        <w:t xml:space="preserve"> </w:t>
      </w:r>
      <w:r w:rsidR="00A23636" w:rsidRPr="00A23636">
        <w:rPr>
          <w:rFonts w:ascii="Aptos" w:eastAsia="Aptos" w:hAnsi="Aptos" w:cs="Aptos"/>
        </w:rPr>
        <w:t>Evropska prestolnica kulture 2025</w:t>
      </w:r>
      <w:r w:rsidRPr="1F30B503">
        <w:rPr>
          <w:rFonts w:ascii="Aptos" w:eastAsia="Aptos" w:hAnsi="Aptos" w:cs="Aptos"/>
        </w:rPr>
        <w:t>. S tem projekto</w:t>
      </w:r>
      <w:r w:rsidR="00903325">
        <w:rPr>
          <w:rFonts w:ascii="Aptos" w:eastAsia="Aptos" w:hAnsi="Aptos" w:cs="Aptos"/>
        </w:rPr>
        <w:t>m</w:t>
      </w:r>
      <w:r w:rsidRPr="1F30B503">
        <w:rPr>
          <w:rFonts w:ascii="Aptos" w:eastAsia="Aptos" w:hAnsi="Aptos" w:cs="Aptos"/>
        </w:rPr>
        <w:t xml:space="preserve"> potencial brezmejnosti </w:t>
      </w:r>
      <w:r w:rsidR="5FC8328C" w:rsidRPr="1F30B503">
        <w:rPr>
          <w:rFonts w:ascii="Aptos" w:eastAsia="Aptos" w:hAnsi="Aptos" w:cs="Aptos"/>
        </w:rPr>
        <w:t>ni</w:t>
      </w:r>
      <w:r w:rsidRPr="1F30B503">
        <w:rPr>
          <w:rFonts w:ascii="Aptos" w:eastAsia="Aptos" w:hAnsi="Aptos" w:cs="Aptos"/>
        </w:rPr>
        <w:t xml:space="preserve"> izčrpan. Koncept predstavlja razvojni okvir oz. nove priložnosti za brezmejne projekte na področju izobraževanja, kulture, gospodarstva, odprave birokratskih ovir i</w:t>
      </w:r>
      <w:r w:rsidR="75A008AB" w:rsidRPr="1F30B503">
        <w:rPr>
          <w:rFonts w:ascii="Aptos" w:eastAsia="Aptos" w:hAnsi="Aptos" w:cs="Aptos"/>
        </w:rPr>
        <w:t>t</w:t>
      </w:r>
      <w:r w:rsidRPr="1F30B503">
        <w:rPr>
          <w:rFonts w:ascii="Aptos" w:eastAsia="Aptos" w:hAnsi="Aptos" w:cs="Aptos"/>
        </w:rPr>
        <w:t>d.</w:t>
      </w:r>
      <w:r w:rsidR="6CA2636D" w:rsidRPr="1F30B503">
        <w:rPr>
          <w:rFonts w:ascii="Aptos" w:eastAsia="Aptos" w:hAnsi="Aptos" w:cs="Aptos"/>
        </w:rPr>
        <w:t xml:space="preserve"> </w:t>
      </w:r>
      <w:r w:rsidRPr="1F30B503">
        <w:rPr>
          <w:rFonts w:ascii="Aptos" w:eastAsia="Aptos" w:hAnsi="Aptos" w:cs="Aptos"/>
        </w:rPr>
        <w:t xml:space="preserve">Vsebina se konkretizira preko horizontalnega razvojnega načela »Brezmejno«, posebej pa je izražena tudi v stebru E.   </w:t>
      </w:r>
    </w:p>
    <w:p w14:paraId="7E90F0AB" w14:textId="6B57409D" w:rsidR="00955A00" w:rsidRDefault="52AB40F2" w:rsidP="00505676">
      <w:pPr>
        <w:spacing w:line="257" w:lineRule="auto"/>
        <w:jc w:val="both"/>
        <w:rPr>
          <w:rFonts w:ascii="Aptos" w:eastAsia="Aptos" w:hAnsi="Aptos" w:cs="Aptos"/>
        </w:rPr>
      </w:pPr>
      <w:r w:rsidRPr="29A8477B">
        <w:rPr>
          <w:rFonts w:ascii="Aptos" w:eastAsia="Aptos" w:hAnsi="Aptos" w:cs="Aptos"/>
          <w:b/>
          <w:bCs/>
        </w:rPr>
        <w:t>Znanje ter univerzitetni potencial</w:t>
      </w:r>
      <w:r w:rsidRPr="29A8477B">
        <w:rPr>
          <w:rFonts w:ascii="Aptos" w:eastAsia="Aptos" w:hAnsi="Aptos" w:cs="Aptos"/>
        </w:rPr>
        <w:t>. MONG ima vzpostavljeno kakovostno hrbtenico - omrežje sistema vzgoje in izobraževanja od vrtcev</w:t>
      </w:r>
      <w:r w:rsidR="0A4688E9" w:rsidRPr="29A8477B">
        <w:rPr>
          <w:rFonts w:ascii="Aptos" w:eastAsia="Aptos" w:hAnsi="Aptos" w:cs="Aptos"/>
        </w:rPr>
        <w:t>,</w:t>
      </w:r>
      <w:r w:rsidRPr="29A8477B">
        <w:rPr>
          <w:rFonts w:ascii="Aptos" w:eastAsia="Aptos" w:hAnsi="Aptos" w:cs="Aptos"/>
        </w:rPr>
        <w:t xml:space="preserve"> osnovnih šol, srednješolskega centra in razvijajoče univerze. </w:t>
      </w:r>
    </w:p>
    <w:p w14:paraId="14910535" w14:textId="62AD9956" w:rsidR="52AB40F2" w:rsidRDefault="52AB40F2" w:rsidP="00505676">
      <w:pPr>
        <w:spacing w:line="257" w:lineRule="auto"/>
        <w:jc w:val="both"/>
        <w:rPr>
          <w:rFonts w:ascii="Aptos" w:eastAsia="Aptos" w:hAnsi="Aptos" w:cs="Aptos"/>
        </w:rPr>
      </w:pPr>
      <w:r w:rsidRPr="29A8477B">
        <w:rPr>
          <w:rFonts w:ascii="Aptos" w:eastAsia="Aptos" w:hAnsi="Aptos" w:cs="Aptos"/>
        </w:rPr>
        <w:t xml:space="preserve">Vzpostavljen je tudi sistem </w:t>
      </w:r>
      <w:r w:rsidR="08CE0C09" w:rsidRPr="00505676">
        <w:rPr>
          <w:rFonts w:ascii="Aptos" w:eastAsia="Aptos" w:hAnsi="Aptos" w:cs="Aptos"/>
        </w:rPr>
        <w:t>vseživljenjskega izobraževanj</w:t>
      </w:r>
      <w:r w:rsidR="74DC6A9B" w:rsidRPr="29A8477B">
        <w:rPr>
          <w:rFonts w:ascii="Aptos" w:eastAsia="Aptos" w:hAnsi="Aptos" w:cs="Aptos"/>
        </w:rPr>
        <w:t>a</w:t>
      </w:r>
      <w:r w:rsidRPr="29A8477B">
        <w:rPr>
          <w:rFonts w:ascii="Aptos" w:eastAsia="Aptos" w:hAnsi="Aptos" w:cs="Aptos"/>
        </w:rPr>
        <w:t>, prav tako pa je prisotna tudi podpora pridobivanju podjetniških kompetenc. Strategija je usmerjena v krepitev sistema za zagotavljanja kakovostnih kadrov kot primerjalne prednosti, hkrati k</w:t>
      </w:r>
      <w:r w:rsidR="00734CD3">
        <w:rPr>
          <w:rFonts w:ascii="Aptos" w:eastAsia="Aptos" w:hAnsi="Aptos" w:cs="Aptos"/>
        </w:rPr>
        <w:t>akovosten</w:t>
      </w:r>
      <w:r w:rsidRPr="29A8477B">
        <w:rPr>
          <w:rFonts w:ascii="Aptos" w:eastAsia="Aptos" w:hAnsi="Aptos" w:cs="Aptos"/>
        </w:rPr>
        <w:t xml:space="preserve"> sistem vzgoje in izobraževanja ustvarja k</w:t>
      </w:r>
      <w:r w:rsidR="00734CD3">
        <w:rPr>
          <w:rFonts w:ascii="Aptos" w:eastAsia="Aptos" w:hAnsi="Aptos" w:cs="Aptos"/>
        </w:rPr>
        <w:t>akovosten</w:t>
      </w:r>
      <w:r w:rsidRPr="29A8477B">
        <w:rPr>
          <w:rFonts w:ascii="Aptos" w:eastAsia="Aptos" w:hAnsi="Aptos" w:cs="Aptos"/>
        </w:rPr>
        <w:t xml:space="preserve"> bazen posameznikov</w:t>
      </w:r>
      <w:r w:rsidR="68127A8B" w:rsidRPr="29A8477B">
        <w:rPr>
          <w:rFonts w:ascii="Aptos" w:eastAsia="Aptos" w:hAnsi="Aptos" w:cs="Aptos"/>
        </w:rPr>
        <w:t>,</w:t>
      </w:r>
      <w:r w:rsidRPr="29A8477B">
        <w:rPr>
          <w:rFonts w:ascii="Aptos" w:eastAsia="Aptos" w:hAnsi="Aptos" w:cs="Aptos"/>
        </w:rPr>
        <w:t xml:space="preserve"> ki bodo aktivni na vseh področjih socialnega udejstvovanja ter vpliva na vključevanje različnih skupnosti. </w:t>
      </w:r>
      <w:r w:rsidR="6E3A1DC0" w:rsidRPr="29A8477B">
        <w:rPr>
          <w:rFonts w:ascii="Aptos" w:eastAsia="Aptos" w:hAnsi="Aptos" w:cs="Aptos"/>
        </w:rPr>
        <w:t>V</w:t>
      </w:r>
      <w:r w:rsidRPr="29A8477B">
        <w:rPr>
          <w:rFonts w:ascii="Aptos" w:eastAsia="Aptos" w:hAnsi="Aptos" w:cs="Aptos"/>
        </w:rPr>
        <w:t xml:space="preserve">rh sistema </w:t>
      </w:r>
      <w:r w:rsidR="3FD8C008" w:rsidRPr="00505676">
        <w:rPr>
          <w:rFonts w:ascii="Aptos" w:eastAsia="Aptos" w:hAnsi="Aptos" w:cs="Aptos"/>
        </w:rPr>
        <w:t>predstavlja</w:t>
      </w:r>
      <w:r w:rsidRPr="29A8477B">
        <w:rPr>
          <w:rFonts w:ascii="Aptos" w:eastAsia="Aptos" w:hAnsi="Aptos" w:cs="Aptos"/>
        </w:rPr>
        <w:t xml:space="preserve"> razvita</w:t>
      </w:r>
      <w:r w:rsidR="2DF98FB8" w:rsidRPr="29A8477B">
        <w:rPr>
          <w:rFonts w:ascii="Aptos" w:eastAsia="Aptos" w:hAnsi="Aptos" w:cs="Aptos"/>
        </w:rPr>
        <w:t xml:space="preserve"> in prepoznana</w:t>
      </w:r>
      <w:r w:rsidRPr="29A8477B">
        <w:rPr>
          <w:rFonts w:ascii="Aptos" w:eastAsia="Aptos" w:hAnsi="Aptos" w:cs="Aptos"/>
        </w:rPr>
        <w:t xml:space="preserve"> univerza, ki </w:t>
      </w:r>
      <w:r w:rsidR="02B0E198" w:rsidRPr="00505676">
        <w:rPr>
          <w:rFonts w:ascii="Aptos" w:eastAsia="Aptos" w:hAnsi="Aptos" w:cs="Aptos"/>
        </w:rPr>
        <w:t>je izražena kot glavna razvojn</w:t>
      </w:r>
      <w:r w:rsidR="02B0E198" w:rsidRPr="29A8477B">
        <w:rPr>
          <w:rFonts w:ascii="Aptos" w:eastAsia="Aptos" w:hAnsi="Aptos" w:cs="Aptos"/>
        </w:rPr>
        <w:t>a</w:t>
      </w:r>
      <w:r w:rsidRPr="29A8477B">
        <w:rPr>
          <w:rFonts w:ascii="Aptos" w:eastAsia="Aptos" w:hAnsi="Aptos" w:cs="Aptos"/>
        </w:rPr>
        <w:t xml:space="preserve"> usmeritev mesta</w:t>
      </w:r>
      <w:r w:rsidR="5180FE5B" w:rsidRPr="29A8477B">
        <w:rPr>
          <w:rFonts w:ascii="Aptos" w:eastAsia="Aptos" w:hAnsi="Aptos" w:cs="Aptos"/>
        </w:rPr>
        <w:t>,</w:t>
      </w:r>
      <w:r w:rsidRPr="29A8477B">
        <w:rPr>
          <w:rFonts w:ascii="Aptos" w:eastAsia="Aptos" w:hAnsi="Aptos" w:cs="Aptos"/>
        </w:rPr>
        <w:t xml:space="preserve"> </w:t>
      </w:r>
      <w:r w:rsidR="4992BDD5" w:rsidRPr="29A8477B">
        <w:rPr>
          <w:rFonts w:ascii="Aptos" w:eastAsia="Aptos" w:hAnsi="Aptos" w:cs="Aptos"/>
        </w:rPr>
        <w:t>kar</w:t>
      </w:r>
      <w:r w:rsidRPr="29A8477B">
        <w:rPr>
          <w:rFonts w:ascii="Aptos" w:eastAsia="Aptos" w:hAnsi="Aptos" w:cs="Aptos"/>
        </w:rPr>
        <w:t xml:space="preserve"> vpliva na privlačnost našega prostora v širšem merilu. Vsebina se konkretizira predvsem v stebrih A in B</w:t>
      </w:r>
      <w:r w:rsidR="51026D79" w:rsidRPr="29A8477B">
        <w:rPr>
          <w:rFonts w:ascii="Aptos" w:eastAsia="Aptos" w:hAnsi="Aptos" w:cs="Aptos"/>
        </w:rPr>
        <w:t>.</w:t>
      </w:r>
    </w:p>
    <w:p w14:paraId="75A15AEB" w14:textId="1473098B" w:rsidR="52AB40F2" w:rsidRDefault="506DCFCE" w:rsidP="29A8477B">
      <w:pPr>
        <w:spacing w:line="257" w:lineRule="auto"/>
        <w:jc w:val="both"/>
        <w:rPr>
          <w:rFonts w:ascii="Aptos" w:eastAsia="Aptos" w:hAnsi="Aptos" w:cs="Aptos"/>
        </w:rPr>
      </w:pPr>
      <w:r w:rsidRPr="1F30B503">
        <w:rPr>
          <w:rFonts w:ascii="Aptos" w:eastAsia="Aptos" w:hAnsi="Aptos" w:cs="Aptos"/>
        </w:rPr>
        <w:t xml:space="preserve">Pomemben del vizije je tudi </w:t>
      </w:r>
      <w:r w:rsidRPr="1F30B503">
        <w:rPr>
          <w:rFonts w:ascii="Aptos" w:eastAsia="Aptos" w:hAnsi="Aptos" w:cs="Aptos"/>
          <w:b/>
          <w:bCs/>
        </w:rPr>
        <w:t>ambiciozno gospodarstvo</w:t>
      </w:r>
      <w:r w:rsidRPr="1F30B503">
        <w:rPr>
          <w:rFonts w:ascii="Aptos" w:eastAsia="Aptos" w:hAnsi="Aptos" w:cs="Aptos"/>
        </w:rPr>
        <w:t>, ki ustvarja kakovostna delovna mesta in spodbuja višjo dodano vrednost. MONG v strateških dokumentih zadnjih desetletij ni postavljala gospodarstva na nivo strateškega cilja. T</w:t>
      </w:r>
      <w:r w:rsidR="3690944C" w:rsidRPr="1F30B503">
        <w:rPr>
          <w:rFonts w:ascii="Aptos" w:eastAsia="Aptos" w:hAnsi="Aptos" w:cs="Aptos"/>
        </w:rPr>
        <w:t>a potreba</w:t>
      </w:r>
      <w:r w:rsidRPr="1F30B503">
        <w:rPr>
          <w:rFonts w:ascii="Aptos" w:eastAsia="Aptos" w:hAnsi="Aptos" w:cs="Aptos"/>
        </w:rPr>
        <w:t xml:space="preserve"> je </w:t>
      </w:r>
      <w:r w:rsidR="58B013F8" w:rsidRPr="1F30B503">
        <w:rPr>
          <w:rFonts w:ascii="Aptos" w:eastAsia="Aptos" w:hAnsi="Aptos" w:cs="Aptos"/>
        </w:rPr>
        <w:t>bil</w:t>
      </w:r>
      <w:r w:rsidR="3F30F1A4" w:rsidRPr="1F30B503">
        <w:rPr>
          <w:rFonts w:ascii="Aptos" w:eastAsia="Aptos" w:hAnsi="Aptos" w:cs="Aptos"/>
        </w:rPr>
        <w:t>a</w:t>
      </w:r>
      <w:r w:rsidRPr="1F30B503">
        <w:rPr>
          <w:rFonts w:ascii="Aptos" w:eastAsia="Aptos" w:hAnsi="Aptos" w:cs="Aptos"/>
        </w:rPr>
        <w:t xml:space="preserve"> izrecno poudarjena v izvedenem participativnem procesu</w:t>
      </w:r>
      <w:r w:rsidR="49D00B76" w:rsidRPr="1F30B503">
        <w:rPr>
          <w:rFonts w:ascii="Aptos" w:eastAsia="Aptos" w:hAnsi="Aptos" w:cs="Aptos"/>
        </w:rPr>
        <w:t>.</w:t>
      </w:r>
      <w:r w:rsidRPr="1F30B503">
        <w:rPr>
          <w:rFonts w:ascii="Aptos" w:eastAsia="Aptos" w:hAnsi="Aptos" w:cs="Aptos"/>
        </w:rPr>
        <w:t xml:space="preserve"> MONG želi biti v prihodnosti prepoznana kot prostor kjer so omogočeni pogoji za razvoj gospodarstva, ki je razvojno usmerjeno in ambiciozno. Pogoji za to so v verigi zagotavljana znanja za razvoj kadrov, obstoječih uspešnih podjetniških zgodbah, podpornemu okolju za razvoj podjetništva, ter razpršeni zaposlitveni strukturi, ki </w:t>
      </w:r>
      <w:r w:rsidR="13B8FF6B" w:rsidRPr="1F30B503">
        <w:rPr>
          <w:rFonts w:ascii="Aptos" w:eastAsia="Aptos" w:hAnsi="Aptos" w:cs="Aptos"/>
        </w:rPr>
        <w:t>je vezana na širok nabor obstoječih panog</w:t>
      </w:r>
      <w:r w:rsidRPr="1F30B503">
        <w:rPr>
          <w:rFonts w:ascii="Aptos" w:eastAsia="Aptos" w:hAnsi="Aptos" w:cs="Aptos"/>
        </w:rPr>
        <w:t>. Priložnosti so v nadgradnji programov podpornega okolja, zagotavljanju prostorskih možnosti za razvoj gospodarstva ter mrežnih-</w:t>
      </w:r>
      <w:proofErr w:type="spellStart"/>
      <w:r w:rsidRPr="1F30B503">
        <w:rPr>
          <w:rFonts w:ascii="Aptos" w:eastAsia="Aptos" w:hAnsi="Aptos" w:cs="Aptos"/>
        </w:rPr>
        <w:t>konzorcijskih</w:t>
      </w:r>
      <w:proofErr w:type="spellEnd"/>
      <w:r w:rsidRPr="1F30B503">
        <w:rPr>
          <w:rFonts w:ascii="Aptos" w:eastAsia="Aptos" w:hAnsi="Aptos" w:cs="Aptos"/>
        </w:rPr>
        <w:t xml:space="preserve"> medsektorskih strukturah.</w:t>
      </w:r>
      <w:r w:rsidR="00DD37DA">
        <w:rPr>
          <w:rFonts w:ascii="Aptos" w:eastAsia="Aptos" w:hAnsi="Aptos" w:cs="Aptos"/>
        </w:rPr>
        <w:t xml:space="preserve"> </w:t>
      </w:r>
      <w:r w:rsidR="00DD37DA" w:rsidRPr="009A2B50">
        <w:rPr>
          <w:rFonts w:ascii="Aptos" w:eastAsia="Aptos" w:hAnsi="Aptos" w:cs="Aptos"/>
          <w:highlight w:val="yellow"/>
        </w:rPr>
        <w:t xml:space="preserve">Vsebina se izraža zlasti v stebrih A in </w:t>
      </w:r>
      <w:r w:rsidR="00DD37DA" w:rsidRPr="009A2B50">
        <w:rPr>
          <w:rFonts w:ascii="Aptos" w:eastAsia="Aptos" w:hAnsi="Aptos" w:cs="Aptos"/>
          <w:highlight w:val="yellow"/>
        </w:rPr>
        <w:lastRenderedPageBreak/>
        <w:t>D.</w:t>
      </w:r>
      <w:r w:rsidRPr="1F30B503">
        <w:rPr>
          <w:rFonts w:ascii="Aptos" w:eastAsia="Aptos" w:hAnsi="Aptos" w:cs="Aptos"/>
        </w:rPr>
        <w:t xml:space="preserve"> Ambiciozno gospodarstvo zato razumemo široko: kot povezovanje razvojno usmerjenih podjetij, obrtnikov, malih in srednjih podjetij, podpornih institucij, znanja in lokalnih storitev v raznoliko in odporno gospodarsko okolje. </w:t>
      </w:r>
    </w:p>
    <w:p w14:paraId="052A5788" w14:textId="217B25E6" w:rsidR="29A8477B" w:rsidRPr="00505676" w:rsidRDefault="52AB40F2" w:rsidP="00505676">
      <w:pPr>
        <w:spacing w:line="257" w:lineRule="auto"/>
        <w:jc w:val="both"/>
        <w:rPr>
          <w:rFonts w:ascii="Aptos" w:eastAsia="Aptos" w:hAnsi="Aptos" w:cs="Aptos"/>
        </w:rPr>
      </w:pPr>
      <w:r w:rsidRPr="29A8477B">
        <w:rPr>
          <w:rFonts w:ascii="Aptos" w:eastAsia="Aptos" w:hAnsi="Aptos" w:cs="Aptos"/>
        </w:rPr>
        <w:t>Vizija presega razumevanje Nove Gorice zgolj kot občine oz. mesta kot občinskega središča</w:t>
      </w:r>
      <w:r w:rsidR="008305A8">
        <w:rPr>
          <w:rFonts w:ascii="Aptos" w:eastAsia="Aptos" w:hAnsi="Aptos" w:cs="Aptos"/>
        </w:rPr>
        <w:t>. O</w:t>
      </w:r>
      <w:r w:rsidRPr="29A8477B">
        <w:rPr>
          <w:rFonts w:ascii="Aptos" w:eastAsia="Aptos" w:hAnsi="Aptos" w:cs="Aptos"/>
        </w:rPr>
        <w:t>predeljuje jo kot skupnost, ki svojo prihodnost gradi v povezavi s širšo skupnostjo znotraj regije, v odnosu med mestom in podeželjem, s sosednjo Gorico, ter širšim čezmejnim prostorom</w:t>
      </w:r>
      <w:r w:rsidR="6FE828B0" w:rsidRPr="29A8477B">
        <w:rPr>
          <w:rFonts w:ascii="Aptos" w:eastAsia="Aptos" w:hAnsi="Aptos" w:cs="Aptos"/>
        </w:rPr>
        <w:t xml:space="preserve"> v duhu uresničevanja evropskih vrednot</w:t>
      </w:r>
      <w:r w:rsidR="0C6DEC92" w:rsidRPr="29A8477B">
        <w:rPr>
          <w:rFonts w:ascii="Aptos" w:eastAsia="Aptos" w:hAnsi="Aptos" w:cs="Aptos"/>
        </w:rPr>
        <w:t>.</w:t>
      </w:r>
      <w:r w:rsidRPr="29A8477B">
        <w:rPr>
          <w:rFonts w:ascii="Aptos" w:eastAsia="Aptos" w:hAnsi="Aptos" w:cs="Aptos"/>
        </w:rPr>
        <w:t xml:space="preserve"> </w:t>
      </w:r>
      <w:r w:rsidR="1C462BD2" w:rsidRPr="29A8477B">
        <w:rPr>
          <w:rFonts w:ascii="Aptos" w:eastAsia="Aptos" w:hAnsi="Aptos" w:cs="Aptos"/>
        </w:rPr>
        <w:t>Skupnost</w:t>
      </w:r>
      <w:r w:rsidRPr="29A8477B">
        <w:rPr>
          <w:rFonts w:ascii="Aptos" w:eastAsia="Aptos" w:hAnsi="Aptos" w:cs="Aptos"/>
        </w:rPr>
        <w:t xml:space="preserve"> razvija ukrepe</w:t>
      </w:r>
      <w:r w:rsidR="608574C4" w:rsidRPr="29A8477B">
        <w:rPr>
          <w:rFonts w:ascii="Aptos" w:eastAsia="Aptos" w:hAnsi="Aptos" w:cs="Aptos"/>
        </w:rPr>
        <w:t xml:space="preserve"> in </w:t>
      </w:r>
      <w:r w:rsidRPr="29A8477B">
        <w:rPr>
          <w:rFonts w:ascii="Aptos" w:eastAsia="Aptos" w:hAnsi="Aptos" w:cs="Aptos"/>
        </w:rPr>
        <w:t>storitve, ki so evropskega pomena.</w:t>
      </w:r>
    </w:p>
    <w:p w14:paraId="3019E3E4" w14:textId="6F646538" w:rsidR="33962555" w:rsidRDefault="79332631" w:rsidP="009673F8">
      <w:pPr>
        <w:spacing w:after="0"/>
        <w:jc w:val="both"/>
      </w:pPr>
      <w:r>
        <w:t xml:space="preserve">Vizija je nastajala postopno, skozi </w:t>
      </w:r>
      <w:r w:rsidR="1B7627A3">
        <w:t xml:space="preserve">tematske </w:t>
      </w:r>
      <w:r>
        <w:t xml:space="preserve">delavnice, razprave z občinskimi službami, </w:t>
      </w:r>
      <w:r w:rsidR="098C9249">
        <w:t xml:space="preserve">ter upoštevaje </w:t>
      </w:r>
      <w:r>
        <w:t>pregled</w:t>
      </w:r>
      <w:r w:rsidR="60876963">
        <w:t>ane</w:t>
      </w:r>
      <w:r>
        <w:t xml:space="preserve"> </w:t>
      </w:r>
      <w:r w:rsidR="5EEB5159">
        <w:t xml:space="preserve">državne strateške dokumente, </w:t>
      </w:r>
      <w:r>
        <w:t>sektorsk</w:t>
      </w:r>
      <w:r w:rsidR="5D50D82F">
        <w:t>e</w:t>
      </w:r>
      <w:r>
        <w:t xml:space="preserve"> strategij</w:t>
      </w:r>
      <w:r w:rsidR="5CEA03FD">
        <w:t>e</w:t>
      </w:r>
      <w:r>
        <w:t>, strokovn</w:t>
      </w:r>
      <w:r w:rsidR="6D71F344">
        <w:t>e</w:t>
      </w:r>
      <w:r>
        <w:t xml:space="preserve"> podlag</w:t>
      </w:r>
      <w:r w:rsidR="1ACF63A9">
        <w:t>e</w:t>
      </w:r>
      <w:r>
        <w:t xml:space="preserve"> in razvojn</w:t>
      </w:r>
      <w:r w:rsidR="5D8B98DD">
        <w:t>e</w:t>
      </w:r>
      <w:r>
        <w:t xml:space="preserve"> pobud</w:t>
      </w:r>
      <w:r w:rsidR="546486E9">
        <w:t>e</w:t>
      </w:r>
      <w:r>
        <w:t xml:space="preserve">. V procesu priprave strategije je bila večkrat preverjena, popravljena in prilagojena ključnim razvojnim usmeritvam. Njen namen </w:t>
      </w:r>
      <w:r w:rsidR="3C323905">
        <w:t>je bil oblikovati</w:t>
      </w:r>
      <w:r>
        <w:t xml:space="preserve"> skupno razvojno izhodišče, ki </w:t>
      </w:r>
      <w:r w:rsidR="6CAFA4F0">
        <w:t>med seboj povezuje</w:t>
      </w:r>
      <w:r>
        <w:t xml:space="preserve"> strateške stebre, cilje, projekte in prihodnje akcijske načrte.</w:t>
      </w:r>
    </w:p>
    <w:p w14:paraId="4391A6F2" w14:textId="6827F1BB" w:rsidR="2380046C" w:rsidRPr="002F07BA" w:rsidRDefault="2380046C" w:rsidP="009673F8">
      <w:pPr>
        <w:spacing w:before="240" w:after="120"/>
        <w:jc w:val="both"/>
        <w:rPr>
          <w:rFonts w:asciiTheme="majorHAnsi" w:hAnsiTheme="majorHAnsi"/>
          <w:color w:val="0F4761"/>
          <w:sz w:val="32"/>
          <w:szCs w:val="32"/>
        </w:rPr>
      </w:pPr>
      <w:r w:rsidRPr="002F07BA">
        <w:rPr>
          <w:rFonts w:asciiTheme="majorHAnsi" w:hAnsiTheme="majorHAnsi"/>
          <w:color w:val="0F4761"/>
          <w:sz w:val="32"/>
          <w:szCs w:val="32"/>
        </w:rPr>
        <w:t>Živimo brezmejno</w:t>
      </w:r>
    </w:p>
    <w:p w14:paraId="39A45B69" w14:textId="0523D5A3" w:rsidR="488A02EE" w:rsidRDefault="0153F00E" w:rsidP="35147BA0">
      <w:pPr>
        <w:jc w:val="both"/>
      </w:pPr>
      <w:r>
        <w:t xml:space="preserve">Slogan Živimo brezmejno izhaja iz izkušnje </w:t>
      </w:r>
      <w:r w:rsidR="3854D3E0">
        <w:t xml:space="preserve">GO! </w:t>
      </w:r>
      <w:r>
        <w:t xml:space="preserve">2025 in nadgrajuje sporočilo Go </w:t>
      </w:r>
      <w:proofErr w:type="spellStart"/>
      <w:r>
        <w:t>Borderless</w:t>
      </w:r>
      <w:proofErr w:type="spellEnd"/>
      <w:r>
        <w:t xml:space="preserve"> / Gremo brezmejno v dolgoročno razvojno usmeritev Mestne občine Nova Gorica. Če je bil pr</w:t>
      </w:r>
      <w:r w:rsidR="006253CE">
        <w:t>ogram</w:t>
      </w:r>
      <w:r>
        <w:t xml:space="preserve"> GO! 2025 pomemben dokaz, da lahko Nova Gorica in</w:t>
      </w:r>
      <w:r w:rsidR="12DD4B9B">
        <w:t xml:space="preserve"> sosednja</w:t>
      </w:r>
      <w:r>
        <w:t xml:space="preserve"> Gorica skupaj oblikujeta zgodbe evropskega pomena, slogan Živimo brezmejno to izkušnjo prenaša v širši razvojni model občine.</w:t>
      </w:r>
    </w:p>
    <w:p w14:paraId="39D89AEF" w14:textId="24075690" w:rsidR="488A02EE" w:rsidRDefault="488A02EE" w:rsidP="35147BA0">
      <w:pPr>
        <w:jc w:val="both"/>
      </w:pPr>
      <w:r w:rsidRPr="35147BA0">
        <w:t>Brezmejnost zato ne pomeni samo čezmejnega sodelovanja med Novo Gorico in Gorico. Pomeni širši način razmišljanja in delovanja: povezovanje ljudi, krajev, institucij, znanja, gospodarstva, kulture, turizma, mesta, podeželja in skupnosti. Pomeni tudi preseganje administrativnih, prostorskih, sektorskih in mentalnih meja.</w:t>
      </w:r>
    </w:p>
    <w:p w14:paraId="024F17CC" w14:textId="0988B1BB" w:rsidR="488A02EE" w:rsidRDefault="488A02EE" w:rsidP="35147BA0">
      <w:pPr>
        <w:jc w:val="both"/>
      </w:pPr>
      <w:r w:rsidRPr="35147BA0">
        <w:t>V tem smislu slogan neposredno povezuje vizijo in način njenega uresničevanja. Vizija opredeljuje, kakšna naj bo Mestna občina Nova Gorica leta 2045</w:t>
      </w:r>
      <w:r w:rsidR="1372240A" w:rsidRPr="35147BA0">
        <w:t>.</w:t>
      </w:r>
      <w:r w:rsidRPr="35147BA0">
        <w:t xml:space="preserve"> </w:t>
      </w:r>
      <w:r w:rsidR="34ED0008" w:rsidRPr="35147BA0">
        <w:t>S</w:t>
      </w:r>
      <w:r w:rsidRPr="35147BA0">
        <w:t>logan pa izraža, kako želi občina to prihodnost graditi</w:t>
      </w:r>
      <w:r w:rsidR="44AC63A1" w:rsidRPr="35147BA0">
        <w:t xml:space="preserve"> </w:t>
      </w:r>
      <w:r w:rsidRPr="35147BA0">
        <w:t>z odprtostjo, sodelovanjem, ustvarjalnostjo, povezovanjem in sposobnostjo skupnega delovanja prek meja.</w:t>
      </w:r>
    </w:p>
    <w:p w14:paraId="6A3E9E58" w14:textId="7B7222BA" w:rsidR="33962555" w:rsidRDefault="79332631" w:rsidP="009673F8">
      <w:pPr>
        <w:spacing w:after="0"/>
        <w:jc w:val="both"/>
      </w:pPr>
      <w:r w:rsidRPr="008465CE">
        <w:rPr>
          <w:highlight w:val="yellow"/>
        </w:rPr>
        <w:t xml:space="preserve">Slogan </w:t>
      </w:r>
      <w:r w:rsidR="4A5DC391" w:rsidRPr="008465CE">
        <w:rPr>
          <w:highlight w:val="yellow"/>
        </w:rPr>
        <w:t>povezuje vse razvoj</w:t>
      </w:r>
      <w:r w:rsidR="60EDA040" w:rsidRPr="008465CE">
        <w:rPr>
          <w:highlight w:val="yellow"/>
        </w:rPr>
        <w:t>ne</w:t>
      </w:r>
      <w:r w:rsidR="4A5DC391" w:rsidRPr="008465CE">
        <w:rPr>
          <w:highlight w:val="yellow"/>
        </w:rPr>
        <w:t xml:space="preserve"> stebre</w:t>
      </w:r>
      <w:r w:rsidR="4A5DC391">
        <w:t>.</w:t>
      </w:r>
      <w:r>
        <w:t xml:space="preserve">  Vizija in slogan skupaj določata temeljno smer strategije: Mestna občina Nova Gorica želi do leta 2045 postati prostor, ki živi brezmejno </w:t>
      </w:r>
      <w:r w:rsidR="0A9DEFD2">
        <w:t>-</w:t>
      </w:r>
      <w:r>
        <w:t xml:space="preserve"> v načinu razmišljanja,</w:t>
      </w:r>
      <w:r w:rsidR="7598B289">
        <w:t xml:space="preserve"> učenja,</w:t>
      </w:r>
      <w:r>
        <w:t xml:space="preserve"> načrtovanja, sodelovanja in izvajanja razvojnih projektov.</w:t>
      </w:r>
    </w:p>
    <w:p w14:paraId="6E0F1ACF" w14:textId="046F7B27" w:rsidR="00A148F4" w:rsidRDefault="46E33926" w:rsidP="004A1C14">
      <w:pPr>
        <w:pStyle w:val="Naslov1"/>
        <w:numPr>
          <w:ilvl w:val="0"/>
          <w:numId w:val="40"/>
        </w:numPr>
        <w:spacing w:before="240" w:after="120"/>
        <w:ind w:left="357" w:hanging="357"/>
      </w:pPr>
      <w:bookmarkStart w:id="42" w:name="_Toc312588354"/>
      <w:bookmarkStart w:id="43" w:name="_Toc14433769"/>
      <w:bookmarkStart w:id="44" w:name="_Toc239414904"/>
      <w:r>
        <w:t>Horizontalni načeli</w:t>
      </w:r>
      <w:r w:rsidR="1F918D85">
        <w:t xml:space="preserve"> razvoja</w:t>
      </w:r>
      <w:bookmarkEnd w:id="42"/>
      <w:bookmarkEnd w:id="43"/>
      <w:bookmarkEnd w:id="44"/>
    </w:p>
    <w:p w14:paraId="5832B192" w14:textId="72E8CBAA" w:rsidR="004F4835" w:rsidRDefault="28555EA5" w:rsidP="00B67DE2">
      <w:pPr>
        <w:spacing w:line="257" w:lineRule="auto"/>
        <w:jc w:val="both"/>
        <w:rPr>
          <w:rFonts w:ascii="Aptos" w:eastAsia="Aptos" w:hAnsi="Aptos" w:cs="Aptos"/>
        </w:rPr>
      </w:pPr>
      <w:r w:rsidRPr="1706C59B">
        <w:rPr>
          <w:rFonts w:ascii="Aptos" w:eastAsia="Aptos" w:hAnsi="Aptos" w:cs="Aptos"/>
        </w:rPr>
        <w:t>Razvojni stebri in strateški cilji opredeljujejo, kaj želi Mestna občina Nova Gorica doseči do leta 2045, horizontalni načeli pa določata, kako naj se pripravljajo, presojajo in izvajajo razvojni projekti, programski sklopi ter druge pomembnejše razvojne odločitve.</w:t>
      </w:r>
    </w:p>
    <w:p w14:paraId="290A3A36" w14:textId="1ABB8C6A" w:rsidR="00B67DE2" w:rsidRPr="00F50535" w:rsidRDefault="28555EA5" w:rsidP="00B67DE2">
      <w:pPr>
        <w:spacing w:line="257" w:lineRule="auto"/>
        <w:jc w:val="both"/>
        <w:rPr>
          <w:rFonts w:eastAsia="Aptos" w:cs="Aptos"/>
        </w:rPr>
      </w:pPr>
      <w:r w:rsidRPr="1F30B503">
        <w:rPr>
          <w:rFonts w:eastAsia="Aptos" w:cs="Aptos"/>
        </w:rPr>
        <w:t>Horizontalni načeli se uporabljata pri oblikovanju akcijskih načrtov, določanju projektnih in proračunskih prioritet, pripravi investicijskih projektov ter vzpostavljanju partnerstev. Njuna naloga je spodbujati povezovanje, izboljševati kakovost rešitev ter prepoznavati razvojne priložnosti in morebitna tveganja.</w:t>
      </w:r>
    </w:p>
    <w:p w14:paraId="7C8258C3" w14:textId="73176ECF" w:rsidR="174989EE" w:rsidRPr="00F50535" w:rsidRDefault="28555EA5" w:rsidP="1F30B503">
      <w:pPr>
        <w:spacing w:line="257" w:lineRule="auto"/>
        <w:jc w:val="both"/>
        <w:rPr>
          <w:rFonts w:eastAsia="Aptos" w:cs="Aptos"/>
        </w:rPr>
      </w:pPr>
      <w:r w:rsidRPr="1F30B503">
        <w:rPr>
          <w:rFonts w:eastAsia="Aptos" w:cs="Aptos"/>
        </w:rPr>
        <w:t>Posamezni projekt, programski sklop ali druga razvojna odločitev se presoja glede na obe načeli, vendar ni nujno, da k vsem njunim razsežnostim prispeva v enaki meri. Presoja mora biti</w:t>
      </w:r>
      <w:r w:rsidR="0A346714" w:rsidRPr="1F30B503">
        <w:rPr>
          <w:rFonts w:eastAsia="Aptos" w:cs="Aptos"/>
        </w:rPr>
        <w:t xml:space="preserve"> opravljena odgovorno </w:t>
      </w:r>
      <w:r w:rsidR="00EA711C">
        <w:rPr>
          <w:rFonts w:eastAsia="Aptos" w:cs="Aptos"/>
        </w:rPr>
        <w:lastRenderedPageBreak/>
        <w:t>ter</w:t>
      </w:r>
      <w:r w:rsidRPr="1F30B503">
        <w:rPr>
          <w:rFonts w:eastAsia="Aptos" w:cs="Aptos"/>
        </w:rPr>
        <w:t xml:space="preserve"> prilagojena naravi in obsegu posamezne rešitve. Horizontalni načeli ne nadomeščata prostorsk</w:t>
      </w:r>
      <w:r w:rsidR="7C6F1A07" w:rsidRPr="1F30B503">
        <w:rPr>
          <w:rFonts w:eastAsia="Aptos" w:cs="Aptos"/>
        </w:rPr>
        <w:t>e,</w:t>
      </w:r>
      <w:r w:rsidRPr="1F30B503">
        <w:rPr>
          <w:rFonts w:eastAsia="Aptos" w:cs="Aptos"/>
        </w:rPr>
        <w:t xml:space="preserve"> pravn</w:t>
      </w:r>
      <w:r w:rsidR="15019667" w:rsidRPr="1F30B503">
        <w:rPr>
          <w:rFonts w:eastAsia="Aptos" w:cs="Aptos"/>
        </w:rPr>
        <w:t>e</w:t>
      </w:r>
      <w:r w:rsidRPr="1F30B503">
        <w:rPr>
          <w:rFonts w:eastAsia="Aptos" w:cs="Aptos"/>
        </w:rPr>
        <w:t>, tehničn</w:t>
      </w:r>
      <w:r w:rsidR="3269C3C4" w:rsidRPr="1F30B503">
        <w:rPr>
          <w:rFonts w:eastAsia="Aptos" w:cs="Aptos"/>
        </w:rPr>
        <w:t>e</w:t>
      </w:r>
      <w:r w:rsidRPr="1F30B503">
        <w:rPr>
          <w:rFonts w:eastAsia="Aptos" w:cs="Aptos"/>
        </w:rPr>
        <w:t xml:space="preserve">, </w:t>
      </w:r>
      <w:proofErr w:type="spellStart"/>
      <w:r w:rsidRPr="1F30B503">
        <w:rPr>
          <w:rFonts w:eastAsia="Aptos" w:cs="Aptos"/>
        </w:rPr>
        <w:t>okoljsk</w:t>
      </w:r>
      <w:r w:rsidR="2BBD58DF" w:rsidRPr="1F30B503">
        <w:rPr>
          <w:rFonts w:eastAsia="Aptos" w:cs="Aptos"/>
        </w:rPr>
        <w:t>e</w:t>
      </w:r>
      <w:proofErr w:type="spellEnd"/>
      <w:r w:rsidRPr="1F30B503">
        <w:rPr>
          <w:rFonts w:eastAsia="Aptos" w:cs="Aptos"/>
        </w:rPr>
        <w:t xml:space="preserve"> in finančn</w:t>
      </w:r>
      <w:r w:rsidR="77170CBE" w:rsidRPr="1F30B503">
        <w:rPr>
          <w:rFonts w:eastAsia="Aptos" w:cs="Aptos"/>
        </w:rPr>
        <w:t>e</w:t>
      </w:r>
      <w:r w:rsidRPr="1F30B503">
        <w:rPr>
          <w:rFonts w:eastAsia="Aptos" w:cs="Aptos"/>
        </w:rPr>
        <w:t xml:space="preserve"> presoj</w:t>
      </w:r>
      <w:r w:rsidR="3AA70AED" w:rsidRPr="1F30B503">
        <w:rPr>
          <w:rFonts w:eastAsia="Aptos" w:cs="Aptos"/>
        </w:rPr>
        <w:t>e</w:t>
      </w:r>
      <w:r w:rsidRPr="1F30B503">
        <w:rPr>
          <w:rFonts w:eastAsia="Aptos" w:cs="Aptos"/>
        </w:rPr>
        <w:t xml:space="preserve">, </w:t>
      </w:r>
      <w:r w:rsidR="52AA2FB4" w:rsidRPr="1F30B503">
        <w:rPr>
          <w:rFonts w:eastAsia="Aptos" w:cs="Aptos"/>
        </w:rPr>
        <w:t>temveč jo</w:t>
      </w:r>
      <w:r w:rsidRPr="1F30B503">
        <w:rPr>
          <w:rFonts w:eastAsia="Aptos" w:cs="Aptos"/>
        </w:rPr>
        <w:t xml:space="preserve"> dopolnjujeta.</w:t>
      </w:r>
    </w:p>
    <w:p w14:paraId="2FD9A4A8" w14:textId="7E59C706" w:rsidR="0068407E" w:rsidRPr="000D2B13" w:rsidRDefault="29D53366" w:rsidP="009673F8">
      <w:pPr>
        <w:spacing w:before="240" w:after="120"/>
        <w:jc w:val="both"/>
        <w:rPr>
          <w:rFonts w:asciiTheme="majorHAnsi" w:hAnsiTheme="majorHAnsi"/>
          <w:color w:val="0F4761"/>
          <w:sz w:val="32"/>
          <w:szCs w:val="32"/>
        </w:rPr>
      </w:pPr>
      <w:r w:rsidRPr="000D2B13">
        <w:rPr>
          <w:rFonts w:asciiTheme="majorHAnsi" w:hAnsiTheme="majorHAnsi"/>
          <w:color w:val="0F4761"/>
          <w:sz w:val="32"/>
          <w:szCs w:val="32"/>
        </w:rPr>
        <w:t xml:space="preserve">Brezmejnost </w:t>
      </w:r>
    </w:p>
    <w:p w14:paraId="6CA1A317" w14:textId="28005CEF" w:rsidR="00294D54" w:rsidRPr="00E37394" w:rsidRDefault="046ED529" w:rsidP="23C3E973">
      <w:pPr>
        <w:spacing w:line="257" w:lineRule="auto"/>
        <w:jc w:val="both"/>
      </w:pPr>
      <w:r w:rsidRPr="00E37394">
        <w:rPr>
          <w:rFonts w:ascii="Aptos" w:eastAsia="Aptos" w:hAnsi="Aptos" w:cs="Aptos"/>
        </w:rPr>
        <w:t xml:space="preserve">Brezmejnost je posebno horizontalno načelo Strategije </w:t>
      </w:r>
      <w:r w:rsidR="0B6A04F1" w:rsidRPr="00E37394">
        <w:rPr>
          <w:rFonts w:ascii="Aptos" w:eastAsia="Aptos" w:hAnsi="Aptos" w:cs="Aptos"/>
        </w:rPr>
        <w:t xml:space="preserve">razvoja </w:t>
      </w:r>
      <w:r w:rsidRPr="00E37394">
        <w:rPr>
          <w:rFonts w:ascii="Aptos" w:eastAsia="Aptos" w:hAnsi="Aptos" w:cs="Aptos"/>
        </w:rPr>
        <w:t>MONG 2045. Izhaja iz razvojne usmeritve Živimo brezmejno ter pomeni preseganje administrativnih, prostorskih, sektorskih in miselnih meja, kadar takšno povezovanje omogoča kakovostnejše in učinkovitejše rešitve.</w:t>
      </w:r>
    </w:p>
    <w:p w14:paraId="4EBA7747" w14:textId="24A59B06" w:rsidR="00294D54" w:rsidRPr="00E37394" w:rsidRDefault="00294D54" w:rsidP="23C3E973">
      <w:pPr>
        <w:spacing w:after="120" w:line="257" w:lineRule="auto"/>
        <w:jc w:val="both"/>
      </w:pPr>
      <w:r w:rsidRPr="00E37394">
        <w:rPr>
          <w:rFonts w:ascii="Aptos" w:eastAsia="Aptos" w:hAnsi="Aptos" w:cs="Aptos"/>
        </w:rPr>
        <w:t>Na teritorialni ravni pomeni povezovanje mesta in podeželja, sodelovanje s sosednjimi občinami, Gorico, Severno Primorsko (Goriško) razvojno regijo, državo in širšim evropskim prostorom. Na vsebinski ravni pomeni povezovanje področij, ki se pri razvoju občine medsebojno dopolnjujejo, na primer gospodarstva in znanja, stanovanj in kadrov, mobilnosti in dostopnosti storitev ter kulture, turizma in lokalne identitete.</w:t>
      </w:r>
    </w:p>
    <w:p w14:paraId="625A9B2C" w14:textId="5E9CAE47" w:rsidR="00294D54" w:rsidRPr="00E37394" w:rsidRDefault="046ED529" w:rsidP="1F30B503">
      <w:pPr>
        <w:spacing w:after="120" w:line="257" w:lineRule="auto"/>
        <w:jc w:val="both"/>
        <w:rPr>
          <w:rFonts w:ascii="Aptos" w:eastAsia="Aptos" w:hAnsi="Aptos" w:cs="Aptos"/>
        </w:rPr>
      </w:pPr>
      <w:r w:rsidRPr="00E37394">
        <w:rPr>
          <w:rFonts w:ascii="Aptos" w:eastAsia="Aptos" w:hAnsi="Aptos" w:cs="Aptos"/>
        </w:rPr>
        <w:t>Presoja po načelu brezmejnosti ne pomeni, da mora vsak projekt</w:t>
      </w:r>
      <w:r w:rsidR="39D2998D" w:rsidRPr="00E37394">
        <w:rPr>
          <w:rFonts w:ascii="Aptos" w:eastAsia="Aptos" w:hAnsi="Aptos" w:cs="Aptos"/>
        </w:rPr>
        <w:t xml:space="preserve"> vedno</w:t>
      </w:r>
      <w:r w:rsidRPr="00E37394">
        <w:rPr>
          <w:rFonts w:ascii="Aptos" w:eastAsia="Aptos" w:hAnsi="Aptos" w:cs="Aptos"/>
        </w:rPr>
        <w:t xml:space="preserve"> obravnavati čezmejno območje oz. se istočasno udejanjati na obeh straneh meje. Njen namen je preveriti</w:t>
      </w:r>
      <w:r w:rsidR="3B17CC9B" w:rsidRPr="00E37394">
        <w:rPr>
          <w:rFonts w:ascii="Aptos" w:eastAsia="Aptos" w:hAnsi="Aptos" w:cs="Aptos"/>
        </w:rPr>
        <w:t>,</w:t>
      </w:r>
      <w:r w:rsidR="578084D8" w:rsidRPr="00E37394">
        <w:rPr>
          <w:rFonts w:ascii="Aptos" w:eastAsia="Aptos" w:hAnsi="Aptos" w:cs="Aptos"/>
        </w:rPr>
        <w:t xml:space="preserve"> </w:t>
      </w:r>
      <w:r w:rsidRPr="00E37394">
        <w:rPr>
          <w:rFonts w:ascii="Aptos" w:eastAsia="Aptos" w:hAnsi="Aptos" w:cs="Aptos"/>
        </w:rPr>
        <w:t>ali bi povezovanje območij, sektorjev, institucij, znanj ali uporabnikov lahko povečalo razvojni učinek projekta in njegov čezmejni vpliv.</w:t>
      </w:r>
      <w:r w:rsidR="608907CF" w:rsidRPr="00E37394">
        <w:rPr>
          <w:rFonts w:ascii="Aptos" w:eastAsia="Aptos" w:hAnsi="Aptos" w:cs="Aptos"/>
        </w:rPr>
        <w:t xml:space="preserve"> Na ta način skozi proces priprave ukrepa/rešitve pridemo do zelo izvirnih in učinkovitih rezultatov in lokalnim projektom že </w:t>
      </w:r>
      <w:r w:rsidR="1E8B3BCC" w:rsidRPr="00E37394">
        <w:rPr>
          <w:rFonts w:ascii="Aptos" w:eastAsia="Aptos" w:hAnsi="Aptos" w:cs="Aptos"/>
        </w:rPr>
        <w:t>s</w:t>
      </w:r>
      <w:r w:rsidR="608907CF" w:rsidRPr="00E37394">
        <w:rPr>
          <w:rFonts w:ascii="Aptos" w:eastAsia="Aptos" w:hAnsi="Aptos" w:cs="Aptos"/>
        </w:rPr>
        <w:t xml:space="preserve"> sam</w:t>
      </w:r>
      <w:r w:rsidR="73EA3739" w:rsidRPr="00E37394">
        <w:rPr>
          <w:rFonts w:ascii="Aptos" w:eastAsia="Aptos" w:hAnsi="Aptos" w:cs="Aptos"/>
        </w:rPr>
        <w:t>o</w:t>
      </w:r>
      <w:r w:rsidR="608907CF" w:rsidRPr="00E37394">
        <w:rPr>
          <w:rFonts w:ascii="Aptos" w:eastAsia="Aptos" w:hAnsi="Aptos" w:cs="Aptos"/>
        </w:rPr>
        <w:t xml:space="preserve"> </w:t>
      </w:r>
      <w:r w:rsidR="5F79E285" w:rsidRPr="00E37394">
        <w:rPr>
          <w:rFonts w:ascii="Aptos" w:eastAsia="Aptos" w:hAnsi="Aptos" w:cs="Aptos"/>
        </w:rPr>
        <w:t>presojo lahko</w:t>
      </w:r>
      <w:r w:rsidR="608907CF" w:rsidRPr="00E37394">
        <w:rPr>
          <w:rFonts w:ascii="Aptos" w:eastAsia="Aptos" w:hAnsi="Aptos" w:cs="Aptos"/>
        </w:rPr>
        <w:t xml:space="preserve"> dodajamo osnove za obravnavo na širšem nivoju.</w:t>
      </w:r>
    </w:p>
    <w:p w14:paraId="0C4BB251" w14:textId="3B55F1F9" w:rsidR="00294D54" w:rsidRPr="00E37394" w:rsidRDefault="00294D54" w:rsidP="23C3E973">
      <w:pPr>
        <w:spacing w:after="80" w:line="257" w:lineRule="auto"/>
        <w:jc w:val="both"/>
      </w:pPr>
      <w:r w:rsidRPr="00E37394">
        <w:rPr>
          <w:rFonts w:ascii="Aptos" w:eastAsia="Aptos" w:hAnsi="Aptos" w:cs="Aptos"/>
        </w:rPr>
        <w:t>Pri pripravi projekta se preveri predvsem:</w:t>
      </w:r>
    </w:p>
    <w:p w14:paraId="145A7F1F" w14:textId="2787B808" w:rsidR="00294D54" w:rsidRPr="00E37394" w:rsidRDefault="00294D54" w:rsidP="004A1C14">
      <w:pPr>
        <w:pStyle w:val="Odstavekseznama"/>
        <w:numPr>
          <w:ilvl w:val="0"/>
          <w:numId w:val="43"/>
        </w:numPr>
        <w:tabs>
          <w:tab w:val="left" w:pos="360"/>
          <w:tab w:val="left" w:pos="0"/>
        </w:tabs>
        <w:spacing w:after="80" w:line="252" w:lineRule="auto"/>
        <w:jc w:val="both"/>
      </w:pPr>
      <w:r w:rsidRPr="00152712">
        <w:rPr>
          <w:rFonts w:ascii="Aptos" w:eastAsia="Aptos" w:hAnsi="Aptos" w:cs="Aptos"/>
        </w:rPr>
        <w:t>Ali projekt smiselno povezuje različna območja, področja, institucije ali skupine uporabnikov?</w:t>
      </w:r>
    </w:p>
    <w:p w14:paraId="7C51F124" w14:textId="0CED6C39" w:rsidR="00294D54" w:rsidRPr="00E37394" w:rsidRDefault="00294D54" w:rsidP="004A1C14">
      <w:pPr>
        <w:pStyle w:val="Odstavekseznama"/>
        <w:numPr>
          <w:ilvl w:val="0"/>
          <w:numId w:val="43"/>
        </w:numPr>
        <w:tabs>
          <w:tab w:val="left" w:pos="360"/>
          <w:tab w:val="left" w:pos="0"/>
        </w:tabs>
        <w:spacing w:after="80" w:line="252" w:lineRule="auto"/>
        <w:jc w:val="both"/>
      </w:pPr>
      <w:r w:rsidRPr="00152712">
        <w:rPr>
          <w:rFonts w:ascii="Aptos" w:eastAsia="Aptos" w:hAnsi="Aptos" w:cs="Aptos"/>
        </w:rPr>
        <w:t>Ali bi sodelovanje z lokalnimi, regijskimi, državnimi ali čezmejnimi partnerji povečalo njegov učinek?</w:t>
      </w:r>
    </w:p>
    <w:p w14:paraId="69AD4E3C" w14:textId="4FD78F1E" w:rsidR="00294D54" w:rsidRPr="00564233" w:rsidRDefault="00294D54" w:rsidP="00564233">
      <w:pPr>
        <w:pStyle w:val="Odstavekseznama"/>
        <w:numPr>
          <w:ilvl w:val="0"/>
          <w:numId w:val="43"/>
        </w:numPr>
        <w:tabs>
          <w:tab w:val="left" w:pos="360"/>
          <w:tab w:val="left" w:pos="0"/>
        </w:tabs>
        <w:spacing w:after="80" w:line="252" w:lineRule="auto"/>
        <w:jc w:val="both"/>
        <w:rPr>
          <w:rFonts w:ascii="Aptos" w:eastAsia="Aptos" w:hAnsi="Aptos" w:cs="Aptos"/>
        </w:rPr>
      </w:pPr>
      <w:r w:rsidRPr="00152712">
        <w:rPr>
          <w:rFonts w:ascii="Aptos" w:eastAsia="Aptos" w:hAnsi="Aptos" w:cs="Aptos"/>
        </w:rPr>
        <w:t>Ali projekt dopolnjuje obstoječe programe in načrte ter preprečuje podvajanje rešitev?</w:t>
      </w:r>
    </w:p>
    <w:p w14:paraId="02FDF730" w14:textId="774541EF" w:rsidR="009673F8" w:rsidRPr="00152712" w:rsidRDefault="00294D54" w:rsidP="00564233">
      <w:pPr>
        <w:pStyle w:val="Odstavekseznama"/>
        <w:numPr>
          <w:ilvl w:val="0"/>
          <w:numId w:val="43"/>
        </w:numPr>
        <w:tabs>
          <w:tab w:val="left" w:pos="360"/>
          <w:tab w:val="left" w:pos="0"/>
        </w:tabs>
        <w:spacing w:after="80" w:line="252" w:lineRule="auto"/>
        <w:jc w:val="both"/>
        <w:rPr>
          <w:rFonts w:ascii="Aptos" w:eastAsia="Aptos" w:hAnsi="Aptos" w:cs="Aptos"/>
        </w:rPr>
      </w:pPr>
      <w:r w:rsidRPr="00152712">
        <w:rPr>
          <w:rFonts w:ascii="Aptos" w:eastAsia="Aptos" w:hAnsi="Aptos" w:cs="Aptos"/>
        </w:rPr>
        <w:t>Ali rešitev ustvarja koristi za širši krog uporabnikov in omogoča nadaljnje povezovanje ali nadgradnjo?</w:t>
      </w:r>
    </w:p>
    <w:p w14:paraId="0FE30D60" w14:textId="63BE63F3" w:rsidR="174989EE" w:rsidRPr="000D2B13" w:rsidRDefault="08F1FD71" w:rsidP="009673F8">
      <w:pPr>
        <w:spacing w:before="240" w:after="120"/>
        <w:jc w:val="both"/>
        <w:rPr>
          <w:rFonts w:asciiTheme="majorHAnsi" w:hAnsiTheme="majorHAnsi"/>
          <w:color w:val="0F4761"/>
          <w:sz w:val="32"/>
          <w:szCs w:val="32"/>
        </w:rPr>
      </w:pPr>
      <w:r w:rsidRPr="000D2B13">
        <w:rPr>
          <w:rFonts w:asciiTheme="majorHAnsi" w:hAnsiTheme="majorHAnsi"/>
          <w:color w:val="0F4761"/>
          <w:sz w:val="32"/>
          <w:szCs w:val="32"/>
        </w:rPr>
        <w:t>Trajnostni pristop</w:t>
      </w:r>
    </w:p>
    <w:p w14:paraId="76E7D2B5" w14:textId="2A341808" w:rsidR="001F467F" w:rsidRPr="00152712" w:rsidRDefault="5A59D5D9" w:rsidP="1F30B503">
      <w:pPr>
        <w:spacing w:after="120"/>
        <w:jc w:val="both"/>
        <w:rPr>
          <w:rFonts w:eastAsia="MS Mincho" w:cs="Times New Roman"/>
        </w:rPr>
      </w:pPr>
      <w:r w:rsidRPr="1706C59B">
        <w:rPr>
          <w:rFonts w:eastAsia="MS Mincho" w:cs="Times New Roman"/>
        </w:rPr>
        <w:t xml:space="preserve">Drugo horizontalno načelo izhaja iz vrednot Novega evropskega Bauhausa in </w:t>
      </w:r>
      <w:r w:rsidR="0144F1DA" w:rsidRPr="1706C59B">
        <w:rPr>
          <w:rFonts w:eastAsia="MS Mincho" w:cs="Times New Roman"/>
        </w:rPr>
        <w:t>je usmerjeno v zagotavljanje</w:t>
      </w:r>
      <w:r w:rsidRPr="1706C59B">
        <w:rPr>
          <w:rFonts w:eastAsia="MS Mincho" w:cs="Times New Roman"/>
        </w:rPr>
        <w:t xml:space="preserve"> </w:t>
      </w:r>
      <w:proofErr w:type="spellStart"/>
      <w:r w:rsidRPr="008A02A8">
        <w:rPr>
          <w:rFonts w:eastAsia="MS Mincho" w:cs="Times New Roman"/>
          <w:highlight w:val="yellow"/>
        </w:rPr>
        <w:t>okoljsk</w:t>
      </w:r>
      <w:r w:rsidR="67E337E6" w:rsidRPr="008A02A8">
        <w:rPr>
          <w:rFonts w:eastAsia="MS Mincho" w:cs="Times New Roman"/>
          <w:highlight w:val="yellow"/>
        </w:rPr>
        <w:t>e</w:t>
      </w:r>
      <w:proofErr w:type="spellEnd"/>
      <w:r w:rsidRPr="008A02A8">
        <w:rPr>
          <w:rFonts w:eastAsia="MS Mincho" w:cs="Times New Roman"/>
          <w:highlight w:val="yellow"/>
        </w:rPr>
        <w:t xml:space="preserve"> trajnost</w:t>
      </w:r>
      <w:r w:rsidR="00D10A06" w:rsidRPr="008A02A8">
        <w:rPr>
          <w:rFonts w:eastAsia="MS Mincho" w:cs="Times New Roman"/>
          <w:highlight w:val="yellow"/>
        </w:rPr>
        <w:t>i</w:t>
      </w:r>
      <w:r w:rsidRPr="1706C59B">
        <w:rPr>
          <w:rFonts w:eastAsia="MS Mincho" w:cs="Times New Roman"/>
        </w:rPr>
        <w:t>, vključevanj</w:t>
      </w:r>
      <w:r w:rsidR="6C85DB9F" w:rsidRPr="1706C59B">
        <w:rPr>
          <w:rFonts w:eastAsia="MS Mincho" w:cs="Times New Roman"/>
        </w:rPr>
        <w:t>a</w:t>
      </w:r>
      <w:r w:rsidRPr="1706C59B">
        <w:rPr>
          <w:rFonts w:eastAsia="MS Mincho" w:cs="Times New Roman"/>
        </w:rPr>
        <w:t xml:space="preserve"> ter kakovost</w:t>
      </w:r>
      <w:r w:rsidR="5BA0D7A9" w:rsidRPr="1706C59B">
        <w:rPr>
          <w:rFonts w:eastAsia="MS Mincho" w:cs="Times New Roman"/>
        </w:rPr>
        <w:t>i</w:t>
      </w:r>
      <w:r w:rsidRPr="1706C59B">
        <w:rPr>
          <w:rFonts w:eastAsia="MS Mincho" w:cs="Times New Roman"/>
        </w:rPr>
        <w:t xml:space="preserve"> prostora. </w:t>
      </w:r>
    </w:p>
    <w:p w14:paraId="368B5F05" w14:textId="6502EE83" w:rsidR="001F467F" w:rsidRPr="00152712" w:rsidRDefault="5A59D5D9" w:rsidP="1706C59B">
      <w:pPr>
        <w:spacing w:after="120"/>
        <w:jc w:val="both"/>
        <w:rPr>
          <w:rFonts w:eastAsia="MS Mincho" w:cs="Times New Roman"/>
          <w:kern w:val="0"/>
          <w14:ligatures w14:val="none"/>
        </w:rPr>
      </w:pPr>
      <w:r w:rsidRPr="1F30B503">
        <w:rPr>
          <w:rFonts w:eastAsia="MS Mincho" w:cs="Times New Roman"/>
          <w:kern w:val="0"/>
          <w14:ligatures w14:val="none"/>
        </w:rPr>
        <w:t>Namen načela je zagotoviti, da razvojni projekti izboljšujejo kakovost bivanja</w:t>
      </w:r>
      <w:r w:rsidR="3A53CC46" w:rsidRPr="1F30B503">
        <w:rPr>
          <w:rFonts w:eastAsia="MS Mincho" w:cs="Times New Roman"/>
        </w:rPr>
        <w:t xml:space="preserve"> na način</w:t>
      </w:r>
      <w:r w:rsidR="00EA711C">
        <w:rPr>
          <w:rFonts w:eastAsia="MS Mincho" w:cs="Times New Roman"/>
        </w:rPr>
        <w:t>,</w:t>
      </w:r>
      <w:r w:rsidR="3A53CC46" w:rsidRPr="1F30B503">
        <w:rPr>
          <w:rFonts w:eastAsia="MS Mincho" w:cs="Times New Roman"/>
        </w:rPr>
        <w:t xml:space="preserve"> da </w:t>
      </w:r>
      <w:r w:rsidRPr="1F30B503">
        <w:rPr>
          <w:rFonts w:eastAsia="MS Mincho" w:cs="Times New Roman"/>
        </w:rPr>
        <w:t>odgovorno uporabljajo prostor in vire, upoštevajo različne skupine prebivalcev ter so funkcionalno in oblikovalsko kakovostni.</w:t>
      </w:r>
    </w:p>
    <w:p w14:paraId="1BC900A3" w14:textId="0CD42F25" w:rsidR="001F467F" w:rsidRPr="000D2B13" w:rsidRDefault="5A59D5D9" w:rsidP="000D2B13">
      <w:pPr>
        <w:spacing w:before="240" w:after="120"/>
        <w:jc w:val="both"/>
        <w:rPr>
          <w:color w:val="0F4761"/>
          <w:sz w:val="24"/>
          <w:szCs w:val="24"/>
        </w:rPr>
      </w:pPr>
      <w:proofErr w:type="spellStart"/>
      <w:r w:rsidRPr="008A02A8">
        <w:rPr>
          <w:color w:val="0F4761"/>
          <w:sz w:val="24"/>
          <w:szCs w:val="24"/>
          <w:highlight w:val="yellow"/>
        </w:rPr>
        <w:t>Okoljska</w:t>
      </w:r>
      <w:proofErr w:type="spellEnd"/>
      <w:r w:rsidRPr="008A02A8">
        <w:rPr>
          <w:color w:val="0F4761"/>
          <w:sz w:val="24"/>
          <w:szCs w:val="24"/>
          <w:highlight w:val="yellow"/>
        </w:rPr>
        <w:t xml:space="preserve"> trajnost</w:t>
      </w:r>
      <w:r w:rsidRPr="000D2B13">
        <w:rPr>
          <w:color w:val="0F4761"/>
          <w:sz w:val="24"/>
          <w:szCs w:val="24"/>
        </w:rPr>
        <w:t xml:space="preserve"> in odpornost</w:t>
      </w:r>
    </w:p>
    <w:p w14:paraId="0D902303" w14:textId="2E7CC6B6" w:rsidR="002F07BA" w:rsidRPr="00152712" w:rsidRDefault="5A59D5D9" w:rsidP="00152712">
      <w:pPr>
        <w:spacing w:after="120"/>
        <w:jc w:val="both"/>
        <w:rPr>
          <w:rFonts w:eastAsia="MS Mincho" w:cs="Times New Roman"/>
          <w:kern w:val="0"/>
          <w14:ligatures w14:val="none"/>
        </w:rPr>
      </w:pPr>
      <w:r w:rsidRPr="1F30B503">
        <w:rPr>
          <w:rFonts w:eastAsia="MS Mincho" w:cs="Times New Roman"/>
          <w:kern w:val="0"/>
          <w14:ligatures w14:val="none"/>
        </w:rPr>
        <w:t>Projekt naj zmanjšuje obremenjevanje okolja, spodbuja učinkovito in krožno rabo virov, upošteva podnebna tveganja ter omogoča dolgoročno in gospodarno uporabo.</w:t>
      </w:r>
    </w:p>
    <w:p w14:paraId="787BF37B" w14:textId="5BC6EED0" w:rsidR="009673F8" w:rsidRPr="000D2B13" w:rsidRDefault="5A59D5D9" w:rsidP="000D2B13">
      <w:pPr>
        <w:spacing w:before="240" w:after="120"/>
        <w:jc w:val="both"/>
        <w:rPr>
          <w:color w:val="0F4761"/>
          <w:sz w:val="24"/>
          <w:szCs w:val="24"/>
        </w:rPr>
      </w:pPr>
      <w:r w:rsidRPr="000D2B13">
        <w:rPr>
          <w:color w:val="0F4761"/>
          <w:sz w:val="24"/>
          <w:szCs w:val="24"/>
        </w:rPr>
        <w:t>Kakovost prostora</w:t>
      </w:r>
      <w:r w:rsidR="404DCBFB" w:rsidRPr="000D2B13">
        <w:rPr>
          <w:color w:val="0F4761"/>
          <w:sz w:val="24"/>
          <w:szCs w:val="24"/>
        </w:rPr>
        <w:t xml:space="preserve"> in</w:t>
      </w:r>
      <w:r w:rsidRPr="000D2B13">
        <w:rPr>
          <w:color w:val="0F4761"/>
          <w:sz w:val="24"/>
          <w:szCs w:val="24"/>
        </w:rPr>
        <w:t xml:space="preserve"> rešit</w:t>
      </w:r>
      <w:r w:rsidR="55663FD0" w:rsidRPr="000D2B13">
        <w:rPr>
          <w:color w:val="0F4761"/>
          <w:sz w:val="24"/>
          <w:szCs w:val="24"/>
        </w:rPr>
        <w:t>e</w:t>
      </w:r>
      <w:r w:rsidRPr="000D2B13">
        <w:rPr>
          <w:color w:val="0F4761"/>
          <w:sz w:val="24"/>
          <w:szCs w:val="24"/>
        </w:rPr>
        <w:t xml:space="preserve">v </w:t>
      </w:r>
      <w:r w:rsidR="2F3DA7F0" w:rsidRPr="000D2B13">
        <w:rPr>
          <w:color w:val="0F4761"/>
          <w:sz w:val="24"/>
          <w:szCs w:val="24"/>
        </w:rPr>
        <w:t>ter</w:t>
      </w:r>
      <w:r w:rsidRPr="000D2B13">
        <w:rPr>
          <w:color w:val="0F4761"/>
          <w:sz w:val="24"/>
          <w:szCs w:val="24"/>
        </w:rPr>
        <w:t xml:space="preserve"> uporabnišk</w:t>
      </w:r>
      <w:r w:rsidR="35EB61E4" w:rsidRPr="000D2B13">
        <w:rPr>
          <w:color w:val="0F4761"/>
          <w:sz w:val="24"/>
          <w:szCs w:val="24"/>
        </w:rPr>
        <w:t>a</w:t>
      </w:r>
      <w:r w:rsidRPr="000D2B13">
        <w:rPr>
          <w:color w:val="0F4761"/>
          <w:sz w:val="24"/>
          <w:szCs w:val="24"/>
        </w:rPr>
        <w:t xml:space="preserve"> izkušnj</w:t>
      </w:r>
      <w:r w:rsidR="07F46FA3" w:rsidRPr="000D2B13">
        <w:rPr>
          <w:color w:val="0F4761"/>
          <w:sz w:val="24"/>
          <w:szCs w:val="24"/>
        </w:rPr>
        <w:t>a</w:t>
      </w:r>
    </w:p>
    <w:p w14:paraId="4F56095A" w14:textId="1854638E" w:rsidR="006043A4" w:rsidRPr="00152712" w:rsidRDefault="5A59D5D9" w:rsidP="00152712">
      <w:pPr>
        <w:spacing w:after="0"/>
        <w:jc w:val="both"/>
        <w:rPr>
          <w:rFonts w:eastAsia="MS Mincho" w:cs="Times New Roman"/>
          <w:kern w:val="0"/>
          <w14:ligatures w14:val="none"/>
        </w:rPr>
      </w:pPr>
      <w:r w:rsidRPr="1F30B503">
        <w:rPr>
          <w:rFonts w:eastAsia="MS Mincho" w:cs="Times New Roman"/>
          <w:kern w:val="0"/>
          <w14:ligatures w14:val="none"/>
        </w:rPr>
        <w:t>Projekt naj bo funkcionalen, kakovostno oblikovan, prilagojen značilnostim prostora in potrebam uporabnikov. Prispeva naj k identiteti prostora, dobremu počutju ter dolgoročni kakovosti bivanja. Pri programih in storitvah se presoja kakovost rešitve ter njena razumljivost, uporabnost in prilagodljivost.</w:t>
      </w:r>
    </w:p>
    <w:p w14:paraId="3411A7DA" w14:textId="77777777" w:rsidR="001F467F" w:rsidRPr="000D2B13" w:rsidRDefault="5A59D5D9" w:rsidP="000D2B13">
      <w:pPr>
        <w:spacing w:before="240" w:after="120"/>
        <w:jc w:val="both"/>
        <w:rPr>
          <w:color w:val="0F4761"/>
          <w:sz w:val="24"/>
          <w:szCs w:val="24"/>
        </w:rPr>
      </w:pPr>
      <w:r w:rsidRPr="000D2B13">
        <w:rPr>
          <w:color w:val="0F4761"/>
          <w:sz w:val="24"/>
          <w:szCs w:val="24"/>
        </w:rPr>
        <w:t>Vključenost in dostopnost</w:t>
      </w:r>
    </w:p>
    <w:p w14:paraId="24611D87" w14:textId="77777777" w:rsidR="001F467F" w:rsidRPr="00152712" w:rsidRDefault="5A59D5D9" w:rsidP="00152712">
      <w:pPr>
        <w:spacing w:after="120"/>
        <w:jc w:val="both"/>
        <w:rPr>
          <w:rFonts w:eastAsia="MS Mincho" w:cs="Times New Roman"/>
          <w:kern w:val="0"/>
          <w14:ligatures w14:val="none"/>
        </w:rPr>
      </w:pPr>
      <w:r w:rsidRPr="1F30B503">
        <w:rPr>
          <w:rFonts w:eastAsia="MS Mincho" w:cs="Times New Roman"/>
          <w:kern w:val="0"/>
          <w14:ligatures w14:val="none"/>
        </w:rPr>
        <w:lastRenderedPageBreak/>
        <w:t>Projekt naj upošteva potrebe različnih generacij in skupin prebivalcev ter zagotavlja fizično, digitalno, vsebinsko in finančno dostopnost. Pri njegovi pripravi naj bodo smiselno vključeni uporabniki, lokalna skupnost in drugi pomembni deležniki.</w:t>
      </w:r>
    </w:p>
    <w:p w14:paraId="3CB69AE3" w14:textId="77777777" w:rsidR="001F467F" w:rsidRPr="00152712" w:rsidRDefault="48E65C39" w:rsidP="1706C59B">
      <w:r>
        <w:t>Pri pripravi projekta se preveri predvsem:</w:t>
      </w:r>
    </w:p>
    <w:p w14:paraId="4460BDF2" w14:textId="77777777" w:rsidR="001F467F" w:rsidRPr="00152712" w:rsidRDefault="5A59D5D9" w:rsidP="004A1C14">
      <w:pPr>
        <w:pStyle w:val="Odstavekseznama"/>
        <w:numPr>
          <w:ilvl w:val="0"/>
          <w:numId w:val="42"/>
        </w:numPr>
        <w:spacing w:after="80" w:line="252" w:lineRule="auto"/>
        <w:jc w:val="both"/>
        <w:rPr>
          <w:rFonts w:eastAsia="MS Mincho" w:cs="Times New Roman"/>
          <w:kern w:val="0"/>
          <w14:ligatures w14:val="none"/>
        </w:rPr>
      </w:pPr>
      <w:r w:rsidRPr="00F50535">
        <w:rPr>
          <w:rFonts w:eastAsia="MS Mincho" w:cs="Times New Roman"/>
          <w:kern w:val="0"/>
          <w14:ligatures w14:val="none"/>
        </w:rPr>
        <w:t>Ali projekt odgovorno uporablja prostor, energijo, materiale in druge vire ter upošteva podnebna tveganja?</w:t>
      </w:r>
    </w:p>
    <w:p w14:paraId="4E63D1B1" w14:textId="77777777" w:rsidR="001F467F" w:rsidRPr="00152712" w:rsidRDefault="5A59D5D9" w:rsidP="004A1C14">
      <w:pPr>
        <w:pStyle w:val="Odstavekseznama"/>
        <w:numPr>
          <w:ilvl w:val="0"/>
          <w:numId w:val="42"/>
        </w:numPr>
        <w:spacing w:after="80" w:line="252" w:lineRule="auto"/>
        <w:jc w:val="both"/>
        <w:rPr>
          <w:rFonts w:eastAsia="MS Mincho" w:cs="Times New Roman"/>
          <w:kern w:val="0"/>
          <w14:ligatures w14:val="none"/>
        </w:rPr>
      </w:pPr>
      <w:r w:rsidRPr="00F50535">
        <w:rPr>
          <w:rFonts w:eastAsia="MS Mincho" w:cs="Times New Roman"/>
          <w:kern w:val="0"/>
          <w14:ligatures w14:val="none"/>
        </w:rPr>
        <w:t>Ali je rešitev funkcionalna, trajna, kakovostno oblikovana in prilagodljiva prihodnjim potrebam?</w:t>
      </w:r>
    </w:p>
    <w:p w14:paraId="667058E7" w14:textId="77777777" w:rsidR="001F467F" w:rsidRPr="00152712" w:rsidRDefault="5A59D5D9" w:rsidP="004A1C14">
      <w:pPr>
        <w:pStyle w:val="Odstavekseznama"/>
        <w:numPr>
          <w:ilvl w:val="0"/>
          <w:numId w:val="42"/>
        </w:numPr>
        <w:spacing w:after="80" w:line="252" w:lineRule="auto"/>
        <w:jc w:val="both"/>
        <w:rPr>
          <w:rFonts w:eastAsia="MS Mincho" w:cs="Times New Roman"/>
          <w:kern w:val="0"/>
          <w14:ligatures w14:val="none"/>
        </w:rPr>
      </w:pPr>
      <w:r w:rsidRPr="00F50535">
        <w:rPr>
          <w:rFonts w:eastAsia="MS Mincho" w:cs="Times New Roman"/>
          <w:kern w:val="0"/>
          <w14:ligatures w14:val="none"/>
        </w:rPr>
        <w:t>Ali je projekt dostopen različnim skupinam uporabnikov in zmanjšuje razvojne ali socialne neenakosti?</w:t>
      </w:r>
    </w:p>
    <w:p w14:paraId="412F1FEE" w14:textId="2E99A0C4" w:rsidR="29A8477B" w:rsidRPr="005419B0" w:rsidRDefault="5A59D5D9" w:rsidP="004A1C14">
      <w:pPr>
        <w:pStyle w:val="Odstavekseznama"/>
        <w:numPr>
          <w:ilvl w:val="0"/>
          <w:numId w:val="42"/>
        </w:numPr>
        <w:spacing w:after="80" w:line="252" w:lineRule="auto"/>
        <w:jc w:val="both"/>
        <w:rPr>
          <w:rFonts w:eastAsia="MS Mincho" w:cs="Times New Roman"/>
          <w:kern w:val="0"/>
          <w14:ligatures w14:val="none"/>
        </w:rPr>
      </w:pPr>
      <w:r w:rsidRPr="00F50535">
        <w:rPr>
          <w:rFonts w:eastAsia="MS Mincho" w:cs="Times New Roman"/>
          <w:kern w:val="0"/>
          <w14:ligatures w14:val="none"/>
        </w:rPr>
        <w:t>Ali so bili uporabniki in relevantni deležniki ustrezno vključeni v njegovo načrtovanje in izvajanje?</w:t>
      </w:r>
    </w:p>
    <w:p w14:paraId="0D4994BB" w14:textId="77777777" w:rsidR="00934DF9" w:rsidRPr="005419B0" w:rsidRDefault="6669C987" w:rsidP="1706C59B">
      <w:pPr>
        <w:spacing w:before="240" w:after="120"/>
        <w:jc w:val="both"/>
        <w:rPr>
          <w:rFonts w:asciiTheme="majorHAnsi" w:hAnsiTheme="majorHAnsi"/>
          <w:color w:val="0F4761"/>
          <w:sz w:val="32"/>
          <w:szCs w:val="32"/>
        </w:rPr>
      </w:pPr>
      <w:r w:rsidRPr="005419B0">
        <w:rPr>
          <w:rFonts w:asciiTheme="majorHAnsi" w:hAnsiTheme="majorHAnsi"/>
          <w:color w:val="0F4761"/>
          <w:sz w:val="32"/>
          <w:szCs w:val="32"/>
        </w:rPr>
        <w:t>Uporaba horizontalnih načel pri izvajanju strategije</w:t>
      </w:r>
    </w:p>
    <w:p w14:paraId="5ADB82EA" w14:textId="77777777" w:rsidR="00934DF9" w:rsidRPr="00152712" w:rsidRDefault="6669C987" w:rsidP="1706C59B">
      <w:pPr>
        <w:spacing w:after="120"/>
        <w:jc w:val="both"/>
        <w:rPr>
          <w:rFonts w:eastAsia="MS Mincho" w:cs="Times New Roman"/>
          <w:kern w:val="0"/>
          <w14:ligatures w14:val="none"/>
        </w:rPr>
      </w:pPr>
      <w:r w:rsidRPr="1F30B503">
        <w:rPr>
          <w:rFonts w:eastAsia="MS Mincho" w:cs="Times New Roman"/>
          <w:kern w:val="0"/>
          <w14:ligatures w14:val="none"/>
        </w:rPr>
        <w:t>Prispevek posameznega projekta k horizontalnima načeloma se podrobneje opredeli v akcijskem načrtu oziroma projektni zasnovi. Presoja vsebuje kratko obrazložitev prispevka, prepoznana tveganja in možnosti za izboljšanje projekta.</w:t>
      </w:r>
    </w:p>
    <w:p w14:paraId="5DBB9A0E" w14:textId="14467F07" w:rsidR="29A8477B" w:rsidRPr="00F50535" w:rsidRDefault="6669C987" w:rsidP="00691E4E">
      <w:pPr>
        <w:spacing w:after="0"/>
        <w:jc w:val="both"/>
        <w:rPr>
          <w:rFonts w:eastAsia="MS Mincho" w:cs="Times New Roman"/>
          <w:kern w:val="0"/>
          <w14:ligatures w14:val="none"/>
        </w:rPr>
      </w:pPr>
      <w:r w:rsidRPr="1F30B503">
        <w:rPr>
          <w:rFonts w:eastAsia="MS Mincho" w:cs="Times New Roman"/>
          <w:kern w:val="0"/>
          <w14:ligatures w14:val="none"/>
        </w:rPr>
        <w:t>Presoja ni namenjena mehanskemu točkovanju ali avtomatičnemu izločanju projektov. Njena naloga je izboljšati njihovo zasnovo, spodbuditi povezovanje ter zagotoviti, da se strateške naložbe in programi izvajajo v skladu z dolgoročno razvojno usmeritvijo občine.</w:t>
      </w:r>
    </w:p>
    <w:p w14:paraId="3CC46F2E" w14:textId="48684508" w:rsidR="1633040D" w:rsidRPr="00B77B82" w:rsidRDefault="261A4234" w:rsidP="004A1C14">
      <w:pPr>
        <w:pStyle w:val="Naslov1"/>
        <w:numPr>
          <w:ilvl w:val="0"/>
          <w:numId w:val="40"/>
        </w:numPr>
        <w:spacing w:before="240" w:after="120"/>
        <w:ind w:left="357" w:hanging="357"/>
      </w:pPr>
      <w:bookmarkStart w:id="45" w:name="_Toc1567850547"/>
      <w:bookmarkStart w:id="46" w:name="_Toc2033514311"/>
      <w:bookmarkStart w:id="47" w:name="_Toc239414905"/>
      <w:r>
        <w:t>Razvojni stebri</w:t>
      </w:r>
      <w:r w:rsidR="256115FA">
        <w:t xml:space="preserve"> in strateški cilji</w:t>
      </w:r>
      <w:bookmarkEnd w:id="45"/>
      <w:bookmarkEnd w:id="46"/>
      <w:bookmarkEnd w:id="47"/>
    </w:p>
    <w:p w14:paraId="360233AA" w14:textId="5F991EC3" w:rsidR="00113A30" w:rsidRDefault="5A9B855E" w:rsidP="1F30B503">
      <w:pPr>
        <w:jc w:val="both"/>
      </w:pPr>
      <w:r>
        <w:t xml:space="preserve">Strategija </w:t>
      </w:r>
      <w:r w:rsidR="62E243DD">
        <w:t xml:space="preserve">razvoja </w:t>
      </w:r>
      <w:r>
        <w:t>MONG 2045 temelji na petih razvojnih stebrih, ki skupaj opredeljujejo dolgoročno razvojno smer občine ter zajemajo pet ključnih področij razvoja: gospodarstvo</w:t>
      </w:r>
      <w:r w:rsidR="79468BA6">
        <w:t xml:space="preserve"> in znanje</w:t>
      </w:r>
      <w:r>
        <w:t>, družbo, mesto, podeželje in čezmejn</w:t>
      </w:r>
      <w:r w:rsidR="2FD5C79F">
        <w:t>o sodelovanje</w:t>
      </w:r>
      <w:r>
        <w:t>.</w:t>
      </w:r>
      <w:r w:rsidR="6822B3B4">
        <w:t xml:space="preserve"> </w:t>
      </w:r>
      <w:r w:rsidR="4E928F16">
        <w:t xml:space="preserve">V okviru petih stebrov strategija določa dvanajst strateških ciljev. Cilji so oblikovani tako, da povezujejo več razvojnih vsebin in omogočajo prehod od splošne vizije </w:t>
      </w:r>
      <w:r w:rsidR="00946656">
        <w:t>h</w:t>
      </w:r>
      <w:r w:rsidR="4E928F16">
        <w:t xml:space="preserve"> </w:t>
      </w:r>
      <w:r w:rsidR="00946656" w:rsidRPr="00946656">
        <w:rPr>
          <w:highlight w:val="yellow"/>
        </w:rPr>
        <w:t>konkretnejšim aktivnostim</w:t>
      </w:r>
      <w:r w:rsidR="4E928F16">
        <w:t>.</w:t>
      </w:r>
      <w:r w:rsidR="62253814">
        <w:t xml:space="preserve"> </w:t>
      </w:r>
    </w:p>
    <w:p w14:paraId="641E7157" w14:textId="0BDCF07A" w:rsidR="003C011A" w:rsidRPr="007C3A19" w:rsidRDefault="7938E043" w:rsidP="1F30B503">
      <w:pPr>
        <w:jc w:val="both"/>
        <w:rPr>
          <w:rFonts w:ascii="Aptos" w:eastAsia="Aptos" w:hAnsi="Aptos" w:cs="Aptos"/>
        </w:rPr>
      </w:pPr>
      <w:r w:rsidRPr="1706C59B">
        <w:rPr>
          <w:rFonts w:ascii="Aptos" w:eastAsia="Aptos" w:hAnsi="Aptos" w:cs="Aptos"/>
        </w:rPr>
        <w:t xml:space="preserve">Zaradi preglednosti in omejenega obsega dokumenta so strateški projekti in programski sklopi predstavljeni ločeno v poglavju 8. </w:t>
      </w:r>
      <w:r w:rsidR="3562E7D7" w:rsidRPr="1706C59B">
        <w:rPr>
          <w:rFonts w:ascii="Aptos" w:eastAsia="Aptos" w:hAnsi="Aptos" w:cs="Aptos"/>
        </w:rPr>
        <w:t>Z</w:t>
      </w:r>
      <w:r w:rsidRPr="1706C59B">
        <w:rPr>
          <w:rFonts w:ascii="Aptos" w:eastAsia="Aptos" w:hAnsi="Aptos" w:cs="Aptos"/>
        </w:rPr>
        <w:t>brani</w:t>
      </w:r>
      <w:r w:rsidR="4C6DFB6C" w:rsidRPr="1706C59B">
        <w:rPr>
          <w:rFonts w:ascii="Aptos" w:eastAsia="Aptos" w:hAnsi="Aptos" w:cs="Aptos"/>
        </w:rPr>
        <w:t xml:space="preserve"> so</w:t>
      </w:r>
      <w:r w:rsidRPr="1706C59B">
        <w:rPr>
          <w:rFonts w:ascii="Aptos" w:eastAsia="Aptos" w:hAnsi="Aptos" w:cs="Aptos"/>
        </w:rPr>
        <w:t xml:space="preserve"> v enotnem pregledu, ki prikazuje</w:t>
      </w:r>
      <w:r w:rsidR="3F2A41F1" w:rsidRPr="1706C59B">
        <w:rPr>
          <w:rFonts w:ascii="Aptos" w:eastAsia="Aptos" w:hAnsi="Aptos" w:cs="Aptos"/>
        </w:rPr>
        <w:t xml:space="preserve"> doprinos posameznega projekta</w:t>
      </w:r>
      <w:r w:rsidRPr="1706C59B">
        <w:rPr>
          <w:rFonts w:ascii="Aptos" w:eastAsia="Aptos" w:hAnsi="Aptos" w:cs="Aptos"/>
        </w:rPr>
        <w:t xml:space="preserve">, njegovo povezavo z neposrednim in dodatnimi strateškimi cilji ter okvirno časovno opredelitev izvedbe. </w:t>
      </w:r>
    </w:p>
    <w:p w14:paraId="436025BB" w14:textId="74E9E59A" w:rsidR="003C011A" w:rsidRPr="007C3A19" w:rsidRDefault="11392CF4" w:rsidP="1F30B503">
      <w:pPr>
        <w:jc w:val="both"/>
        <w:rPr>
          <w:rFonts w:ascii="Aptos" w:eastAsia="Aptos" w:hAnsi="Aptos" w:cs="Aptos"/>
        </w:rPr>
      </w:pPr>
      <w:r w:rsidRPr="1F30B503">
        <w:rPr>
          <w:rFonts w:ascii="Aptos" w:eastAsia="Aptos" w:hAnsi="Aptos" w:cs="Aptos"/>
          <w:i/>
          <w:iCs/>
        </w:rPr>
        <w:t>Z</w:t>
      </w:r>
      <w:r w:rsidRPr="1F30B503">
        <w:rPr>
          <w:rFonts w:ascii="Aptos" w:eastAsia="Aptos" w:hAnsi="Aptos" w:cs="Aptos"/>
        </w:rPr>
        <w:t xml:space="preserve">a spremljanje uresničevanja Strategije </w:t>
      </w:r>
      <w:r w:rsidR="706934BF" w:rsidRPr="1F30B503">
        <w:rPr>
          <w:rFonts w:ascii="Aptos" w:eastAsia="Aptos" w:hAnsi="Aptos" w:cs="Aptos"/>
        </w:rPr>
        <w:t xml:space="preserve">razvoja </w:t>
      </w:r>
      <w:r w:rsidRPr="1F30B503">
        <w:rPr>
          <w:rFonts w:ascii="Aptos" w:eastAsia="Aptos" w:hAnsi="Aptos" w:cs="Aptos"/>
        </w:rPr>
        <w:t xml:space="preserve">MONG 2045 je določen nabor strateških kazalnikov po razvojnih stebrih. Kazalniki so izbrani tako, da merijo dolgoročne razvojne spremembe, ne </w:t>
      </w:r>
      <w:r w:rsidR="00A317E3">
        <w:rPr>
          <w:rFonts w:ascii="Aptos" w:eastAsia="Aptos" w:hAnsi="Aptos" w:cs="Aptos"/>
        </w:rPr>
        <w:t xml:space="preserve">pa </w:t>
      </w:r>
      <w:r w:rsidRPr="1F30B503">
        <w:rPr>
          <w:rFonts w:ascii="Aptos" w:eastAsia="Aptos" w:hAnsi="Aptos" w:cs="Aptos"/>
        </w:rPr>
        <w:t>posameznih aktivnosti ali projektnih rezultatov. Namenjeni so spremljanju, ali se razvoj občine kot celote in posameznih razvojnih stebrov premika v smeri zastavljene vizije.</w:t>
      </w:r>
    </w:p>
    <w:p w14:paraId="48BC6DDE" w14:textId="26A55BD2" w:rsidR="003C011A" w:rsidRPr="007C3A19" w:rsidRDefault="5CD555A4" w:rsidP="29A8477B">
      <w:pPr>
        <w:jc w:val="both"/>
        <w:rPr>
          <w:rFonts w:ascii="Aptos" w:eastAsia="Aptos" w:hAnsi="Aptos" w:cs="Aptos"/>
        </w:rPr>
      </w:pPr>
      <w:r w:rsidRPr="29A8477B">
        <w:rPr>
          <w:rFonts w:ascii="Aptos" w:eastAsia="Aptos" w:hAnsi="Aptos" w:cs="Aptos"/>
        </w:rPr>
        <w:t>Nekateri kazalniki so zasnovani širše, saj posamezni razvojni cilj pogosto vključuje več medsebojno povezanih vsebin. V takih primerih kazalnik predstavlja strateško merilo napredka na širšem področju, njegova podrobnejša metodološka razčlenitev pa je prikazana v Prilogi 2.</w:t>
      </w:r>
    </w:p>
    <w:p w14:paraId="0911B2D7" w14:textId="5653B66C" w:rsidR="00B77B82" w:rsidRPr="00691E4E" w:rsidRDefault="056AB2FC" w:rsidP="00691E4E">
      <w:pPr>
        <w:spacing w:after="0"/>
        <w:jc w:val="both"/>
        <w:rPr>
          <w:rFonts w:ascii="Aptos" w:eastAsia="Aptos" w:hAnsi="Aptos" w:cs="Aptos"/>
        </w:rPr>
      </w:pPr>
      <w:r w:rsidRPr="29A8477B">
        <w:rPr>
          <w:rFonts w:ascii="Aptos" w:eastAsia="Aptos" w:hAnsi="Aptos" w:cs="Aptos"/>
        </w:rPr>
        <w:t xml:space="preserve">S tem strategija ohranja jasno in pregledno raven spremljanja, podrobnejše opredelitve kazalnikov, izhodiščnih vrednosti, ciljnih vrednosti, nosilcev, rokov in izvedbenih </w:t>
      </w:r>
      <w:r w:rsidR="06CE8249" w:rsidRPr="29A8477B">
        <w:rPr>
          <w:rFonts w:ascii="Aptos" w:eastAsia="Aptos" w:hAnsi="Aptos" w:cs="Aptos"/>
        </w:rPr>
        <w:t>ključnih kazalnikov uspešnosti</w:t>
      </w:r>
      <w:r w:rsidRPr="29A8477B">
        <w:rPr>
          <w:rFonts w:ascii="Aptos" w:eastAsia="Aptos" w:hAnsi="Aptos" w:cs="Aptos"/>
        </w:rPr>
        <w:t xml:space="preserve"> se </w:t>
      </w:r>
      <w:r w:rsidRPr="29A8477B">
        <w:rPr>
          <w:rFonts w:ascii="Aptos" w:eastAsia="Aptos" w:hAnsi="Aptos" w:cs="Aptos"/>
        </w:rPr>
        <w:lastRenderedPageBreak/>
        <w:t xml:space="preserve">določi v akcijskih načrtih. Takšna razmejitev omogoča, da krovna strategija ostane strateški dokument, akcijski načrti pa </w:t>
      </w:r>
      <w:r w:rsidR="00C63B45">
        <w:rPr>
          <w:rFonts w:ascii="Aptos" w:eastAsia="Aptos" w:hAnsi="Aptos" w:cs="Aptos"/>
        </w:rPr>
        <w:t>bo</w:t>
      </w:r>
      <w:r w:rsidR="00EA711C">
        <w:rPr>
          <w:rFonts w:ascii="Aptos" w:eastAsia="Aptos" w:hAnsi="Aptos" w:cs="Aptos"/>
        </w:rPr>
        <w:t>do</w:t>
      </w:r>
      <w:r w:rsidR="00C63B45">
        <w:rPr>
          <w:rFonts w:ascii="Aptos" w:eastAsia="Aptos" w:hAnsi="Aptos" w:cs="Aptos"/>
        </w:rPr>
        <w:t xml:space="preserve"> v nadaljevanju</w:t>
      </w:r>
      <w:r w:rsidRPr="29A8477B">
        <w:rPr>
          <w:rFonts w:ascii="Aptos" w:eastAsia="Aptos" w:hAnsi="Aptos" w:cs="Aptos"/>
        </w:rPr>
        <w:t xml:space="preserve"> operativno orodje za spremljanje izvajanja in doseganja rezultatov.</w:t>
      </w:r>
    </w:p>
    <w:p w14:paraId="028F8026" w14:textId="6333110C" w:rsidR="00D33CBE" w:rsidRDefault="1CB47B3B" w:rsidP="004A1C14">
      <w:pPr>
        <w:pStyle w:val="Naslov2"/>
        <w:numPr>
          <w:ilvl w:val="1"/>
          <w:numId w:val="40"/>
        </w:numPr>
        <w:spacing w:before="240" w:after="120"/>
        <w:ind w:left="482" w:hanging="482"/>
      </w:pPr>
      <w:bookmarkStart w:id="48" w:name="_Toc1223354751"/>
      <w:bookmarkStart w:id="49" w:name="_Toc1233754991"/>
      <w:bookmarkStart w:id="50" w:name="_Toc239414906"/>
      <w:r>
        <w:t>A - A</w:t>
      </w:r>
      <w:r w:rsidR="52DF0BCE">
        <w:t>MBICIOZNO GOSPODARSTVO</w:t>
      </w:r>
      <w:bookmarkEnd w:id="48"/>
      <w:bookmarkEnd w:id="49"/>
      <w:bookmarkEnd w:id="50"/>
    </w:p>
    <w:p w14:paraId="3A6F731D" w14:textId="7545AFAF" w:rsidR="0EADB5EC" w:rsidRDefault="0EADB5EC" w:rsidP="29A8477B">
      <w:pPr>
        <w:spacing w:line="257" w:lineRule="auto"/>
        <w:jc w:val="both"/>
      </w:pPr>
      <w:r w:rsidRPr="29A8477B">
        <w:rPr>
          <w:rFonts w:ascii="Aptos" w:eastAsia="Aptos" w:hAnsi="Aptos" w:cs="Aptos"/>
        </w:rPr>
        <w:t xml:space="preserve">Mestna občina </w:t>
      </w:r>
      <w:r w:rsidR="601F374C" w:rsidRPr="29A8477B">
        <w:rPr>
          <w:rFonts w:ascii="Aptos" w:eastAsia="Aptos" w:hAnsi="Aptos" w:cs="Aptos"/>
        </w:rPr>
        <w:t xml:space="preserve">Nova Gorica je </w:t>
      </w:r>
      <w:r w:rsidR="601F374C" w:rsidRPr="29A8477B">
        <w:rPr>
          <w:rFonts w:ascii="Aptos" w:eastAsia="Aptos" w:hAnsi="Aptos" w:cs="Aptos"/>
          <w:b/>
          <w:bCs/>
        </w:rPr>
        <w:t>občina znanja</w:t>
      </w:r>
      <w:r w:rsidR="601F374C" w:rsidRPr="29A8477B">
        <w:rPr>
          <w:rFonts w:ascii="Aptos" w:eastAsia="Aptos" w:hAnsi="Aptos" w:cs="Aptos"/>
        </w:rPr>
        <w:t xml:space="preserve">, z močnim inovativnim in družbeno odgovornim gospodarskim razvojem, kjer nastajajo </w:t>
      </w:r>
      <w:r w:rsidR="601F374C" w:rsidRPr="29A8477B">
        <w:rPr>
          <w:rFonts w:ascii="Aptos" w:eastAsia="Aptos" w:hAnsi="Aptos" w:cs="Aptos"/>
          <w:b/>
          <w:bCs/>
        </w:rPr>
        <w:t xml:space="preserve">nova delovna mesta z visoko dodano vrednostjo </w:t>
      </w:r>
      <w:r w:rsidR="601F374C" w:rsidRPr="29A8477B">
        <w:rPr>
          <w:rFonts w:ascii="Aptos" w:eastAsia="Aptos" w:hAnsi="Aptos" w:cs="Aptos"/>
        </w:rPr>
        <w:t xml:space="preserve">in mladi pridobijo vrhunske kompetence za nadaljnje delo. </w:t>
      </w:r>
      <w:r w:rsidR="601F374C" w:rsidRPr="29A8477B">
        <w:rPr>
          <w:rFonts w:ascii="Arial" w:eastAsia="Arial" w:hAnsi="Arial" w:cs="Arial"/>
          <w:lang w:val="en-US"/>
        </w:rPr>
        <w:t xml:space="preserve"> </w:t>
      </w:r>
    </w:p>
    <w:p w14:paraId="3EB0C092" w14:textId="06F13AF9" w:rsidR="65515BB6" w:rsidRDefault="78F44638" w:rsidP="1F30B503">
      <w:pPr>
        <w:spacing w:line="257" w:lineRule="auto"/>
        <w:jc w:val="both"/>
        <w:rPr>
          <w:rFonts w:ascii="Arial" w:eastAsia="Arial" w:hAnsi="Arial" w:cs="Arial"/>
          <w:lang w:val="en-US"/>
        </w:rPr>
      </w:pPr>
      <w:r w:rsidRPr="1706C59B">
        <w:rPr>
          <w:rFonts w:ascii="Aptos" w:eastAsia="Aptos" w:hAnsi="Aptos" w:cs="Aptos"/>
        </w:rPr>
        <w:t xml:space="preserve">Gospodarstvo v občini </w:t>
      </w:r>
      <w:r w:rsidR="525C174A" w:rsidRPr="1706C59B">
        <w:rPr>
          <w:rFonts w:ascii="Aptos" w:eastAsia="Aptos" w:hAnsi="Aptos" w:cs="Aptos"/>
        </w:rPr>
        <w:t>temelji</w:t>
      </w:r>
      <w:r w:rsidRPr="1706C59B">
        <w:rPr>
          <w:rFonts w:ascii="Aptos" w:eastAsia="Aptos" w:hAnsi="Aptos" w:cs="Aptos"/>
        </w:rPr>
        <w:t xml:space="preserve"> na raznoliki in odporni gospodarski strukturi, hkrati pa bo </w:t>
      </w:r>
      <w:r w:rsidR="00635F3B">
        <w:rPr>
          <w:rFonts w:ascii="Aptos" w:eastAsia="Aptos" w:hAnsi="Aptos" w:cs="Aptos"/>
        </w:rPr>
        <w:t>občina</w:t>
      </w:r>
      <w:r w:rsidRPr="1706C59B">
        <w:rPr>
          <w:rFonts w:ascii="Aptos" w:eastAsia="Aptos" w:hAnsi="Aptos" w:cs="Aptos"/>
        </w:rPr>
        <w:t xml:space="preserve"> razvijala </w:t>
      </w:r>
      <w:r w:rsidRPr="1706C59B">
        <w:rPr>
          <w:rFonts w:ascii="Aptos" w:eastAsia="Aptos" w:hAnsi="Aptos" w:cs="Aptos"/>
          <w:b/>
          <w:bCs/>
        </w:rPr>
        <w:t>prepoznavne razvojne niše na področju visokih tehnologij</w:t>
      </w:r>
      <w:r w:rsidRPr="1706C59B">
        <w:rPr>
          <w:rFonts w:ascii="Aptos" w:eastAsia="Aptos" w:hAnsi="Aptos" w:cs="Aptos"/>
        </w:rPr>
        <w:t>, informacijskih in komunikacijskih tehnologij, umetne inteligence, digitalnih vsebin, napredne proizvodnje, zelenih tehnologij ter razvoja novih produktov in storitev z visoko dodano vrednostjo. Pri njihovem razvoju se bodo povezovali gospodarstvo, univerza, raziskovalne ustanove in podjetniško podporno okolje.</w:t>
      </w:r>
    </w:p>
    <w:p w14:paraId="6BA0E3F6" w14:textId="06A46902" w:rsidR="601F374C" w:rsidRDefault="601F374C" w:rsidP="29A8477B">
      <w:pPr>
        <w:spacing w:line="257" w:lineRule="auto"/>
        <w:jc w:val="both"/>
      </w:pPr>
      <w:r w:rsidRPr="29A8477B">
        <w:rPr>
          <w:rFonts w:ascii="Aptos" w:eastAsia="Aptos" w:hAnsi="Aptos" w:cs="Aptos"/>
        </w:rPr>
        <w:t xml:space="preserve">Pri tem ne zanemarjamo </w:t>
      </w:r>
      <w:r w:rsidRPr="29A8477B">
        <w:rPr>
          <w:rFonts w:ascii="Aptos" w:eastAsia="Aptos" w:hAnsi="Aptos" w:cs="Aptos"/>
          <w:b/>
          <w:bCs/>
        </w:rPr>
        <w:t>ostalih gospodarskih panog, obrti ter proizvodnje</w:t>
      </w:r>
      <w:r w:rsidRPr="29A8477B">
        <w:rPr>
          <w:rFonts w:ascii="Aptos" w:eastAsia="Aptos" w:hAnsi="Aptos" w:cs="Aptos"/>
        </w:rPr>
        <w:t>, saj je razpršena struktura zaposlitev tako znotraj gospodarstva kot v razmerju do drugih družbenih sektorjev zagotovilo za fleksibilnost v primeru kriz. Za razvoj gospodarstva se razvijajo dinamične prostorske rešitve, ki pozitivno vplivajo na kakovost bivanja.</w:t>
      </w:r>
      <w:r w:rsidRPr="29A8477B">
        <w:rPr>
          <w:rFonts w:ascii="Arial" w:eastAsia="Arial" w:hAnsi="Arial" w:cs="Arial"/>
        </w:rPr>
        <w:t xml:space="preserve"> </w:t>
      </w:r>
    </w:p>
    <w:p w14:paraId="28CDCFD6" w14:textId="50FCB6D0" w:rsidR="601F374C" w:rsidRDefault="601F374C" w:rsidP="29A8477B">
      <w:pPr>
        <w:spacing w:line="257" w:lineRule="auto"/>
        <w:jc w:val="both"/>
      </w:pPr>
      <w:r w:rsidRPr="29A8477B">
        <w:rPr>
          <w:rFonts w:ascii="Aptos" w:eastAsia="Aptos" w:hAnsi="Aptos" w:cs="Aptos"/>
        </w:rPr>
        <w:t xml:space="preserve">Zagotovljeni so pogoji za </w:t>
      </w:r>
      <w:r w:rsidRPr="29A8477B">
        <w:rPr>
          <w:rFonts w:ascii="Aptos" w:eastAsia="Aptos" w:hAnsi="Aptos" w:cs="Aptos"/>
          <w:b/>
          <w:bCs/>
        </w:rPr>
        <w:t>kakovostno delo</w:t>
      </w:r>
      <w:r w:rsidRPr="29A8477B">
        <w:rPr>
          <w:rFonts w:ascii="Aptos" w:eastAsia="Aptos" w:hAnsi="Aptos" w:cs="Aptos"/>
        </w:rPr>
        <w:t xml:space="preserve">, kar privablja visoko kvalificirano delovno silo. </w:t>
      </w:r>
      <w:r w:rsidR="003533A3" w:rsidRPr="003533A3">
        <w:rPr>
          <w:rFonts w:ascii="Aptos" w:eastAsia="Aptos" w:hAnsi="Aptos" w:cs="Aptos"/>
        </w:rPr>
        <w:t>Čezmejni vidik zagotavlja delodajalcem dostop do raznolikega nabora kadrovskih profilov</w:t>
      </w:r>
      <w:r w:rsidRPr="29A8477B">
        <w:rPr>
          <w:rFonts w:ascii="Aptos" w:eastAsia="Aptos" w:hAnsi="Aptos" w:cs="Aptos"/>
        </w:rPr>
        <w:t>.</w:t>
      </w:r>
      <w:r w:rsidRPr="29A8477B">
        <w:rPr>
          <w:rFonts w:ascii="Arial" w:eastAsia="Arial" w:hAnsi="Arial" w:cs="Arial"/>
          <w:lang w:val="en-US"/>
        </w:rPr>
        <w:t xml:space="preserve"> </w:t>
      </w:r>
    </w:p>
    <w:p w14:paraId="63FC8262" w14:textId="695830F6" w:rsidR="601F374C" w:rsidRDefault="601F374C" w:rsidP="29A8477B">
      <w:pPr>
        <w:spacing w:line="257" w:lineRule="auto"/>
        <w:jc w:val="both"/>
      </w:pPr>
      <w:r w:rsidRPr="29A8477B">
        <w:rPr>
          <w:rFonts w:ascii="Aptos" w:eastAsia="Aptos" w:hAnsi="Aptos" w:cs="Aptos"/>
        </w:rPr>
        <w:t xml:space="preserve">Poleg dobro razvite verige vzgoje in </w:t>
      </w:r>
      <w:r w:rsidRPr="29A8477B">
        <w:rPr>
          <w:rFonts w:ascii="Aptos" w:eastAsia="Aptos" w:hAnsi="Aptos" w:cs="Aptos"/>
          <w:b/>
          <w:bCs/>
        </w:rPr>
        <w:t xml:space="preserve">izobraževanja za celotno življenjsko obdobje </w:t>
      </w:r>
      <w:r w:rsidR="635E3C43" w:rsidRPr="29A8477B">
        <w:rPr>
          <w:rFonts w:ascii="Aptos" w:eastAsia="Aptos" w:hAnsi="Aptos" w:cs="Aptos"/>
        </w:rPr>
        <w:t>na območju občine</w:t>
      </w:r>
      <w:r w:rsidRPr="29A8477B">
        <w:rPr>
          <w:rFonts w:ascii="Aptos" w:eastAsia="Aptos" w:hAnsi="Aptos" w:cs="Aptos"/>
        </w:rPr>
        <w:t xml:space="preserve"> delujejo </w:t>
      </w:r>
      <w:r w:rsidRPr="29A8477B">
        <w:rPr>
          <w:rFonts w:ascii="Aptos" w:eastAsia="Aptos" w:hAnsi="Aptos" w:cs="Aptos"/>
          <w:b/>
          <w:bCs/>
        </w:rPr>
        <w:t>raziskovalni inštituti in inkubator podjetij</w:t>
      </w:r>
      <w:r w:rsidRPr="29A8477B">
        <w:rPr>
          <w:rFonts w:ascii="Aptos" w:eastAsia="Aptos" w:hAnsi="Aptos" w:cs="Aptos"/>
        </w:rPr>
        <w:t xml:space="preserve">, ki imajo v mestu Nova Gorica tudi osrednjo prostorsko vlogo. Gojimo podjetniško okolje, ki spodbuja mala in inovativna podjetja ter omogoča </w:t>
      </w:r>
      <w:r w:rsidRPr="29A8477B">
        <w:rPr>
          <w:rFonts w:ascii="Aptos" w:eastAsia="Aptos" w:hAnsi="Aptos" w:cs="Aptos"/>
          <w:b/>
          <w:bCs/>
        </w:rPr>
        <w:t>medsektorsko povezovanje</w:t>
      </w:r>
      <w:r w:rsidRPr="29A8477B">
        <w:rPr>
          <w:rFonts w:ascii="Aptos" w:eastAsia="Aptos" w:hAnsi="Aptos" w:cs="Aptos"/>
        </w:rPr>
        <w:t xml:space="preserve"> gospodarstva, turizma, kulture, športa, obrti in izobraževanja za generiranje inovacij z visoko dodano vrednostjo. Pridobivanje novih znanj in kompetenc je zagotovljeno vsem generacijam ter ciljnim skupinam. </w:t>
      </w:r>
      <w:r w:rsidRPr="29A8477B">
        <w:rPr>
          <w:rFonts w:ascii="Arial" w:eastAsia="Arial" w:hAnsi="Arial" w:cs="Arial"/>
          <w:lang w:val="en-US"/>
        </w:rPr>
        <w:t xml:space="preserve"> </w:t>
      </w:r>
    </w:p>
    <w:p w14:paraId="5F2F0739" w14:textId="5D9D14D9" w:rsidR="601F374C" w:rsidRDefault="6966FA2F" w:rsidP="29A8477B">
      <w:pPr>
        <w:jc w:val="both"/>
      </w:pPr>
      <w:r w:rsidRPr="1F30B503">
        <w:rPr>
          <w:rFonts w:ascii="Aptos" w:eastAsia="Aptos" w:hAnsi="Aptos" w:cs="Aptos"/>
        </w:rPr>
        <w:t>Z uresničevanjem ciljev iz stebra A se neposredno naslavlja izzive</w:t>
      </w:r>
      <w:r w:rsidR="10750583" w:rsidRPr="1F30B503">
        <w:rPr>
          <w:rFonts w:ascii="Aptos" w:eastAsia="Aptos" w:hAnsi="Aptos" w:cs="Aptos"/>
        </w:rPr>
        <w:t xml:space="preserve"> poglavij</w:t>
      </w:r>
      <w:r w:rsidRPr="1F30B503">
        <w:rPr>
          <w:rFonts w:ascii="Aptos" w:eastAsia="Aptos" w:hAnsi="Aptos" w:cs="Aptos"/>
        </w:rPr>
        <w:t xml:space="preserve"> </w:t>
      </w:r>
      <w:r w:rsidR="396DB1E8" w:rsidRPr="1F30B503">
        <w:rPr>
          <w:rFonts w:ascii="Aptos" w:eastAsia="Aptos" w:hAnsi="Aptos" w:cs="Aptos"/>
        </w:rPr>
        <w:t>4</w:t>
      </w:r>
      <w:r w:rsidRPr="1F30B503">
        <w:rPr>
          <w:rFonts w:ascii="Aptos" w:eastAsia="Aptos" w:hAnsi="Aptos" w:cs="Aptos"/>
        </w:rPr>
        <w:t xml:space="preserve">.3, </w:t>
      </w:r>
      <w:r w:rsidR="396DB1E8" w:rsidRPr="1F30B503">
        <w:rPr>
          <w:rFonts w:ascii="Aptos" w:eastAsia="Aptos" w:hAnsi="Aptos" w:cs="Aptos"/>
        </w:rPr>
        <w:t>4</w:t>
      </w:r>
      <w:r w:rsidRPr="1F30B503">
        <w:rPr>
          <w:rFonts w:ascii="Aptos" w:eastAsia="Aptos" w:hAnsi="Aptos" w:cs="Aptos"/>
        </w:rPr>
        <w:t xml:space="preserve">.5 in </w:t>
      </w:r>
      <w:r w:rsidR="396DB1E8" w:rsidRPr="1F30B503">
        <w:rPr>
          <w:rFonts w:ascii="Aptos" w:eastAsia="Aptos" w:hAnsi="Aptos" w:cs="Aptos"/>
        </w:rPr>
        <w:t>4</w:t>
      </w:r>
      <w:r w:rsidRPr="1F30B503">
        <w:rPr>
          <w:rFonts w:ascii="Aptos" w:eastAsia="Aptos" w:hAnsi="Aptos" w:cs="Aptos"/>
        </w:rPr>
        <w:t>.1</w:t>
      </w:r>
      <w:r>
        <w:t>,</w:t>
      </w:r>
      <w:r w:rsidRPr="1F30B503">
        <w:rPr>
          <w:rFonts w:ascii="Aptos" w:eastAsia="Aptos" w:hAnsi="Aptos" w:cs="Aptos"/>
        </w:rPr>
        <w:t xml:space="preserve"> posredno pa vpliva tudi na preostale izražene razvojne izzive.</w:t>
      </w:r>
    </w:p>
    <w:p w14:paraId="0AD64951" w14:textId="4CD54ECA" w:rsidR="1DDF9DF5" w:rsidRDefault="1DDF9DF5" w:rsidP="1633040D">
      <w:pPr>
        <w:jc w:val="both"/>
      </w:pPr>
      <w:r w:rsidRPr="1706C59B">
        <w:rPr>
          <w:b/>
          <w:bCs/>
        </w:rPr>
        <w:t>Cilj A1: Znanje, raziskave, talenti in kadri za razvoj gospodarstva</w:t>
      </w:r>
    </w:p>
    <w:p w14:paraId="1D0592A4" w14:textId="42103A1E" w:rsidR="4A2B8D9F" w:rsidRDefault="4A2B8D9F" w:rsidP="015A248B">
      <w:pPr>
        <w:jc w:val="both"/>
      </w:pPr>
      <w:r w:rsidRPr="015A248B">
        <w:rPr>
          <w:b/>
          <w:bCs/>
        </w:rPr>
        <w:t>Mestna občina Nova Gorica bo do leta 2045 vzpostavila močno, razvojno usmerjeno okolje znanja, raziskav in vseživljenjskega učenja, ki bo v tesnem povezovanju med vzgojno-izobraževalnimi ustanovami, univerzo, raziskovalno sfero, podpornimi institucijami in gospodarstvom sistematično razvijalo talente, tehniška in podjetniška znanja ter ustvarjalo pogoje za privabljanje, razvoj in zadrževanje ključnih kadrov.</w:t>
      </w:r>
    </w:p>
    <w:p w14:paraId="1526A169" w14:textId="6D61B384" w:rsidR="1BAE3C82" w:rsidRDefault="1AC43B1B" w:rsidP="1633040D">
      <w:pPr>
        <w:jc w:val="both"/>
      </w:pPr>
      <w:r>
        <w:t>Ta cilj poudarja, da gospodarski razvoj občine ni mogoč brez ljudi, znanja in kompetenc. Mestna občina Nova Gorica bo spodbujala in krepila povezovanje med šolami, univerzo, raziskovalnimi institucijami, podjetji in podpornim okoljem ter ustvarjala pogoje za skupne razvojne pobude. Pomembno je, da mladi, strokovnjaki in visoko usposobljeni kadri v občini najdejo priložnosti za študij, delo, ustvarjanje in dolgoročno življenje.</w:t>
      </w:r>
    </w:p>
    <w:p w14:paraId="0A0DAC60" w14:textId="04D18B32" w:rsidR="1DDF9DF5" w:rsidRDefault="1DDF9DF5" w:rsidP="1706C59B">
      <w:pPr>
        <w:jc w:val="both"/>
      </w:pPr>
      <w:r w:rsidRPr="1706C59B">
        <w:rPr>
          <w:rFonts w:ascii="Aptos" w:eastAsia="Aptos" w:hAnsi="Aptos" w:cs="Aptos"/>
          <w:b/>
          <w:bCs/>
        </w:rPr>
        <w:t>Cilj A2: Konkurenčno, inovativno in podjetjem prijazno gospodarsko okolje</w:t>
      </w:r>
    </w:p>
    <w:p w14:paraId="4D3CF326" w14:textId="04C09079" w:rsidR="24344CC8" w:rsidRPr="00841FED" w:rsidRDefault="34D383F1" w:rsidP="015A248B">
      <w:pPr>
        <w:jc w:val="both"/>
        <w:rPr>
          <w:rFonts w:ascii="Aptos" w:eastAsia="Aptos" w:hAnsi="Aptos" w:cs="Aptos"/>
          <w:b/>
          <w:bCs/>
        </w:rPr>
      </w:pPr>
      <w:r w:rsidRPr="29A8477B">
        <w:rPr>
          <w:rFonts w:ascii="Aptos" w:eastAsia="Aptos" w:hAnsi="Aptos" w:cs="Aptos"/>
          <w:b/>
          <w:bCs/>
        </w:rPr>
        <w:t xml:space="preserve">Mestna občina Nova Gorica bo do leta 2045 razvila konkurenčno, inovativno in podjetjem prijazno gospodarsko okolje, ki bo temeljilo na sodobni poslovni infrastrukturi, razvojni specializaciji, </w:t>
      </w:r>
      <w:r w:rsidRPr="29A8477B">
        <w:rPr>
          <w:rFonts w:ascii="Aptos" w:eastAsia="Aptos" w:hAnsi="Aptos" w:cs="Aptos"/>
          <w:b/>
          <w:bCs/>
        </w:rPr>
        <w:lastRenderedPageBreak/>
        <w:t>učinkovitem podpornem okolju za podjetja, dostopnih poslovnih površinah, hitrih in predvidljivih postopkih ter močnem povezovanju gospodarstva in znanja.</w:t>
      </w:r>
    </w:p>
    <w:p w14:paraId="2BD8C6E8" w14:textId="22859B86" w:rsidR="2715F967" w:rsidRDefault="0CA2E1D3" w:rsidP="29A8477B">
      <w:pPr>
        <w:jc w:val="both"/>
        <w:rPr>
          <w:rFonts w:ascii="Aptos" w:eastAsia="Aptos" w:hAnsi="Aptos" w:cs="Aptos"/>
        </w:rPr>
      </w:pPr>
      <w:r w:rsidRPr="1F30B503">
        <w:rPr>
          <w:rFonts w:ascii="Aptos" w:eastAsia="Aptos" w:hAnsi="Aptos" w:cs="Aptos"/>
        </w:rPr>
        <w:t xml:space="preserve">Cilj se nanaša na pogoje, ki jih gospodarstvo potrebuje za rast, razvoj in vlaganja. To vključuje poslovne in obrtne površine, podporne storitve, jasnejše postopke, boljše sodelovanje med institucijami ter povezovanje lokalnega gospodarstva </w:t>
      </w:r>
      <w:r w:rsidR="092E0CB1" w:rsidRPr="1F30B503">
        <w:rPr>
          <w:rFonts w:ascii="Aptos" w:eastAsia="Aptos" w:hAnsi="Aptos" w:cs="Aptos"/>
        </w:rPr>
        <w:t>s širšim čezmejnim pr</w:t>
      </w:r>
      <w:r w:rsidR="37C932F4" w:rsidRPr="1F30B503">
        <w:rPr>
          <w:rFonts w:ascii="Aptos" w:eastAsia="Aptos" w:hAnsi="Aptos" w:cs="Aptos"/>
        </w:rPr>
        <w:t>o</w:t>
      </w:r>
      <w:r w:rsidR="092E0CB1" w:rsidRPr="1F30B503">
        <w:rPr>
          <w:rFonts w:ascii="Aptos" w:eastAsia="Aptos" w:hAnsi="Aptos" w:cs="Aptos"/>
        </w:rPr>
        <w:t>storom</w:t>
      </w:r>
      <w:r w:rsidRPr="1F30B503">
        <w:rPr>
          <w:rFonts w:ascii="Aptos" w:eastAsia="Aptos" w:hAnsi="Aptos" w:cs="Aptos"/>
        </w:rPr>
        <w:t>. Namen cilja je okrepiti gospodarsko okolje, v katerem lahko rastejo tako obstoječa podjetja kot nove podjetniške pobude.</w:t>
      </w:r>
    </w:p>
    <w:p w14:paraId="30A9AFB9" w14:textId="57A33B42" w:rsidR="1DDF9DF5" w:rsidRDefault="4DEE2CFD" w:rsidP="29A8477B">
      <w:r w:rsidRPr="1706C59B">
        <w:rPr>
          <w:rFonts w:ascii="Aptos" w:eastAsia="Aptos" w:hAnsi="Aptos" w:cs="Aptos"/>
          <w:b/>
          <w:bCs/>
        </w:rPr>
        <w:t>Cilj A3: Trajnostna turistična in doživljajska ekonomija z visoko dodano vrednostjo</w:t>
      </w:r>
    </w:p>
    <w:p w14:paraId="68D3C356" w14:textId="5C00B560" w:rsidR="39190C2C" w:rsidRDefault="55F63D29" w:rsidP="29A8477B">
      <w:pPr>
        <w:jc w:val="both"/>
      </w:pPr>
      <w:r w:rsidRPr="1F30B503">
        <w:rPr>
          <w:rFonts w:ascii="Aptos" w:eastAsia="Aptos" w:hAnsi="Aptos" w:cs="Aptos"/>
          <w:b/>
          <w:bCs/>
        </w:rPr>
        <w:t>Mestna občina Nova Gorica bo do leta 2045 razvila trajnostno, celoletno in mednarodno prepoznavno turistično ter doživljajsko ekonomijo, ki bo povezovala šport, kulturo, ustvarjalnost, ter lokalne posebnosti. Turistična panoga se povezuje tudi z drugimi gospodarskimi sektorji ter ustvarja produkte in storitve z višjo dodano vrednostjo ter upoštevaje kakovost življenja prebivalcev.</w:t>
      </w:r>
    </w:p>
    <w:p w14:paraId="3247D3C0" w14:textId="7AAC3AD1" w:rsidR="002F07BA" w:rsidRDefault="4FEA145D" w:rsidP="1F30B503">
      <w:pPr>
        <w:jc w:val="both"/>
        <w:rPr>
          <w:rFonts w:ascii="Aptos" w:eastAsia="Aptos" w:hAnsi="Aptos" w:cs="Aptos"/>
        </w:rPr>
      </w:pPr>
      <w:r w:rsidRPr="29A8477B">
        <w:rPr>
          <w:rFonts w:ascii="Aptos" w:eastAsia="Aptos" w:hAnsi="Aptos" w:cs="Aptos"/>
        </w:rPr>
        <w:t>Ta cilj turizem razume širše kot posamezne turistične produkte. Za turizem je brezmejnost ključnega pomena</w:t>
      </w:r>
      <w:r w:rsidR="40A8FA27" w:rsidRPr="29A8477B">
        <w:rPr>
          <w:rFonts w:ascii="Aptos" w:eastAsia="Aptos" w:hAnsi="Aptos" w:cs="Aptos"/>
        </w:rPr>
        <w:t>,</w:t>
      </w:r>
      <w:r w:rsidRPr="29A8477B">
        <w:rPr>
          <w:rFonts w:ascii="Aptos" w:eastAsia="Aptos" w:hAnsi="Aptos" w:cs="Aptos"/>
        </w:rPr>
        <w:t xml:space="preserve"> </w:t>
      </w:r>
      <w:r w:rsidR="61FF1F9F" w:rsidRPr="29A8477B">
        <w:rPr>
          <w:rFonts w:ascii="Aptos" w:eastAsia="Aptos" w:hAnsi="Aptos" w:cs="Aptos"/>
        </w:rPr>
        <w:t>saj p</w:t>
      </w:r>
      <w:r w:rsidRPr="29A8477B">
        <w:rPr>
          <w:rFonts w:ascii="Aptos" w:eastAsia="Aptos" w:hAnsi="Aptos" w:cs="Aptos"/>
        </w:rPr>
        <w:t xml:space="preserve">ovezuje kulturo, šport, naravo, dediščino, podeželje, kulinariko, ustvarjalnost </w:t>
      </w:r>
      <w:r w:rsidR="0FB25457" w:rsidRPr="29A8477B">
        <w:rPr>
          <w:rFonts w:ascii="Aptos" w:eastAsia="Aptos" w:hAnsi="Aptos" w:cs="Aptos"/>
        </w:rPr>
        <w:t>v</w:t>
      </w:r>
      <w:r w:rsidRPr="29A8477B">
        <w:rPr>
          <w:rFonts w:ascii="Aptos" w:eastAsia="Aptos" w:hAnsi="Aptos" w:cs="Aptos"/>
        </w:rPr>
        <w:t xml:space="preserve"> </w:t>
      </w:r>
      <w:r w:rsidR="67615C16" w:rsidRPr="29A8477B">
        <w:rPr>
          <w:rFonts w:ascii="Aptos" w:eastAsia="Aptos" w:hAnsi="Aptos" w:cs="Aptos"/>
        </w:rPr>
        <w:t>širš</w:t>
      </w:r>
      <w:r w:rsidR="5EF2B8A8" w:rsidRPr="29A8477B">
        <w:rPr>
          <w:rFonts w:ascii="Aptos" w:eastAsia="Aptos" w:hAnsi="Aptos" w:cs="Aptos"/>
        </w:rPr>
        <w:t>em</w:t>
      </w:r>
      <w:r w:rsidR="67615C16" w:rsidRPr="29A8477B">
        <w:rPr>
          <w:rFonts w:ascii="Aptos" w:eastAsia="Aptos" w:hAnsi="Aptos" w:cs="Aptos"/>
        </w:rPr>
        <w:t xml:space="preserve"> čezmejn</w:t>
      </w:r>
      <w:r w:rsidR="061899A2" w:rsidRPr="29A8477B">
        <w:rPr>
          <w:rFonts w:ascii="Aptos" w:eastAsia="Aptos" w:hAnsi="Aptos" w:cs="Aptos"/>
        </w:rPr>
        <w:t>em</w:t>
      </w:r>
      <w:r w:rsidRPr="29A8477B">
        <w:rPr>
          <w:rFonts w:ascii="Aptos" w:eastAsia="Aptos" w:hAnsi="Aptos" w:cs="Aptos"/>
        </w:rPr>
        <w:t xml:space="preserve"> prostor</w:t>
      </w:r>
      <w:r w:rsidR="4E5A58A8" w:rsidRPr="29A8477B">
        <w:rPr>
          <w:rFonts w:ascii="Aptos" w:eastAsia="Aptos" w:hAnsi="Aptos" w:cs="Aptos"/>
        </w:rPr>
        <w:t>u</w:t>
      </w:r>
      <w:r w:rsidRPr="29A8477B">
        <w:rPr>
          <w:rFonts w:ascii="Aptos" w:eastAsia="Aptos" w:hAnsi="Aptos" w:cs="Aptos"/>
        </w:rPr>
        <w:t>. Pomembno je, da se turistični razvoj oblikuje celostno v povezavi s preostalimi lokalnimi gospodarskimi panogami ter na način</w:t>
      </w:r>
      <w:r w:rsidR="00EA711C">
        <w:rPr>
          <w:rFonts w:ascii="Aptos" w:eastAsia="Aptos" w:hAnsi="Aptos" w:cs="Aptos"/>
        </w:rPr>
        <w:t>,</w:t>
      </w:r>
      <w:r w:rsidRPr="29A8477B">
        <w:rPr>
          <w:rFonts w:ascii="Aptos" w:eastAsia="Aptos" w:hAnsi="Aptos" w:cs="Aptos"/>
        </w:rPr>
        <w:t xml:space="preserve"> da se ohranja kakovost življenja prebivalcev. Turistični razvoj ne temelji samo na obisku, temveč na prepoznavnih doživetjih z višjo dodano vrednostjo.</w:t>
      </w:r>
    </w:p>
    <w:p w14:paraId="59FC05BB" w14:textId="77777777" w:rsidR="002F07BA" w:rsidRPr="002F07BA" w:rsidRDefault="002F07BA" w:rsidP="1F30B503">
      <w:pPr>
        <w:jc w:val="both"/>
        <w:rPr>
          <w:rFonts w:ascii="Aptos" w:eastAsia="Aptos" w:hAnsi="Aptos" w:cs="Aptos"/>
        </w:rPr>
      </w:pPr>
    </w:p>
    <w:tbl>
      <w:tblPr>
        <w:tblStyle w:val="Tabelamrea"/>
        <w:tblW w:w="0" w:type="auto"/>
        <w:tblLook w:val="04A0" w:firstRow="1" w:lastRow="0" w:firstColumn="1" w:lastColumn="0" w:noHBand="0" w:noVBand="1"/>
      </w:tblPr>
      <w:tblGrid>
        <w:gridCol w:w="3694"/>
        <w:gridCol w:w="1916"/>
        <w:gridCol w:w="4008"/>
      </w:tblGrid>
      <w:tr w:rsidR="29A8477B" w14:paraId="730D280F" w14:textId="77777777" w:rsidTr="00C63B45">
        <w:trPr>
          <w:trHeight w:val="300"/>
          <w:tblHeader/>
        </w:trPr>
        <w:tc>
          <w:tcPr>
            <w:tcW w:w="37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D97819" w14:textId="75884D91" w:rsidR="29A8477B" w:rsidRDefault="29A8477B" w:rsidP="29A8477B">
            <w:pPr>
              <w:jc w:val="center"/>
              <w:rPr>
                <w:rFonts w:ascii="Aptos" w:eastAsia="Aptos" w:hAnsi="Aptos" w:cs="Aptos"/>
                <w:b/>
                <w:bCs/>
              </w:rPr>
            </w:pPr>
            <w:r w:rsidRPr="29A8477B">
              <w:rPr>
                <w:rFonts w:ascii="Aptos" w:eastAsia="Aptos" w:hAnsi="Aptos" w:cs="Aptos"/>
                <w:b/>
                <w:bCs/>
              </w:rPr>
              <w:t>Strateški kazalnik</w:t>
            </w:r>
            <w:r w:rsidR="00793895">
              <w:rPr>
                <w:rStyle w:val="Sprotnaopomba-sklic"/>
                <w:rFonts w:ascii="Aptos" w:eastAsia="Aptos" w:hAnsi="Aptos" w:cs="Aptos"/>
                <w:b/>
                <w:bCs/>
              </w:rPr>
              <w:footnoteReference w:id="1"/>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1669548" w14:textId="54D83E44" w:rsidR="29A8477B" w:rsidRDefault="29A8477B" w:rsidP="29A8477B">
            <w:pPr>
              <w:jc w:val="center"/>
              <w:rPr>
                <w:rFonts w:ascii="Aptos" w:eastAsia="Aptos" w:hAnsi="Aptos" w:cs="Aptos"/>
                <w:b/>
                <w:bCs/>
              </w:rPr>
            </w:pPr>
            <w:r w:rsidRPr="29A8477B">
              <w:rPr>
                <w:rFonts w:ascii="Aptos" w:eastAsia="Aptos" w:hAnsi="Aptos" w:cs="Aptos"/>
                <w:b/>
                <w:bCs/>
              </w:rPr>
              <w:t>Navezava na cilj</w:t>
            </w:r>
          </w:p>
        </w:tc>
        <w:tc>
          <w:tcPr>
            <w:tcW w:w="4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06BADD" w14:textId="1CF9D532" w:rsidR="29A8477B" w:rsidRDefault="29A8477B" w:rsidP="29A8477B">
            <w:pPr>
              <w:jc w:val="center"/>
              <w:rPr>
                <w:rFonts w:ascii="Aptos" w:eastAsia="Aptos" w:hAnsi="Aptos" w:cs="Aptos"/>
                <w:b/>
                <w:bCs/>
              </w:rPr>
            </w:pPr>
            <w:r w:rsidRPr="29A8477B">
              <w:rPr>
                <w:rFonts w:ascii="Aptos" w:eastAsia="Aptos" w:hAnsi="Aptos" w:cs="Aptos"/>
                <w:b/>
                <w:bCs/>
              </w:rPr>
              <w:t>Opis</w:t>
            </w:r>
          </w:p>
        </w:tc>
      </w:tr>
      <w:tr w:rsidR="29A8477B" w14:paraId="4BC33B3E" w14:textId="77777777" w:rsidTr="1706C59B">
        <w:trPr>
          <w:trHeight w:val="300"/>
        </w:trPr>
        <w:tc>
          <w:tcPr>
            <w:tcW w:w="37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4FAAA0" w14:textId="1B0B92D0" w:rsidR="29A8477B" w:rsidRDefault="29A8477B" w:rsidP="29A8477B">
            <w:pPr>
              <w:rPr>
                <w:rFonts w:ascii="Aptos" w:eastAsia="Aptos" w:hAnsi="Aptos" w:cs="Aptos"/>
              </w:rPr>
            </w:pPr>
            <w:r w:rsidRPr="29A8477B">
              <w:rPr>
                <w:rFonts w:ascii="Aptos" w:eastAsia="Aptos" w:hAnsi="Aptos" w:cs="Aptos"/>
              </w:rPr>
              <w:t>Število udeležencev v programih, povezanih z razvojnimi potrebami gospodarstva</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386D99" w14:textId="3E67F401" w:rsidR="29A8477B" w:rsidRDefault="29A8477B" w:rsidP="29A8477B">
            <w:pPr>
              <w:rPr>
                <w:rFonts w:ascii="Aptos" w:eastAsia="Aptos" w:hAnsi="Aptos" w:cs="Aptos"/>
              </w:rPr>
            </w:pPr>
            <w:r w:rsidRPr="29A8477B">
              <w:rPr>
                <w:rFonts w:ascii="Aptos" w:eastAsia="Aptos" w:hAnsi="Aptos" w:cs="Aptos"/>
              </w:rPr>
              <w:t>A1</w:t>
            </w:r>
          </w:p>
        </w:tc>
        <w:tc>
          <w:tcPr>
            <w:tcW w:w="4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F480094" w14:textId="185EB427" w:rsidR="29A8477B" w:rsidRDefault="29A8477B" w:rsidP="29A8477B">
            <w:pPr>
              <w:rPr>
                <w:rFonts w:ascii="Aptos" w:eastAsia="Aptos" w:hAnsi="Aptos" w:cs="Aptos"/>
              </w:rPr>
            </w:pPr>
            <w:r w:rsidRPr="29A8477B">
              <w:rPr>
                <w:rFonts w:ascii="Aptos" w:eastAsia="Aptos" w:hAnsi="Aptos" w:cs="Aptos"/>
              </w:rPr>
              <w:t>Kazalnik prikazuje, ali se vzpostavlja razvojni krog med izobraževanjem, talenti in gospodarstvom. Kazalnik je posebej pomemben zaradi poudarka na znanju, raziskavah, talentih in kadrih</w:t>
            </w:r>
          </w:p>
        </w:tc>
      </w:tr>
      <w:tr w:rsidR="29A8477B" w14:paraId="61920209" w14:textId="77777777" w:rsidTr="1706C59B">
        <w:trPr>
          <w:trHeight w:val="300"/>
        </w:trPr>
        <w:tc>
          <w:tcPr>
            <w:tcW w:w="37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D419972" w14:textId="260BF2DB" w:rsidR="2DF6AE68" w:rsidRDefault="2DF6AE68" w:rsidP="29A8477B">
            <w:pPr>
              <w:rPr>
                <w:rFonts w:ascii="Aptos" w:eastAsia="Aptos" w:hAnsi="Aptos" w:cs="Aptos"/>
              </w:rPr>
            </w:pPr>
            <w:r w:rsidRPr="29A8477B">
              <w:rPr>
                <w:rFonts w:ascii="Aptos" w:eastAsia="Aptos" w:hAnsi="Aptos" w:cs="Aptos"/>
              </w:rPr>
              <w:t>D</w:t>
            </w:r>
            <w:r w:rsidR="29A8477B" w:rsidRPr="29A8477B">
              <w:rPr>
                <w:rFonts w:ascii="Aptos" w:eastAsia="Aptos" w:hAnsi="Aptos" w:cs="Aptos"/>
              </w:rPr>
              <w:t>odana vrednost na zaposlenega v gospodarskih družbah</w:t>
            </w:r>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149824C" w14:textId="07C7F9B9" w:rsidR="29A8477B" w:rsidRDefault="29A8477B" w:rsidP="29A8477B">
            <w:pPr>
              <w:rPr>
                <w:rFonts w:ascii="Aptos" w:eastAsia="Aptos" w:hAnsi="Aptos" w:cs="Aptos"/>
              </w:rPr>
            </w:pPr>
            <w:r w:rsidRPr="29A8477B">
              <w:rPr>
                <w:rFonts w:ascii="Aptos" w:eastAsia="Aptos" w:hAnsi="Aptos" w:cs="Aptos"/>
              </w:rPr>
              <w:t>A2</w:t>
            </w:r>
          </w:p>
        </w:tc>
        <w:tc>
          <w:tcPr>
            <w:tcW w:w="4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289794B" w14:textId="2A3F3BDF" w:rsidR="29A8477B" w:rsidRDefault="29A8477B" w:rsidP="29A8477B">
            <w:pPr>
              <w:rPr>
                <w:rFonts w:ascii="Aptos" w:eastAsia="Aptos" w:hAnsi="Aptos" w:cs="Aptos"/>
              </w:rPr>
            </w:pPr>
            <w:r w:rsidRPr="1706C59B">
              <w:rPr>
                <w:rFonts w:ascii="Aptos" w:eastAsia="Aptos" w:hAnsi="Aptos" w:cs="Aptos"/>
              </w:rPr>
              <w:t>Kazalnik prikazuje kakovost gospodarske strukture, ne samo števila podjetij. Pomemben je zato, ker cilj n</w:t>
            </w:r>
            <w:r w:rsidR="2E73118B" w:rsidRPr="1706C59B">
              <w:rPr>
                <w:rFonts w:ascii="Aptos" w:eastAsia="Aptos" w:hAnsi="Aptos" w:cs="Aptos"/>
              </w:rPr>
              <w:t>e</w:t>
            </w:r>
            <w:r w:rsidRPr="1706C59B">
              <w:rPr>
                <w:rFonts w:ascii="Aptos" w:eastAsia="Aptos" w:hAnsi="Aptos" w:cs="Aptos"/>
              </w:rPr>
              <w:t xml:space="preserve"> </w:t>
            </w:r>
            <w:r w:rsidR="527FD70D" w:rsidRPr="1706C59B">
              <w:rPr>
                <w:rFonts w:ascii="Aptos" w:eastAsia="Aptos" w:hAnsi="Aptos" w:cs="Aptos"/>
              </w:rPr>
              <w:t>pomeni samo</w:t>
            </w:r>
            <w:r w:rsidRPr="1706C59B">
              <w:rPr>
                <w:rFonts w:ascii="Aptos" w:eastAsia="Aptos" w:hAnsi="Aptos" w:cs="Aptos"/>
              </w:rPr>
              <w:t xml:space="preserve"> </w:t>
            </w:r>
            <w:r w:rsidR="3E1F5EFE" w:rsidRPr="1706C59B">
              <w:rPr>
                <w:rFonts w:ascii="Aptos" w:eastAsia="Aptos" w:hAnsi="Aptos" w:cs="Aptos"/>
              </w:rPr>
              <w:t>seštevk</w:t>
            </w:r>
            <w:r w:rsidR="4D74ADF1" w:rsidRPr="1706C59B">
              <w:rPr>
                <w:rFonts w:ascii="Aptos" w:eastAsia="Aptos" w:hAnsi="Aptos" w:cs="Aptos"/>
              </w:rPr>
              <w:t>a</w:t>
            </w:r>
            <w:r w:rsidRPr="1706C59B">
              <w:rPr>
                <w:rFonts w:ascii="Aptos" w:eastAsia="Aptos" w:hAnsi="Aptos" w:cs="Aptos"/>
              </w:rPr>
              <w:t xml:space="preserve"> aktivnosti, temveč gospodarstvo z višjo ustvarjeno vrednostjo.</w:t>
            </w:r>
          </w:p>
        </w:tc>
      </w:tr>
      <w:tr w:rsidR="29A8477B" w14:paraId="36C1044B" w14:textId="77777777" w:rsidTr="1706C59B">
        <w:trPr>
          <w:trHeight w:val="300"/>
        </w:trPr>
        <w:tc>
          <w:tcPr>
            <w:tcW w:w="375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02B5E0B" w14:textId="4D8A0081" w:rsidR="29A8477B" w:rsidRDefault="7B65FE52" w:rsidP="29A8477B">
            <w:pPr>
              <w:rPr>
                <w:rFonts w:ascii="Aptos" w:eastAsia="Aptos" w:hAnsi="Aptos" w:cs="Aptos"/>
              </w:rPr>
            </w:pPr>
            <w:proofErr w:type="spellStart"/>
            <w:r w:rsidRPr="1706C59B">
              <w:rPr>
                <w:rFonts w:ascii="Aptos" w:eastAsia="Aptos" w:hAnsi="Aptos" w:cs="Aptos"/>
                <w:lang w:val="en-US"/>
              </w:rPr>
              <w:t>Povprečna</w:t>
            </w:r>
            <w:proofErr w:type="spellEnd"/>
            <w:r w:rsidRPr="1706C59B">
              <w:rPr>
                <w:rFonts w:ascii="Aptos" w:eastAsia="Aptos" w:hAnsi="Aptos" w:cs="Aptos"/>
                <w:lang w:val="en-US"/>
              </w:rPr>
              <w:t xml:space="preserve"> </w:t>
            </w:r>
            <w:proofErr w:type="spellStart"/>
            <w:r w:rsidRPr="1706C59B">
              <w:rPr>
                <w:rFonts w:ascii="Aptos" w:eastAsia="Aptos" w:hAnsi="Aptos" w:cs="Aptos"/>
                <w:lang w:val="en-US"/>
              </w:rPr>
              <w:t>doba</w:t>
            </w:r>
            <w:proofErr w:type="spellEnd"/>
            <w:r w:rsidRPr="1706C59B">
              <w:rPr>
                <w:rFonts w:ascii="Aptos" w:eastAsia="Aptos" w:hAnsi="Aptos" w:cs="Aptos"/>
                <w:lang w:val="en-US"/>
              </w:rPr>
              <w:t xml:space="preserve"> </w:t>
            </w:r>
            <w:proofErr w:type="spellStart"/>
            <w:r w:rsidRPr="1706C59B">
              <w:rPr>
                <w:rFonts w:ascii="Aptos" w:eastAsia="Aptos" w:hAnsi="Aptos" w:cs="Aptos"/>
                <w:lang w:val="en-US"/>
              </w:rPr>
              <w:t>bivanja</w:t>
            </w:r>
            <w:proofErr w:type="spellEnd"/>
            <w:r w:rsidRPr="1706C59B">
              <w:rPr>
                <w:rFonts w:ascii="Aptos" w:eastAsia="Aptos" w:hAnsi="Aptos" w:cs="Aptos"/>
                <w:lang w:val="en-US"/>
              </w:rPr>
              <w:t xml:space="preserve"> </w:t>
            </w:r>
            <w:proofErr w:type="spellStart"/>
            <w:r w:rsidRPr="1706C59B">
              <w:rPr>
                <w:rFonts w:ascii="Aptos" w:eastAsia="Aptos" w:hAnsi="Aptos" w:cs="Aptos"/>
                <w:lang w:val="en-US"/>
              </w:rPr>
              <w:t>turistov</w:t>
            </w:r>
            <w:proofErr w:type="spellEnd"/>
          </w:p>
        </w:tc>
        <w:tc>
          <w:tcPr>
            <w:tcW w:w="19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B01D1F" w14:textId="43E76760" w:rsidR="29A8477B" w:rsidRDefault="29A8477B" w:rsidP="29A8477B">
            <w:pPr>
              <w:rPr>
                <w:rFonts w:ascii="Aptos" w:eastAsia="Aptos" w:hAnsi="Aptos" w:cs="Aptos"/>
              </w:rPr>
            </w:pPr>
            <w:r w:rsidRPr="29A8477B">
              <w:rPr>
                <w:rFonts w:ascii="Aptos" w:eastAsia="Aptos" w:hAnsi="Aptos" w:cs="Aptos"/>
              </w:rPr>
              <w:t>A3</w:t>
            </w:r>
          </w:p>
        </w:tc>
        <w:tc>
          <w:tcPr>
            <w:tcW w:w="40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9EDDF00" w14:textId="030B73C4" w:rsidR="29A8477B" w:rsidRDefault="29A8477B" w:rsidP="29A8477B">
            <w:pPr>
              <w:rPr>
                <w:rFonts w:ascii="Aptos" w:eastAsia="Aptos" w:hAnsi="Aptos" w:cs="Aptos"/>
              </w:rPr>
            </w:pPr>
            <w:r w:rsidRPr="29A8477B">
              <w:rPr>
                <w:rFonts w:ascii="Aptos" w:eastAsia="Aptos" w:hAnsi="Aptos" w:cs="Aptos"/>
              </w:rPr>
              <w:t>Kazalnik prikazuje kakovost in zadrževanje obiska, ne le obseg promocije. Izpostavljen je pomen, razvoja doživljajske ekonomije v smeri višje dodane vrednosti, ne zgolj večjega števila enodnevnih obiskov</w:t>
            </w:r>
          </w:p>
        </w:tc>
      </w:tr>
    </w:tbl>
    <w:p w14:paraId="03E4DBEF" w14:textId="24E44A55" w:rsidR="001C7F26" w:rsidRDefault="18BB7A06" w:rsidP="004A1C14">
      <w:pPr>
        <w:pStyle w:val="Naslov2"/>
        <w:numPr>
          <w:ilvl w:val="1"/>
          <w:numId w:val="40"/>
        </w:numPr>
        <w:spacing w:before="240" w:after="120"/>
        <w:ind w:left="482" w:hanging="482"/>
      </w:pPr>
      <w:bookmarkStart w:id="51" w:name="_Toc1778431521"/>
      <w:bookmarkStart w:id="52" w:name="_Toc1191764075"/>
      <w:bookmarkStart w:id="53" w:name="_Toc239414907"/>
      <w:r>
        <w:t xml:space="preserve">B - </w:t>
      </w:r>
      <w:r w:rsidR="52DF0BCE">
        <w:t>VKLJUČUJOČA DRUŽBA</w:t>
      </w:r>
      <w:bookmarkEnd w:id="51"/>
      <w:bookmarkEnd w:id="52"/>
      <w:bookmarkEnd w:id="53"/>
    </w:p>
    <w:p w14:paraId="07EF25DD" w14:textId="1DA1B53A" w:rsidR="1189579B" w:rsidRDefault="1189579B" w:rsidP="29A8477B">
      <w:pPr>
        <w:spacing w:line="257" w:lineRule="auto"/>
        <w:jc w:val="both"/>
      </w:pPr>
      <w:r w:rsidRPr="29A8477B">
        <w:rPr>
          <w:rFonts w:ascii="Aptos" w:eastAsia="Aptos" w:hAnsi="Aptos" w:cs="Aptos"/>
        </w:rPr>
        <w:t xml:space="preserve">Mestna občina </w:t>
      </w:r>
      <w:r w:rsidR="66B724F5" w:rsidRPr="29A8477B">
        <w:rPr>
          <w:rFonts w:ascii="Aptos" w:eastAsia="Aptos" w:hAnsi="Aptos" w:cs="Aptos"/>
        </w:rPr>
        <w:t xml:space="preserve">Nova Gorica je multikulturna, varna občina z </w:t>
      </w:r>
      <w:r w:rsidR="66B724F5" w:rsidRPr="29A8477B">
        <w:rPr>
          <w:rFonts w:ascii="Aptos" w:eastAsia="Aptos" w:hAnsi="Aptos" w:cs="Aptos"/>
          <w:b/>
          <w:bCs/>
        </w:rPr>
        <w:t>visoko kakovostjo življenja</w:t>
      </w:r>
      <w:r w:rsidR="66B724F5" w:rsidRPr="29A8477B">
        <w:rPr>
          <w:rFonts w:ascii="Aptos" w:eastAsia="Aptos" w:hAnsi="Aptos" w:cs="Aptos"/>
        </w:rPr>
        <w:t xml:space="preserve">, ki nudi stanovanja ter podporno okolje za različne življenjske stile in različne družbene skupine. Podpira </w:t>
      </w:r>
      <w:r w:rsidR="0BC7CA18" w:rsidRPr="29A8477B">
        <w:rPr>
          <w:rFonts w:ascii="Aptos" w:eastAsia="Aptos" w:hAnsi="Aptos" w:cs="Aptos"/>
        </w:rPr>
        <w:t xml:space="preserve">se </w:t>
      </w:r>
      <w:r w:rsidR="66B724F5" w:rsidRPr="29A8477B">
        <w:rPr>
          <w:rFonts w:ascii="Aptos" w:eastAsia="Aptos" w:hAnsi="Aptos" w:cs="Aptos"/>
        </w:rPr>
        <w:lastRenderedPageBreak/>
        <w:t>medsebojno sinergijo in sodelovanje mladih, delovno aktivnih in starejših ter medgeneracijski prenos vrednot, znanja in izkušenj.</w:t>
      </w:r>
      <w:r w:rsidR="66B724F5" w:rsidRPr="29A8477B">
        <w:rPr>
          <w:rFonts w:ascii="Arial" w:eastAsia="Arial" w:hAnsi="Arial" w:cs="Arial"/>
          <w:lang w:val="en-US"/>
        </w:rPr>
        <w:t xml:space="preserve"> </w:t>
      </w:r>
    </w:p>
    <w:p w14:paraId="3DD233FB" w14:textId="529BE368" w:rsidR="66B724F5" w:rsidRDefault="66B724F5" w:rsidP="29A8477B">
      <w:pPr>
        <w:spacing w:line="257" w:lineRule="auto"/>
        <w:jc w:val="both"/>
      </w:pPr>
      <w:r w:rsidRPr="29A8477B">
        <w:rPr>
          <w:rFonts w:ascii="Aptos" w:eastAsia="Aptos" w:hAnsi="Aptos" w:cs="Aptos"/>
        </w:rPr>
        <w:t xml:space="preserve">Investira </w:t>
      </w:r>
      <w:r w:rsidR="2B74B62E" w:rsidRPr="29A8477B">
        <w:rPr>
          <w:rFonts w:ascii="Aptos" w:eastAsia="Aptos" w:hAnsi="Aptos" w:cs="Aptos"/>
        </w:rPr>
        <w:t xml:space="preserve">se </w:t>
      </w:r>
      <w:r w:rsidRPr="29A8477B">
        <w:rPr>
          <w:rFonts w:ascii="Aptos" w:eastAsia="Aptos" w:hAnsi="Aptos" w:cs="Aptos"/>
        </w:rPr>
        <w:t xml:space="preserve">v družbeno infrastrukturo za zagotavljanje </w:t>
      </w:r>
      <w:r w:rsidRPr="29A8477B">
        <w:rPr>
          <w:rFonts w:ascii="Aptos" w:eastAsia="Aptos" w:hAnsi="Aptos" w:cs="Aptos"/>
          <w:b/>
          <w:bCs/>
        </w:rPr>
        <w:t>nadstandardnih in inovativnih programov</w:t>
      </w:r>
      <w:r w:rsidRPr="29A8477B">
        <w:rPr>
          <w:rFonts w:ascii="Aptos" w:eastAsia="Aptos" w:hAnsi="Aptos" w:cs="Aptos"/>
        </w:rPr>
        <w:t>, ki so usmerjeni v maksimalno izkoriščanje ustvarjalnega potenciala prebivalcev na področju vzgoje in izobraževanja, zdravstva ter vseh oblik integracije.</w:t>
      </w:r>
      <w:r w:rsidRPr="29A8477B">
        <w:rPr>
          <w:rFonts w:ascii="Arial" w:eastAsia="Arial" w:hAnsi="Arial" w:cs="Arial"/>
          <w:lang w:val="en-US"/>
        </w:rPr>
        <w:t xml:space="preserve"> </w:t>
      </w:r>
    </w:p>
    <w:p w14:paraId="5A0CC80D" w14:textId="73270CC2" w:rsidR="66B724F5" w:rsidRDefault="2E18B329" w:rsidP="29A8477B">
      <w:pPr>
        <w:spacing w:line="257" w:lineRule="auto"/>
        <w:jc w:val="both"/>
      </w:pPr>
      <w:r w:rsidRPr="1706C59B">
        <w:rPr>
          <w:rFonts w:ascii="Aptos" w:eastAsia="Aptos" w:hAnsi="Aptos" w:cs="Aptos"/>
        </w:rPr>
        <w:t xml:space="preserve">Občina zagotavlja pogoje za pestro kulturno in družabno dogajanje ter prostore za aktivno preživljanje prostega časa (zdravi koridorji). Mesto Nova Gorica je </w:t>
      </w:r>
      <w:r w:rsidRPr="1706C59B">
        <w:rPr>
          <w:rFonts w:ascii="Aptos" w:eastAsia="Aptos" w:hAnsi="Aptos" w:cs="Aptos"/>
          <w:b/>
          <w:bCs/>
        </w:rPr>
        <w:t xml:space="preserve">osrednje kulturno središče zahodne Slovenije </w:t>
      </w:r>
      <w:r w:rsidRPr="1706C59B">
        <w:rPr>
          <w:rFonts w:ascii="Aptos" w:eastAsia="Aptos" w:hAnsi="Aptos" w:cs="Aptos"/>
        </w:rPr>
        <w:t xml:space="preserve">in še nadalje aktivno razvija svoje kulturno poslanstvo </w:t>
      </w:r>
      <w:r w:rsidR="009101F0" w:rsidRPr="009101F0">
        <w:rPr>
          <w:rFonts w:ascii="Aptos" w:eastAsia="Aptos" w:hAnsi="Aptos" w:cs="Aptos"/>
        </w:rPr>
        <w:t>in dediščino Evropske prestolnice kulture 2025</w:t>
      </w:r>
      <w:r w:rsidRPr="1706C59B">
        <w:rPr>
          <w:rFonts w:ascii="Aptos" w:eastAsia="Aptos" w:hAnsi="Aptos" w:cs="Aptos"/>
        </w:rPr>
        <w:t xml:space="preserve">, ki </w:t>
      </w:r>
      <w:r w:rsidR="009101F0">
        <w:rPr>
          <w:rFonts w:ascii="Aptos" w:eastAsia="Aptos" w:hAnsi="Aptos" w:cs="Aptos"/>
        </w:rPr>
        <w:t>imata mednarodni pomen</w:t>
      </w:r>
      <w:r w:rsidRPr="1706C59B">
        <w:rPr>
          <w:rFonts w:ascii="Aptos" w:eastAsia="Aptos" w:hAnsi="Aptos" w:cs="Aptos"/>
        </w:rPr>
        <w:t>. Ohran</w:t>
      </w:r>
      <w:r w:rsidR="111D0E3B" w:rsidRPr="1706C59B">
        <w:rPr>
          <w:rFonts w:ascii="Aptos" w:eastAsia="Aptos" w:hAnsi="Aptos" w:cs="Aptos"/>
        </w:rPr>
        <w:t>i</w:t>
      </w:r>
      <w:r w:rsidR="00EA711C">
        <w:rPr>
          <w:rFonts w:ascii="Aptos" w:eastAsia="Aptos" w:hAnsi="Aptos" w:cs="Aptos"/>
        </w:rPr>
        <w:t>jo</w:t>
      </w:r>
      <w:r w:rsidRPr="1706C59B">
        <w:rPr>
          <w:rFonts w:ascii="Aptos" w:eastAsia="Aptos" w:hAnsi="Aptos" w:cs="Aptos"/>
        </w:rPr>
        <w:t xml:space="preserve"> in krepi</w:t>
      </w:r>
      <w:r w:rsidR="00EA711C">
        <w:rPr>
          <w:rFonts w:ascii="Aptos" w:eastAsia="Aptos" w:hAnsi="Aptos" w:cs="Aptos"/>
        </w:rPr>
        <w:t>jo</w:t>
      </w:r>
      <w:r w:rsidRPr="1706C59B">
        <w:rPr>
          <w:rFonts w:ascii="Aptos" w:eastAsia="Aptos" w:hAnsi="Aptos" w:cs="Aptos"/>
        </w:rPr>
        <w:t xml:space="preserve"> </w:t>
      </w:r>
      <w:r w:rsidR="523AB2D4" w:rsidRPr="1706C59B">
        <w:rPr>
          <w:rFonts w:ascii="Aptos" w:eastAsia="Aptos" w:hAnsi="Aptos" w:cs="Aptos"/>
        </w:rPr>
        <w:t xml:space="preserve">se </w:t>
      </w:r>
      <w:r w:rsidRPr="1706C59B">
        <w:rPr>
          <w:rFonts w:ascii="Aptos" w:eastAsia="Aptos" w:hAnsi="Aptos" w:cs="Aptos"/>
        </w:rPr>
        <w:t>slovensk</w:t>
      </w:r>
      <w:r w:rsidR="00EA711C">
        <w:rPr>
          <w:rFonts w:ascii="Aptos" w:eastAsia="Aptos" w:hAnsi="Aptos" w:cs="Aptos"/>
        </w:rPr>
        <w:t>a</w:t>
      </w:r>
      <w:r w:rsidRPr="1706C59B">
        <w:rPr>
          <w:rFonts w:ascii="Aptos" w:eastAsia="Aptos" w:hAnsi="Aptos" w:cs="Aptos"/>
        </w:rPr>
        <w:t xml:space="preserve"> identitet</w:t>
      </w:r>
      <w:r w:rsidR="00EA711C">
        <w:rPr>
          <w:rFonts w:ascii="Aptos" w:eastAsia="Aptos" w:hAnsi="Aptos" w:cs="Aptos"/>
        </w:rPr>
        <w:t>a</w:t>
      </w:r>
      <w:r w:rsidRPr="1706C59B">
        <w:rPr>
          <w:rFonts w:ascii="Aptos" w:eastAsia="Aptos" w:hAnsi="Aptos" w:cs="Aptos"/>
        </w:rPr>
        <w:t>, slovenski jezik in kultur</w:t>
      </w:r>
      <w:r w:rsidR="00EA711C">
        <w:rPr>
          <w:rFonts w:ascii="Aptos" w:eastAsia="Aptos" w:hAnsi="Aptos" w:cs="Aptos"/>
        </w:rPr>
        <w:t>a</w:t>
      </w:r>
      <w:r w:rsidRPr="1706C59B">
        <w:rPr>
          <w:rFonts w:ascii="Aptos" w:eastAsia="Aptos" w:hAnsi="Aptos" w:cs="Aptos"/>
        </w:rPr>
        <w:t xml:space="preserve">, hkrati pa gradimo čezmejno identiteto. Občina aktivno skrbi za </w:t>
      </w:r>
      <w:r w:rsidRPr="1706C59B">
        <w:rPr>
          <w:rFonts w:ascii="Aptos" w:eastAsia="Aptos" w:hAnsi="Aptos" w:cs="Aptos"/>
          <w:b/>
          <w:bCs/>
        </w:rPr>
        <w:t>varnost</w:t>
      </w:r>
      <w:r w:rsidRPr="1706C59B">
        <w:rPr>
          <w:rFonts w:ascii="Aptos" w:eastAsia="Aptos" w:hAnsi="Aptos" w:cs="Aptos"/>
        </w:rPr>
        <w:t xml:space="preserve"> in visoko integracijo tujcev ter kulturno sobivanje vseh občanov. </w:t>
      </w:r>
      <w:r w:rsidRPr="1706C59B">
        <w:rPr>
          <w:rFonts w:ascii="Arial" w:eastAsia="Arial" w:hAnsi="Arial" w:cs="Arial"/>
          <w:lang w:val="en-US"/>
        </w:rPr>
        <w:t xml:space="preserve"> </w:t>
      </w:r>
    </w:p>
    <w:p w14:paraId="68DE4B48" w14:textId="63DC8527" w:rsidR="66B724F5" w:rsidRDefault="66B724F5" w:rsidP="29A8477B">
      <w:pPr>
        <w:spacing w:line="257" w:lineRule="auto"/>
        <w:jc w:val="both"/>
      </w:pPr>
      <w:r w:rsidRPr="29A8477B">
        <w:rPr>
          <w:rFonts w:ascii="Aptos" w:eastAsia="Aptos" w:hAnsi="Aptos" w:cs="Aptos"/>
        </w:rPr>
        <w:t xml:space="preserve">Šport in </w:t>
      </w:r>
      <w:r w:rsidRPr="29A8477B">
        <w:rPr>
          <w:rFonts w:ascii="Aptos" w:eastAsia="Aptos" w:hAnsi="Aptos" w:cs="Aptos"/>
          <w:b/>
          <w:bCs/>
        </w:rPr>
        <w:t>rekreacija</w:t>
      </w:r>
      <w:r w:rsidRPr="29A8477B">
        <w:rPr>
          <w:rFonts w:ascii="Aptos" w:eastAsia="Aptos" w:hAnsi="Aptos" w:cs="Aptos"/>
        </w:rPr>
        <w:t xml:space="preserve"> za vse</w:t>
      </w:r>
      <w:r w:rsidR="7CB26387" w:rsidRPr="29A8477B">
        <w:rPr>
          <w:rFonts w:ascii="Aptos" w:eastAsia="Aptos" w:hAnsi="Aptos" w:cs="Aptos"/>
        </w:rPr>
        <w:t xml:space="preserve"> se </w:t>
      </w:r>
      <w:r w:rsidRPr="29A8477B">
        <w:rPr>
          <w:rFonts w:ascii="Aptos" w:eastAsia="Aptos" w:hAnsi="Aptos" w:cs="Aptos"/>
        </w:rPr>
        <w:t>izraž</w:t>
      </w:r>
      <w:r w:rsidR="269A151C" w:rsidRPr="29A8477B">
        <w:rPr>
          <w:rFonts w:ascii="Aptos" w:eastAsia="Aptos" w:hAnsi="Aptos" w:cs="Aptos"/>
        </w:rPr>
        <w:t>a</w:t>
      </w:r>
      <w:r w:rsidRPr="29A8477B">
        <w:rPr>
          <w:rFonts w:ascii="Aptos" w:eastAsia="Aptos" w:hAnsi="Aptos" w:cs="Aptos"/>
        </w:rPr>
        <w:t xml:space="preserve"> kot vidik zagotavljanja preventive za zdrav življenjski slog prebivalcev, ter družbeno razvojni mehanizem integracije. Spodbuja se ohranja</w:t>
      </w:r>
      <w:r w:rsidR="00EA711C">
        <w:rPr>
          <w:rFonts w:ascii="Aptos" w:eastAsia="Aptos" w:hAnsi="Aptos" w:cs="Aptos"/>
        </w:rPr>
        <w:t>n</w:t>
      </w:r>
      <w:r w:rsidRPr="29A8477B">
        <w:rPr>
          <w:rFonts w:ascii="Aptos" w:eastAsia="Aptos" w:hAnsi="Aptos" w:cs="Aptos"/>
        </w:rPr>
        <w:t xml:space="preserve">je </w:t>
      </w:r>
      <w:r w:rsidRPr="29A8477B">
        <w:rPr>
          <w:rFonts w:ascii="Aptos" w:eastAsia="Aptos" w:hAnsi="Aptos" w:cs="Aptos"/>
          <w:b/>
          <w:bCs/>
        </w:rPr>
        <w:t>fizične aktivnosti prebivalcev skozi celotno življenjsko dobo</w:t>
      </w:r>
      <w:r w:rsidRPr="29A8477B">
        <w:rPr>
          <w:rFonts w:ascii="Aptos" w:eastAsia="Aptos" w:hAnsi="Aptos" w:cs="Aptos"/>
        </w:rPr>
        <w:t>, tudi z zagotavljanjem raznolike športno-rekreacijske infrastrukture.</w:t>
      </w:r>
      <w:r w:rsidRPr="29A8477B">
        <w:rPr>
          <w:rFonts w:ascii="Arial" w:eastAsia="Arial" w:hAnsi="Arial" w:cs="Arial"/>
          <w:lang w:val="en-US"/>
        </w:rPr>
        <w:t xml:space="preserve"> </w:t>
      </w:r>
    </w:p>
    <w:p w14:paraId="27BDD928" w14:textId="2B0824E9" w:rsidR="66B724F5" w:rsidRDefault="66B724F5" w:rsidP="29A8477B">
      <w:pPr>
        <w:spacing w:line="257" w:lineRule="auto"/>
        <w:jc w:val="both"/>
      </w:pPr>
      <w:r w:rsidRPr="29A8477B">
        <w:rPr>
          <w:rFonts w:ascii="Aptos" w:eastAsia="Aptos" w:hAnsi="Aptos" w:cs="Aptos"/>
        </w:rPr>
        <w:t xml:space="preserve">Družba je </w:t>
      </w:r>
      <w:r w:rsidRPr="29A8477B">
        <w:rPr>
          <w:rFonts w:ascii="Aptos" w:eastAsia="Aptos" w:hAnsi="Aptos" w:cs="Aptos"/>
          <w:b/>
          <w:bCs/>
        </w:rPr>
        <w:t>digitalno razvita</w:t>
      </w:r>
      <w:r w:rsidRPr="29A8477B">
        <w:rPr>
          <w:rFonts w:ascii="Aptos" w:eastAsia="Aptos" w:hAnsi="Aptos" w:cs="Aptos"/>
        </w:rPr>
        <w:t>: prebivalci lahko vsakodnevne storitve opravijo elektronsko, občina uvede e-volitve, digitalne kompetence so razvite pri vseh generacijah</w:t>
      </w:r>
      <w:r w:rsidRPr="29A8477B">
        <w:rPr>
          <w:rFonts w:ascii="Aptos" w:eastAsia="Aptos" w:hAnsi="Aptos" w:cs="Aptos"/>
          <w:b/>
          <w:bCs/>
        </w:rPr>
        <w:t>. Osebni medčloveški stik in interakcija</w:t>
      </w:r>
      <w:r w:rsidRPr="29A8477B">
        <w:rPr>
          <w:rFonts w:ascii="Aptos" w:eastAsia="Aptos" w:hAnsi="Aptos" w:cs="Aptos"/>
        </w:rPr>
        <w:t xml:space="preserve"> </w:t>
      </w:r>
      <w:r w:rsidR="254E7D0C" w:rsidRPr="29A8477B">
        <w:rPr>
          <w:rFonts w:ascii="Aptos" w:eastAsia="Aptos" w:hAnsi="Aptos" w:cs="Aptos"/>
        </w:rPr>
        <w:t>sta prepoznani</w:t>
      </w:r>
      <w:r w:rsidRPr="29A8477B">
        <w:rPr>
          <w:rFonts w:ascii="Aptos" w:eastAsia="Aptos" w:hAnsi="Aptos" w:cs="Aptos"/>
        </w:rPr>
        <w:t xml:space="preserve"> vrednot</w:t>
      </w:r>
      <w:r w:rsidR="01C7DF90" w:rsidRPr="29A8477B">
        <w:rPr>
          <w:rFonts w:ascii="Aptos" w:eastAsia="Aptos" w:hAnsi="Aptos" w:cs="Aptos"/>
        </w:rPr>
        <w:t>i</w:t>
      </w:r>
      <w:r w:rsidRPr="29A8477B">
        <w:rPr>
          <w:rFonts w:ascii="Aptos" w:eastAsia="Aptos" w:hAnsi="Aptos" w:cs="Aptos"/>
        </w:rPr>
        <w:t>.</w:t>
      </w:r>
    </w:p>
    <w:p w14:paraId="140D9FCD" w14:textId="609AF2F3" w:rsidR="66B724F5" w:rsidRDefault="202C3D5D" w:rsidP="23C3E973">
      <w:pPr>
        <w:jc w:val="both"/>
        <w:rPr>
          <w:rFonts w:ascii="Aptos" w:eastAsia="Aptos" w:hAnsi="Aptos" w:cs="Aptos"/>
        </w:rPr>
      </w:pPr>
      <w:r w:rsidRPr="1F30B503">
        <w:rPr>
          <w:rFonts w:ascii="Aptos" w:eastAsia="Aptos" w:hAnsi="Aptos" w:cs="Aptos"/>
        </w:rPr>
        <w:t xml:space="preserve">Z uresničevanjem ciljev iz stebra B se neposredno naslavlja izzive </w:t>
      </w:r>
      <w:r w:rsidR="58E160A5" w:rsidRPr="1F30B503">
        <w:rPr>
          <w:rFonts w:ascii="Aptos" w:eastAsia="Aptos" w:hAnsi="Aptos" w:cs="Aptos"/>
        </w:rPr>
        <w:t xml:space="preserve">poglavij </w:t>
      </w:r>
      <w:r w:rsidR="396DB1E8" w:rsidRPr="1F30B503">
        <w:rPr>
          <w:rFonts w:ascii="Aptos" w:eastAsia="Aptos" w:hAnsi="Aptos" w:cs="Aptos"/>
        </w:rPr>
        <w:t>4</w:t>
      </w:r>
      <w:r w:rsidRPr="1F30B503">
        <w:rPr>
          <w:rFonts w:ascii="Aptos" w:eastAsia="Aptos" w:hAnsi="Aptos" w:cs="Aptos"/>
        </w:rPr>
        <w:t xml:space="preserve">.6 in </w:t>
      </w:r>
      <w:r w:rsidR="396DB1E8" w:rsidRPr="1F30B503">
        <w:rPr>
          <w:rFonts w:ascii="Aptos" w:eastAsia="Aptos" w:hAnsi="Aptos" w:cs="Aptos"/>
        </w:rPr>
        <w:t>4</w:t>
      </w:r>
      <w:r w:rsidRPr="1F30B503">
        <w:rPr>
          <w:rFonts w:ascii="Aptos" w:eastAsia="Aptos" w:hAnsi="Aptos" w:cs="Aptos"/>
        </w:rPr>
        <w:t>.7, posredno pa izziv</w:t>
      </w:r>
      <w:r w:rsidR="1634EF72" w:rsidRPr="1F30B503">
        <w:rPr>
          <w:rFonts w:ascii="Aptos" w:eastAsia="Aptos" w:hAnsi="Aptos" w:cs="Aptos"/>
        </w:rPr>
        <w:t xml:space="preserve"> poglavja</w:t>
      </w:r>
      <w:r>
        <w:t xml:space="preserve"> </w:t>
      </w:r>
      <w:r w:rsidR="396DB1E8" w:rsidRPr="1F30B503">
        <w:rPr>
          <w:rFonts w:ascii="Aptos" w:eastAsia="Aptos" w:hAnsi="Aptos" w:cs="Aptos"/>
        </w:rPr>
        <w:t>4</w:t>
      </w:r>
      <w:r w:rsidRPr="1F30B503">
        <w:rPr>
          <w:rFonts w:ascii="Aptos" w:eastAsia="Aptos" w:hAnsi="Aptos" w:cs="Aptos"/>
        </w:rPr>
        <w:t>.1.</w:t>
      </w:r>
    </w:p>
    <w:p w14:paraId="7A3627D1" w14:textId="0B2C3C32" w:rsidR="193A1C11" w:rsidRDefault="74EB5242" w:rsidP="1706C59B">
      <w:pPr>
        <w:jc w:val="both"/>
      </w:pPr>
      <w:r w:rsidRPr="1706C59B">
        <w:rPr>
          <w:rFonts w:ascii="Aptos" w:eastAsia="Aptos" w:hAnsi="Aptos" w:cs="Aptos"/>
          <w:b/>
          <w:bCs/>
        </w:rPr>
        <w:t>Cilj B1: Kakovostno, dostopno in vključujoče življenjsko okolje s človeku prijaznimi storitvami</w:t>
      </w:r>
    </w:p>
    <w:p w14:paraId="5003CC0C" w14:textId="3BDB25D9" w:rsidR="3C2F88C1" w:rsidRDefault="3C2F88C1" w:rsidP="29A8477B">
      <w:pPr>
        <w:jc w:val="both"/>
        <w:rPr>
          <w:rFonts w:ascii="Aptos" w:eastAsia="Aptos" w:hAnsi="Aptos" w:cs="Aptos"/>
        </w:rPr>
      </w:pPr>
      <w:r w:rsidRPr="29A8477B">
        <w:rPr>
          <w:rFonts w:ascii="Aptos" w:eastAsia="Aptos" w:hAnsi="Aptos" w:cs="Aptos"/>
          <w:b/>
          <w:bCs/>
        </w:rPr>
        <w:t xml:space="preserve">Mestna občina Nova Gorica bo do leta 2045 </w:t>
      </w:r>
      <w:r w:rsidR="1A8FD8A8" w:rsidRPr="29A8477B">
        <w:rPr>
          <w:rFonts w:ascii="Aptos" w:eastAsia="Aptos" w:hAnsi="Aptos" w:cs="Aptos"/>
          <w:b/>
          <w:bCs/>
        </w:rPr>
        <w:t xml:space="preserve">nudila </w:t>
      </w:r>
      <w:r w:rsidRPr="29A8477B">
        <w:rPr>
          <w:rFonts w:ascii="Aptos" w:eastAsia="Aptos" w:hAnsi="Aptos" w:cs="Aptos"/>
          <w:b/>
          <w:bCs/>
        </w:rPr>
        <w:t>kakovostno, dostopno in vključujoče življenjsko okolje s človeku prijaznimi storitvami, ki bo temeljilo na dostopnih stanovanjskih rešitvah, naprednih družbenih storitvah, medgeneracijski solidarnosti, podpori ranljivim skupinam, digitalni dostopnosti, trajnostni mobilnosti ter sodobnih in dobro organiziranih sistemih podpore za vsakdanje življenje prebivalcev.</w:t>
      </w:r>
    </w:p>
    <w:p w14:paraId="19908626" w14:textId="0EA4C430" w:rsidR="00C85DDD" w:rsidRPr="00841FED" w:rsidRDefault="3C2F88C1" w:rsidP="00E979E7">
      <w:pPr>
        <w:jc w:val="both"/>
      </w:pPr>
      <w:r>
        <w:t xml:space="preserve">Cilj poudarja, da kakovost življenja ni odvisna samo od investicij, temveč od celotnega nabora podpornih družbenih storitev za prebivalce. To vključuje dostopna stanovanja, oskrbo, storitve za otroke, mlade, starejše in ranljive skupine, digitalno dostopnost, mobilnost ter dobro organizirane javne in družbene storitve. </w:t>
      </w:r>
      <w:r w:rsidR="5CE42452">
        <w:t>Vključuje tudi oblikovanje</w:t>
      </w:r>
      <w:r>
        <w:t xml:space="preserve"> prostor</w:t>
      </w:r>
      <w:r w:rsidR="490A32B0">
        <w:t>a</w:t>
      </w:r>
      <w:r>
        <w:t>, kjer lahko različne generacije in skupine prebivalcev kakovostno živijo, delajo, se vključujejo v različne aktivnosti in pri tem ostajajo povezane s skupnostjo.</w:t>
      </w:r>
    </w:p>
    <w:p w14:paraId="3178B682" w14:textId="24137587" w:rsidR="193A1C11" w:rsidRDefault="4374BA26" w:rsidP="00E979E7">
      <w:pPr>
        <w:jc w:val="both"/>
        <w:rPr>
          <w:rFonts w:ascii="Aptos" w:eastAsia="Aptos" w:hAnsi="Aptos" w:cs="Aptos"/>
          <w:b/>
          <w:bCs/>
        </w:rPr>
      </w:pPr>
      <w:r w:rsidRPr="23C3E973">
        <w:rPr>
          <w:rFonts w:ascii="Aptos" w:eastAsia="Aptos" w:hAnsi="Aptos" w:cs="Aptos"/>
          <w:b/>
          <w:bCs/>
        </w:rPr>
        <w:t>Cilj B2: Vključujoča, povezana skupnost</w:t>
      </w:r>
      <w:r w:rsidR="74D0B25A" w:rsidRPr="23C3E973">
        <w:rPr>
          <w:rFonts w:ascii="Aptos" w:eastAsia="Aptos" w:hAnsi="Aptos" w:cs="Aptos"/>
          <w:b/>
          <w:bCs/>
        </w:rPr>
        <w:t xml:space="preserve"> kulture</w:t>
      </w:r>
    </w:p>
    <w:p w14:paraId="1BE3C9CB" w14:textId="64B83FAA" w:rsidR="00F15EB1" w:rsidRPr="007A6DD4" w:rsidRDefault="3813167A" w:rsidP="29A8477B">
      <w:pPr>
        <w:jc w:val="both"/>
        <w:rPr>
          <w:rFonts w:ascii="Aptos" w:eastAsia="Aptos" w:hAnsi="Aptos" w:cs="Aptos"/>
          <w:b/>
          <w:bCs/>
        </w:rPr>
      </w:pPr>
      <w:r w:rsidRPr="29A8477B">
        <w:rPr>
          <w:rFonts w:ascii="Aptos" w:eastAsia="Aptos" w:hAnsi="Aptos" w:cs="Aptos"/>
          <w:b/>
          <w:bCs/>
        </w:rPr>
        <w:t xml:space="preserve">Mestna občina Nova Gorica bo do leta 2045 razvila vključujočo, povezano in medkulturno odprto skupnost, ki bo temeljila na kulturi sobivanja, učinkovitem komuniciranju, integraciji različnih skupin prebivalstva, jezikovni odprtosti ter sodelovanju v </w:t>
      </w:r>
      <w:proofErr w:type="spellStart"/>
      <w:r w:rsidRPr="29A8477B">
        <w:rPr>
          <w:rFonts w:ascii="Aptos" w:eastAsia="Aptos" w:hAnsi="Aptos" w:cs="Aptos"/>
          <w:b/>
          <w:bCs/>
        </w:rPr>
        <w:t>somestju</w:t>
      </w:r>
      <w:proofErr w:type="spellEnd"/>
      <w:r w:rsidRPr="29A8477B">
        <w:rPr>
          <w:rFonts w:ascii="Aptos" w:eastAsia="Aptos" w:hAnsi="Aptos" w:cs="Aptos"/>
          <w:b/>
          <w:bCs/>
        </w:rPr>
        <w:t>. Kultura je ključna dimenzija kakovosti bivanja in socialne kohezivnosti ter pomemben dejavnik razvoja slehernega posameznika ter skupnosti.</w:t>
      </w:r>
    </w:p>
    <w:p w14:paraId="699862E9" w14:textId="1E779C3F" w:rsidR="38AC46C8" w:rsidRDefault="3813167A" w:rsidP="38AC46C8">
      <w:pPr>
        <w:jc w:val="both"/>
        <w:rPr>
          <w:rFonts w:ascii="Aptos" w:eastAsia="Aptos" w:hAnsi="Aptos" w:cs="Aptos"/>
        </w:rPr>
      </w:pPr>
      <w:r w:rsidRPr="29A8477B">
        <w:rPr>
          <w:rFonts w:ascii="Aptos" w:eastAsia="Aptos" w:hAnsi="Aptos" w:cs="Aptos"/>
        </w:rPr>
        <w:t>Cilj se nanaša na družbeno povezanost prebivalcev</w:t>
      </w:r>
      <w:r w:rsidR="308383B5" w:rsidRPr="29A8477B">
        <w:rPr>
          <w:rFonts w:ascii="Aptos" w:eastAsia="Aptos" w:hAnsi="Aptos" w:cs="Aptos"/>
        </w:rPr>
        <w:t>, ki presega občinske meje.</w:t>
      </w:r>
      <w:r w:rsidRPr="29A8477B">
        <w:rPr>
          <w:rFonts w:ascii="Aptos" w:eastAsia="Aptos" w:hAnsi="Aptos" w:cs="Aptos"/>
        </w:rPr>
        <w:t xml:space="preserve"> </w:t>
      </w:r>
      <w:r w:rsidR="4B2CD76F" w:rsidRPr="29A8477B">
        <w:rPr>
          <w:rFonts w:ascii="Aptos" w:eastAsia="Aptos" w:hAnsi="Aptos" w:cs="Aptos"/>
        </w:rPr>
        <w:t>Občina</w:t>
      </w:r>
      <w:r w:rsidRPr="29A8477B">
        <w:rPr>
          <w:rFonts w:ascii="Aptos" w:eastAsia="Aptos" w:hAnsi="Aptos" w:cs="Aptos"/>
        </w:rPr>
        <w:t xml:space="preserve"> je prostor različnih generacij, kultur, jezikov, življenjskih slogov in izkušenj. Zato je pomembno, da občina </w:t>
      </w:r>
      <w:r w:rsidR="3933A96F" w:rsidRPr="29A8477B">
        <w:rPr>
          <w:rFonts w:ascii="Aptos" w:eastAsia="Aptos" w:hAnsi="Aptos" w:cs="Aptos"/>
        </w:rPr>
        <w:t>poudarja in nadgrajuje</w:t>
      </w:r>
      <w:r w:rsidRPr="29A8477B">
        <w:rPr>
          <w:rFonts w:ascii="Aptos" w:eastAsia="Aptos" w:hAnsi="Aptos" w:cs="Aptos"/>
        </w:rPr>
        <w:t xml:space="preserve"> kulturo dialoga, vključevanja, medsebojnega spoštovanja in sodelovanja. Ob tem </w:t>
      </w:r>
      <w:r w:rsidR="7F425AA0" w:rsidRPr="29A8477B">
        <w:rPr>
          <w:rFonts w:ascii="Aptos" w:eastAsia="Aptos" w:hAnsi="Aptos" w:cs="Aptos"/>
        </w:rPr>
        <w:t xml:space="preserve">se </w:t>
      </w:r>
      <w:r w:rsidRPr="29A8477B">
        <w:rPr>
          <w:rFonts w:ascii="Aptos" w:eastAsia="Aptos" w:hAnsi="Aptos" w:cs="Aptos"/>
        </w:rPr>
        <w:lastRenderedPageBreak/>
        <w:t xml:space="preserve">posebej ohranja slovenski jezik, slovensko kulturo in slovensko identiteto, ki so temelj lokalne in nacionalne pripadnosti. Čezmejna identiteta tega ne nadomešča, temveč dopolnjuje: življenje v </w:t>
      </w:r>
      <w:proofErr w:type="spellStart"/>
      <w:r w:rsidRPr="29A8477B">
        <w:rPr>
          <w:rFonts w:ascii="Aptos" w:eastAsia="Aptos" w:hAnsi="Aptos" w:cs="Aptos"/>
        </w:rPr>
        <w:t>somestju</w:t>
      </w:r>
      <w:proofErr w:type="spellEnd"/>
      <w:r w:rsidRPr="29A8477B">
        <w:rPr>
          <w:rFonts w:ascii="Aptos" w:eastAsia="Aptos" w:hAnsi="Aptos" w:cs="Aptos"/>
        </w:rPr>
        <w:t xml:space="preserve"> z Gorico zahteva odprtost, jezikovne kompetence in sposobnost vsakodnevnega sodelovanja prek </w:t>
      </w:r>
      <w:r w:rsidR="2B1641DC" w:rsidRPr="29A8477B">
        <w:rPr>
          <w:rFonts w:ascii="Aptos" w:eastAsia="Aptos" w:hAnsi="Aptos" w:cs="Aptos"/>
        </w:rPr>
        <w:t xml:space="preserve">nacionalne </w:t>
      </w:r>
      <w:r w:rsidRPr="29A8477B">
        <w:rPr>
          <w:rFonts w:ascii="Aptos" w:eastAsia="Aptos" w:hAnsi="Aptos" w:cs="Aptos"/>
        </w:rPr>
        <w:t xml:space="preserve">meje. </w:t>
      </w:r>
      <w:r w:rsidR="5313561B" w:rsidRPr="007C4D36">
        <w:rPr>
          <w:rFonts w:ascii="Aptos" w:eastAsia="Aptos" w:hAnsi="Aptos" w:cs="Aptos"/>
        </w:rPr>
        <w:t>Spodbuja se</w:t>
      </w:r>
      <w:r w:rsidRPr="007C4D36">
        <w:rPr>
          <w:rFonts w:ascii="Aptos" w:eastAsia="Aptos" w:hAnsi="Aptos" w:cs="Aptos"/>
        </w:rPr>
        <w:t xml:space="preserve"> kakovostna kulturna produkcija, usmerjena v uresničevanje cilja.</w:t>
      </w:r>
    </w:p>
    <w:p w14:paraId="7F184648" w14:textId="77777777" w:rsidR="002F07BA" w:rsidRPr="00C63B45" w:rsidRDefault="002F07BA" w:rsidP="38AC46C8">
      <w:pPr>
        <w:jc w:val="both"/>
        <w:rPr>
          <w:rFonts w:ascii="Aptos" w:eastAsia="Aptos" w:hAnsi="Aptos" w:cs="Aptos"/>
          <w:highlight w:val="yellow"/>
        </w:rPr>
      </w:pPr>
    </w:p>
    <w:tbl>
      <w:tblPr>
        <w:tblStyle w:val="Tabelamrea"/>
        <w:tblW w:w="0" w:type="auto"/>
        <w:tblLook w:val="04A0" w:firstRow="1" w:lastRow="0" w:firstColumn="1" w:lastColumn="0" w:noHBand="0" w:noVBand="1"/>
      </w:tblPr>
      <w:tblGrid>
        <w:gridCol w:w="3445"/>
        <w:gridCol w:w="3113"/>
        <w:gridCol w:w="3060"/>
      </w:tblGrid>
      <w:tr w:rsidR="29A8477B" w14:paraId="342A7724" w14:textId="77777777" w:rsidTr="00C63B45">
        <w:trPr>
          <w:trHeight w:val="300"/>
          <w:tblHeader/>
        </w:trPr>
        <w:tc>
          <w:tcPr>
            <w:tcW w:w="34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B6849F" w14:textId="11E27B63" w:rsidR="29A8477B" w:rsidRDefault="29A8477B" w:rsidP="007C4D36">
            <w:pPr>
              <w:jc w:val="center"/>
            </w:pPr>
            <w:r w:rsidRPr="29A8477B">
              <w:rPr>
                <w:rFonts w:ascii="Aptos" w:eastAsia="Aptos" w:hAnsi="Aptos" w:cs="Aptos"/>
              </w:rPr>
              <w:t>Strateški kazalnik</w:t>
            </w:r>
          </w:p>
        </w:tc>
        <w:tc>
          <w:tcPr>
            <w:tcW w:w="3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0B5499" w14:textId="366261D3" w:rsidR="29A8477B" w:rsidRDefault="29A8477B" w:rsidP="007C4D36">
            <w:pPr>
              <w:jc w:val="center"/>
            </w:pPr>
            <w:r w:rsidRPr="29A8477B">
              <w:rPr>
                <w:rFonts w:ascii="Aptos" w:eastAsia="Aptos" w:hAnsi="Aptos" w:cs="Aptos"/>
              </w:rPr>
              <w:t>Navezava na cilj</w:t>
            </w:r>
          </w:p>
        </w:tc>
        <w:tc>
          <w:tcPr>
            <w:tcW w:w="309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DD27D8" w14:textId="683E11B0" w:rsidR="29A8477B" w:rsidRDefault="29A8477B" w:rsidP="007C4D36">
            <w:pPr>
              <w:jc w:val="center"/>
            </w:pPr>
            <w:r w:rsidRPr="29A8477B">
              <w:rPr>
                <w:rFonts w:ascii="Aptos" w:eastAsia="Aptos" w:hAnsi="Aptos" w:cs="Aptos"/>
              </w:rPr>
              <w:t>Opis</w:t>
            </w:r>
          </w:p>
        </w:tc>
      </w:tr>
      <w:tr w:rsidR="29A8477B" w14:paraId="58763AB1" w14:textId="77777777" w:rsidTr="007C4D36">
        <w:trPr>
          <w:trHeight w:val="300"/>
        </w:trPr>
        <w:tc>
          <w:tcPr>
            <w:tcW w:w="34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1142C2" w14:textId="00749A18" w:rsidR="63942107" w:rsidRDefault="63942107" w:rsidP="007C4D36">
            <w:r w:rsidRPr="29A8477B">
              <w:rPr>
                <w:rFonts w:ascii="Aptos" w:eastAsia="Aptos" w:hAnsi="Aptos" w:cs="Aptos"/>
              </w:rPr>
              <w:t xml:space="preserve">Delež </w:t>
            </w:r>
            <w:r w:rsidR="29A8477B" w:rsidRPr="29A8477B">
              <w:rPr>
                <w:rFonts w:ascii="Aptos" w:eastAsia="Aptos" w:hAnsi="Aptos" w:cs="Aptos"/>
              </w:rPr>
              <w:t>prebivalcev</w:t>
            </w:r>
            <w:r w:rsidR="12DAA0D3" w:rsidRPr="29A8477B">
              <w:rPr>
                <w:rFonts w:ascii="Aptos" w:eastAsia="Aptos" w:hAnsi="Aptos" w:cs="Aptos"/>
              </w:rPr>
              <w:t>, zadovoljnih</w:t>
            </w:r>
            <w:r w:rsidR="29A8477B" w:rsidRPr="29A8477B">
              <w:rPr>
                <w:rFonts w:ascii="Aptos" w:eastAsia="Aptos" w:hAnsi="Aptos" w:cs="Aptos"/>
              </w:rPr>
              <w:t xml:space="preserve"> s kakovostjo življenja, vključenostjo </w:t>
            </w:r>
            <w:r w:rsidR="29EFFD21" w:rsidRPr="29A8477B">
              <w:rPr>
                <w:rFonts w:ascii="Aptos" w:eastAsia="Aptos" w:hAnsi="Aptos" w:cs="Aptos"/>
              </w:rPr>
              <w:t>in dostopnostjo javnih storitev</w:t>
            </w:r>
          </w:p>
        </w:tc>
        <w:tc>
          <w:tcPr>
            <w:tcW w:w="3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00BF319" w14:textId="5D9711DC" w:rsidR="29A8477B" w:rsidRDefault="29A8477B" w:rsidP="007C4D36">
            <w:r w:rsidRPr="29A8477B">
              <w:rPr>
                <w:rFonts w:ascii="Aptos" w:eastAsia="Aptos" w:hAnsi="Aptos" w:cs="Aptos"/>
              </w:rPr>
              <w:t>B1, B2</w:t>
            </w:r>
          </w:p>
        </w:tc>
        <w:tc>
          <w:tcPr>
            <w:tcW w:w="309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8D2FE6" w14:textId="51FC0213" w:rsidR="29A8477B" w:rsidRDefault="29A8477B" w:rsidP="007C4D36">
            <w:r w:rsidRPr="29A8477B">
              <w:rPr>
                <w:rFonts w:ascii="Aptos" w:eastAsia="Aptos" w:hAnsi="Aptos" w:cs="Aptos"/>
              </w:rPr>
              <w:t>Krovni anketni kazalnik zajame učinke, ki jih administrativni podatki težko pokažejo. Povezuje materialne in nematerialne vidike kakovosti življenja. Meri, ali se učinki storitev, stanovanjskih rešitev, mobilnosti, skupnosti in javnih programov odražajo v vsakdanji izkušnji prebivalcev.</w:t>
            </w:r>
          </w:p>
        </w:tc>
      </w:tr>
      <w:tr w:rsidR="29A8477B" w14:paraId="238B91AB" w14:textId="77777777" w:rsidTr="007C4D36">
        <w:trPr>
          <w:trHeight w:val="300"/>
        </w:trPr>
        <w:tc>
          <w:tcPr>
            <w:tcW w:w="349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C9F166C" w14:textId="408B8773" w:rsidR="29A8477B" w:rsidRDefault="65EA1910" w:rsidP="007C4D36">
            <w:pPr>
              <w:rPr>
                <w:rFonts w:ascii="Aptos" w:eastAsia="Aptos" w:hAnsi="Aptos" w:cs="Aptos"/>
              </w:rPr>
            </w:pPr>
            <w:r w:rsidRPr="00676765">
              <w:rPr>
                <w:rFonts w:ascii="Aptos" w:eastAsia="Aptos" w:hAnsi="Aptos" w:cs="Aptos"/>
              </w:rPr>
              <w:t>Število dostopnih stanovanjskih rešitev,</w:t>
            </w:r>
            <w:r w:rsidRPr="29A8477B">
              <w:rPr>
                <w:rFonts w:ascii="Aptos" w:eastAsia="Aptos" w:hAnsi="Aptos" w:cs="Aptos"/>
                <w:lang w:val="en-US"/>
              </w:rPr>
              <w:t xml:space="preserve"> </w:t>
            </w:r>
            <w:proofErr w:type="spellStart"/>
            <w:r w:rsidRPr="29A8477B">
              <w:rPr>
                <w:rFonts w:ascii="Aptos" w:eastAsia="Aptos" w:hAnsi="Aptos" w:cs="Aptos"/>
                <w:lang w:val="en-US"/>
              </w:rPr>
              <w:t>vzpostavljenih</w:t>
            </w:r>
            <w:proofErr w:type="spellEnd"/>
            <w:r w:rsidRPr="29A8477B">
              <w:rPr>
                <w:rFonts w:ascii="Aptos" w:eastAsia="Aptos" w:hAnsi="Aptos" w:cs="Aptos"/>
                <w:lang w:val="en-US"/>
              </w:rPr>
              <w:t xml:space="preserve"> </w:t>
            </w:r>
            <w:proofErr w:type="spellStart"/>
            <w:r w:rsidRPr="29A8477B">
              <w:rPr>
                <w:rFonts w:ascii="Aptos" w:eastAsia="Aptos" w:hAnsi="Aptos" w:cs="Aptos"/>
                <w:lang w:val="en-US"/>
              </w:rPr>
              <w:t>ali</w:t>
            </w:r>
            <w:proofErr w:type="spellEnd"/>
            <w:r w:rsidRPr="29A8477B">
              <w:rPr>
                <w:rFonts w:ascii="Aptos" w:eastAsia="Aptos" w:hAnsi="Aptos" w:cs="Aptos"/>
                <w:lang w:val="en-US"/>
              </w:rPr>
              <w:t xml:space="preserve"> </w:t>
            </w:r>
            <w:proofErr w:type="spellStart"/>
            <w:r w:rsidRPr="29A8477B">
              <w:rPr>
                <w:rFonts w:ascii="Aptos" w:eastAsia="Aptos" w:hAnsi="Aptos" w:cs="Aptos"/>
                <w:lang w:val="en-US"/>
              </w:rPr>
              <w:t>aktiviranih</w:t>
            </w:r>
            <w:proofErr w:type="spellEnd"/>
            <w:r w:rsidRPr="29A8477B">
              <w:rPr>
                <w:rFonts w:ascii="Aptos" w:eastAsia="Aptos" w:hAnsi="Aptos" w:cs="Aptos"/>
                <w:lang w:val="en-US"/>
              </w:rPr>
              <w:t xml:space="preserve"> s </w:t>
            </w:r>
            <w:proofErr w:type="spellStart"/>
            <w:r w:rsidRPr="29A8477B">
              <w:rPr>
                <w:rFonts w:ascii="Aptos" w:eastAsia="Aptos" w:hAnsi="Aptos" w:cs="Aptos"/>
                <w:lang w:val="en-US"/>
              </w:rPr>
              <w:t>sodelovanjem</w:t>
            </w:r>
            <w:proofErr w:type="spellEnd"/>
            <w:r w:rsidRPr="29A8477B">
              <w:rPr>
                <w:rFonts w:ascii="Aptos" w:eastAsia="Aptos" w:hAnsi="Aptos" w:cs="Aptos"/>
                <w:lang w:val="en-US"/>
              </w:rPr>
              <w:t xml:space="preserve"> MONG</w:t>
            </w:r>
          </w:p>
        </w:tc>
        <w:tc>
          <w:tcPr>
            <w:tcW w:w="316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97749C" w14:textId="57085D49" w:rsidR="29A8477B" w:rsidRDefault="29A8477B" w:rsidP="007C4D36">
            <w:r w:rsidRPr="29A8477B">
              <w:rPr>
                <w:rFonts w:ascii="Aptos" w:eastAsia="Aptos" w:hAnsi="Aptos" w:cs="Aptos"/>
              </w:rPr>
              <w:t>B1</w:t>
            </w:r>
          </w:p>
        </w:tc>
        <w:tc>
          <w:tcPr>
            <w:tcW w:w="3098"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C2ED00B" w14:textId="151BD0FE" w:rsidR="29A8477B" w:rsidRDefault="29A8477B" w:rsidP="007C4D36">
            <w:r w:rsidRPr="29A8477B">
              <w:rPr>
                <w:rFonts w:ascii="Aptos" w:eastAsia="Aptos" w:hAnsi="Aptos" w:cs="Aptos"/>
              </w:rPr>
              <w:t>Kazalnik prikazuje kako občina izboljšuje pogoje za bivanje mladih, družin, perspektivnih kadrov in ranljivih skupin. Izkazuje kakovost bivanja, socialno vključenost in možnost dolgoročnega ostajanja v občini.</w:t>
            </w:r>
          </w:p>
        </w:tc>
      </w:tr>
    </w:tbl>
    <w:p w14:paraId="7AB1A31E" w14:textId="098BF3F7" w:rsidR="001D03BD" w:rsidRDefault="3233782E" w:rsidP="004A1C14">
      <w:pPr>
        <w:pStyle w:val="Naslov2"/>
        <w:numPr>
          <w:ilvl w:val="1"/>
          <w:numId w:val="40"/>
        </w:numPr>
        <w:spacing w:before="240" w:after="120"/>
        <w:ind w:left="482" w:hanging="482"/>
      </w:pPr>
      <w:bookmarkStart w:id="54" w:name="_Toc1612054658"/>
      <w:bookmarkStart w:id="55" w:name="_Toc1006583183"/>
      <w:bookmarkStart w:id="56" w:name="_Toc239414908"/>
      <w:r>
        <w:t xml:space="preserve">C - </w:t>
      </w:r>
      <w:r w:rsidR="52DF0BCE">
        <w:t>MESTO PRILOŽNOSTI</w:t>
      </w:r>
      <w:bookmarkEnd w:id="54"/>
      <w:bookmarkEnd w:id="55"/>
      <w:bookmarkEnd w:id="56"/>
    </w:p>
    <w:p w14:paraId="6EC52AFE" w14:textId="6B27096E" w:rsidR="2FB77EE6" w:rsidRDefault="3DFB81ED" w:rsidP="29A8477B">
      <w:pPr>
        <w:spacing w:line="257" w:lineRule="auto"/>
        <w:jc w:val="both"/>
      </w:pPr>
      <w:r w:rsidRPr="1706C59B">
        <w:rPr>
          <w:rFonts w:ascii="Aptos" w:eastAsia="Aptos" w:hAnsi="Aptos" w:cs="Aptos"/>
        </w:rPr>
        <w:t xml:space="preserve">Nova Gorica ima zaradi svoje lege ob Gorici posebno razvojno vlogo. Skupaj </w:t>
      </w:r>
      <w:r w:rsidR="6825DBED" w:rsidRPr="1706C59B">
        <w:rPr>
          <w:rFonts w:ascii="Aptos" w:eastAsia="Aptos" w:hAnsi="Aptos" w:cs="Aptos"/>
        </w:rPr>
        <w:t xml:space="preserve">s Šempetrom </w:t>
      </w:r>
      <w:r w:rsidRPr="1706C59B">
        <w:rPr>
          <w:rFonts w:ascii="Aptos" w:eastAsia="Aptos" w:hAnsi="Aptos" w:cs="Aptos"/>
        </w:rPr>
        <w:t xml:space="preserve">tvorita čezmejno </w:t>
      </w:r>
      <w:proofErr w:type="spellStart"/>
      <w:r w:rsidRPr="1706C59B">
        <w:rPr>
          <w:rFonts w:ascii="Aptos" w:eastAsia="Aptos" w:hAnsi="Aptos" w:cs="Aptos"/>
        </w:rPr>
        <w:t>som</w:t>
      </w:r>
      <w:r w:rsidR="3984CBF3" w:rsidRPr="1706C59B">
        <w:rPr>
          <w:rFonts w:ascii="Aptos" w:eastAsia="Aptos" w:hAnsi="Aptos" w:cs="Aptos"/>
        </w:rPr>
        <w:t>e</w:t>
      </w:r>
      <w:r w:rsidRPr="1706C59B">
        <w:rPr>
          <w:rFonts w:ascii="Aptos" w:eastAsia="Aptos" w:hAnsi="Aptos" w:cs="Aptos"/>
        </w:rPr>
        <w:t>stje</w:t>
      </w:r>
      <w:proofErr w:type="spellEnd"/>
      <w:r w:rsidRPr="1706C59B">
        <w:rPr>
          <w:rFonts w:ascii="Aptos" w:eastAsia="Aptos" w:hAnsi="Aptos" w:cs="Aptos"/>
        </w:rPr>
        <w:t xml:space="preserve">, ki presega lokalni okvir in Novo Gorico postavlja v položaj urbanega središča regionalnega in mednarodnega pomena. </w:t>
      </w:r>
      <w:r w:rsidR="00DD37DA" w:rsidRPr="000E3ED6">
        <w:rPr>
          <w:rFonts w:ascii="Aptos" w:eastAsia="Aptos" w:hAnsi="Aptos" w:cs="Aptos"/>
          <w:highlight w:val="yellow"/>
        </w:rPr>
        <w:t>M</w:t>
      </w:r>
      <w:r w:rsidRPr="000E3ED6">
        <w:rPr>
          <w:rFonts w:ascii="Aptos" w:eastAsia="Aptos" w:hAnsi="Aptos" w:cs="Aptos"/>
          <w:highlight w:val="yellow"/>
        </w:rPr>
        <w:t>esto</w:t>
      </w:r>
      <w:r w:rsidR="00DD37DA" w:rsidRPr="000E3ED6">
        <w:rPr>
          <w:rFonts w:ascii="Aptos" w:eastAsia="Aptos" w:hAnsi="Aptos" w:cs="Aptos"/>
          <w:highlight w:val="yellow"/>
        </w:rPr>
        <w:t xml:space="preserve"> se</w:t>
      </w:r>
      <w:r w:rsidRPr="1706C59B">
        <w:rPr>
          <w:rFonts w:ascii="Aptos" w:eastAsia="Aptos" w:hAnsi="Aptos" w:cs="Aptos"/>
        </w:rPr>
        <w:t xml:space="preserve"> razvija kot zeleno, kakovostno, dostopno in </w:t>
      </w:r>
      <w:r w:rsidR="1AB062D2" w:rsidRPr="1706C59B">
        <w:rPr>
          <w:rFonts w:ascii="Aptos" w:eastAsia="Aptos" w:hAnsi="Aptos" w:cs="Aptos"/>
        </w:rPr>
        <w:t xml:space="preserve">prepoznavno mesto priložnosti, obenem pa krepi svojo upravno-storitveno, kulturno, gospodarsko in izobraževalno vlogo za širše gravitacijsko zaledje </w:t>
      </w:r>
      <w:r w:rsidR="76829DDE" w:rsidRPr="1706C59B">
        <w:rPr>
          <w:rFonts w:ascii="Aptos" w:eastAsia="Aptos" w:hAnsi="Aptos" w:cs="Aptos"/>
        </w:rPr>
        <w:t>S</w:t>
      </w:r>
      <w:r w:rsidR="1AB062D2" w:rsidRPr="1706C59B">
        <w:rPr>
          <w:rFonts w:ascii="Aptos" w:eastAsia="Aptos" w:hAnsi="Aptos" w:cs="Aptos"/>
        </w:rPr>
        <w:t>everne Primorske</w:t>
      </w:r>
      <w:r w:rsidR="63804158" w:rsidRPr="1706C59B">
        <w:rPr>
          <w:rFonts w:ascii="Aptos" w:eastAsia="Aptos" w:hAnsi="Aptos" w:cs="Aptos"/>
        </w:rPr>
        <w:t xml:space="preserve"> (Goriške) razvojne regije</w:t>
      </w:r>
      <w:r w:rsidR="1AB062D2" w:rsidRPr="1706C59B">
        <w:rPr>
          <w:rFonts w:ascii="Aptos" w:eastAsia="Aptos" w:hAnsi="Aptos" w:cs="Aptos"/>
        </w:rPr>
        <w:t xml:space="preserve">. V čezmejnem urbanem območju Nove Gorice in Gorice je pri tem pomembno zagotavljati enakovredno in konkurenčno vlogo Nove Gorice ter njenih ključnih funkcij. Skupaj s sosednjimi občinami, Ronkami, Tržičem in Ajdovščino </w:t>
      </w:r>
      <w:r w:rsidR="2C42FB2C" w:rsidRPr="1706C59B">
        <w:rPr>
          <w:rFonts w:ascii="Aptos" w:eastAsia="Aptos" w:hAnsi="Aptos" w:cs="Aptos"/>
        </w:rPr>
        <w:t>predstavlja</w:t>
      </w:r>
      <w:r w:rsidR="1AB062D2" w:rsidRPr="1706C59B">
        <w:rPr>
          <w:rFonts w:ascii="Aptos" w:eastAsia="Aptos" w:hAnsi="Aptos" w:cs="Aptos"/>
        </w:rPr>
        <w:t xml:space="preserve"> čezmejno </w:t>
      </w:r>
      <w:r w:rsidR="426C3EC3" w:rsidRPr="1706C59B">
        <w:rPr>
          <w:rFonts w:ascii="Aptos" w:eastAsia="Aptos" w:hAnsi="Aptos" w:cs="Aptos"/>
        </w:rPr>
        <w:t xml:space="preserve">širše </w:t>
      </w:r>
      <w:r w:rsidR="1AB062D2" w:rsidRPr="1706C59B">
        <w:rPr>
          <w:rFonts w:ascii="Aptos" w:eastAsia="Aptos" w:hAnsi="Aptos" w:cs="Aptos"/>
        </w:rPr>
        <w:t>mestno območje s približno 150.000 prebivalci.</w:t>
      </w:r>
    </w:p>
    <w:p w14:paraId="618EFFD3" w14:textId="4FAF397F" w:rsidR="2FB77EE6" w:rsidRDefault="2FB77EE6" w:rsidP="29A8477B">
      <w:pPr>
        <w:spacing w:line="257" w:lineRule="auto"/>
        <w:jc w:val="both"/>
      </w:pPr>
      <w:r w:rsidRPr="29A8477B">
        <w:rPr>
          <w:rFonts w:ascii="Aptos" w:eastAsia="Aptos" w:hAnsi="Aptos" w:cs="Aptos"/>
        </w:rPr>
        <w:t xml:space="preserve">Nova Gorica je “mesto v parku”  z izjemnim, posnemanja vrednim morfološkim in tipološkim vzorcem nadaljevanja izgradnje mesta ter urejanja nepozidanih površin. </w:t>
      </w:r>
      <w:r w:rsidRPr="29A8477B">
        <w:rPr>
          <w:rFonts w:ascii="Aptos" w:eastAsia="Aptos" w:hAnsi="Aptos" w:cs="Aptos"/>
          <w:b/>
          <w:bCs/>
        </w:rPr>
        <w:t xml:space="preserve">Urejene obsežne javne površine </w:t>
      </w:r>
      <w:r w:rsidRPr="29A8477B">
        <w:rPr>
          <w:rFonts w:ascii="Aptos" w:eastAsia="Aptos" w:hAnsi="Aptos" w:cs="Aptos"/>
        </w:rPr>
        <w:t xml:space="preserve">omogočajo prebivalcem in obiskovalcem dostop do zelenih, varnih in urejenih prostorov za druženje in ustvarjanje. Uresničuje se vizija mesta brez avtomobilov, s kvalitetnim ter udobnim javnim potniškim prometom, ter površinami za vse oblike mobilnosti in rekreacijo. </w:t>
      </w:r>
    </w:p>
    <w:p w14:paraId="516334D6" w14:textId="3E770807" w:rsidR="2FB77EE6" w:rsidRDefault="2FB77EE6" w:rsidP="29A8477B">
      <w:pPr>
        <w:spacing w:line="257" w:lineRule="auto"/>
        <w:jc w:val="both"/>
      </w:pPr>
      <w:r w:rsidRPr="1706C59B">
        <w:rPr>
          <w:rFonts w:ascii="Aptos" w:eastAsia="Aptos" w:hAnsi="Aptos" w:cs="Aptos"/>
        </w:rPr>
        <w:t xml:space="preserve">Atraktivnost bivanja zagotavljajo zdravo okolje, geografske danosti, čezmejne priložnosti, ipd. </w:t>
      </w:r>
      <w:r w:rsidRPr="1706C59B">
        <w:rPr>
          <w:rFonts w:ascii="Aptos" w:eastAsia="Aptos" w:hAnsi="Aptos" w:cs="Aptos"/>
          <w:b/>
          <w:bCs/>
        </w:rPr>
        <w:t xml:space="preserve">Družbene storitve </w:t>
      </w:r>
      <w:r w:rsidRPr="1706C59B">
        <w:rPr>
          <w:rFonts w:ascii="Aptos" w:eastAsia="Aptos" w:hAnsi="Aptos" w:cs="Aptos"/>
        </w:rPr>
        <w:t>ter priložnosti</w:t>
      </w:r>
      <w:r w:rsidR="7F667036" w:rsidRPr="1706C59B">
        <w:rPr>
          <w:rFonts w:ascii="Aptos" w:eastAsia="Aptos" w:hAnsi="Aptos" w:cs="Aptos"/>
        </w:rPr>
        <w:t>,</w:t>
      </w:r>
      <w:r w:rsidRPr="1706C59B">
        <w:rPr>
          <w:rFonts w:ascii="Aptos" w:eastAsia="Aptos" w:hAnsi="Aptos" w:cs="Aptos"/>
        </w:rPr>
        <w:t xml:space="preserve"> ki so prebivalcem v čezmejnem </w:t>
      </w:r>
      <w:proofErr w:type="spellStart"/>
      <w:r w:rsidRPr="1706C59B">
        <w:rPr>
          <w:rFonts w:ascii="Aptos" w:eastAsia="Aptos" w:hAnsi="Aptos" w:cs="Aptos"/>
        </w:rPr>
        <w:t>somestju</w:t>
      </w:r>
      <w:proofErr w:type="spellEnd"/>
      <w:r w:rsidRPr="1706C59B">
        <w:rPr>
          <w:rFonts w:ascii="Aptos" w:eastAsia="Aptos" w:hAnsi="Aptos" w:cs="Aptos"/>
        </w:rPr>
        <w:t xml:space="preserve"> zagotovljene, </w:t>
      </w:r>
      <w:r w:rsidRPr="1706C59B">
        <w:rPr>
          <w:rFonts w:ascii="Aptos" w:eastAsia="Aptos" w:hAnsi="Aptos" w:cs="Aptos"/>
          <w:b/>
          <w:bCs/>
        </w:rPr>
        <w:t xml:space="preserve">v svetu nimajo </w:t>
      </w:r>
      <w:r w:rsidRPr="1706C59B">
        <w:rPr>
          <w:rFonts w:ascii="Aptos" w:eastAsia="Aptos" w:hAnsi="Aptos" w:cs="Aptos"/>
          <w:b/>
          <w:bCs/>
        </w:rPr>
        <w:lastRenderedPageBreak/>
        <w:t xml:space="preserve">primerjave </w:t>
      </w:r>
      <w:r w:rsidRPr="1706C59B">
        <w:rPr>
          <w:rFonts w:ascii="Aptos" w:eastAsia="Aptos" w:hAnsi="Aptos" w:cs="Aptos"/>
        </w:rPr>
        <w:t>(čezmejna družbena infrastruktura, univerza, zagotavljanje zdravstvenih storitev, sobivanje različnih kultur, družbeno življenje,…)</w:t>
      </w:r>
      <w:r w:rsidR="5FB4E4DC" w:rsidRPr="1706C59B">
        <w:rPr>
          <w:rFonts w:ascii="Aptos" w:eastAsia="Aptos" w:hAnsi="Aptos" w:cs="Aptos"/>
        </w:rPr>
        <w:t>.</w:t>
      </w:r>
      <w:r w:rsidRPr="1706C59B">
        <w:rPr>
          <w:rFonts w:ascii="Aptos" w:eastAsia="Aptos" w:hAnsi="Aptos" w:cs="Aptos"/>
        </w:rPr>
        <w:t xml:space="preserve"> </w:t>
      </w:r>
    </w:p>
    <w:p w14:paraId="11ACD335" w14:textId="1E029425" w:rsidR="00841FED" w:rsidRDefault="366939C0" w:rsidP="29A8477B">
      <w:pPr>
        <w:spacing w:line="257" w:lineRule="auto"/>
        <w:jc w:val="both"/>
      </w:pPr>
      <w:r w:rsidRPr="1F30B503">
        <w:rPr>
          <w:rFonts w:ascii="Aptos" w:eastAsia="Aptos" w:hAnsi="Aptos" w:cs="Aptos"/>
        </w:rPr>
        <w:t xml:space="preserve">Do leta 2045 </w:t>
      </w:r>
      <w:r w:rsidR="491EE711" w:rsidRPr="1F30B503">
        <w:rPr>
          <w:rFonts w:ascii="Aptos" w:eastAsia="Aptos" w:hAnsi="Aptos" w:cs="Aptos"/>
        </w:rPr>
        <w:t>se zasleduje cilj</w:t>
      </w:r>
      <w:r w:rsidRPr="1F30B503">
        <w:rPr>
          <w:rFonts w:ascii="Aptos" w:eastAsia="Aptos" w:hAnsi="Aptos" w:cs="Aptos"/>
        </w:rPr>
        <w:t xml:space="preserve"> posta</w:t>
      </w:r>
      <w:r w:rsidR="58ACE116" w:rsidRPr="1F30B503">
        <w:rPr>
          <w:rFonts w:ascii="Aptos" w:eastAsia="Aptos" w:hAnsi="Aptos" w:cs="Aptos"/>
        </w:rPr>
        <w:t>ti</w:t>
      </w:r>
      <w:r w:rsidRPr="1F30B503">
        <w:rPr>
          <w:rFonts w:ascii="Aptos" w:eastAsia="Aptos" w:hAnsi="Aptos" w:cs="Aptos"/>
        </w:rPr>
        <w:t xml:space="preserve"> </w:t>
      </w:r>
      <w:r w:rsidRPr="1F30B503">
        <w:rPr>
          <w:rFonts w:ascii="Aptos" w:eastAsia="Aptos" w:hAnsi="Aptos" w:cs="Aptos"/>
          <w:b/>
          <w:bCs/>
        </w:rPr>
        <w:t>energetsko vzdržna družba</w:t>
      </w:r>
      <w:r w:rsidRPr="1F30B503">
        <w:rPr>
          <w:rFonts w:ascii="Aptos" w:eastAsia="Aptos" w:hAnsi="Aptos" w:cs="Aptos"/>
        </w:rPr>
        <w:t>, ki temelji na zmanjševanju porabe energetskih virov, ki bodo temeljili na lokalno obnovljivih virih. Skrb</w:t>
      </w:r>
      <w:r w:rsidR="39976BB9" w:rsidRPr="1F30B503">
        <w:rPr>
          <w:rFonts w:ascii="Aptos" w:eastAsia="Aptos" w:hAnsi="Aptos" w:cs="Aptos"/>
        </w:rPr>
        <w:t>i</w:t>
      </w:r>
      <w:r w:rsidRPr="1F30B503">
        <w:rPr>
          <w:rFonts w:ascii="Aptos" w:eastAsia="Aptos" w:hAnsi="Aptos" w:cs="Aptos"/>
        </w:rPr>
        <w:t xml:space="preserve"> </w:t>
      </w:r>
      <w:r w:rsidR="56332C0B" w:rsidRPr="1F30B503">
        <w:rPr>
          <w:rFonts w:ascii="Aptos" w:eastAsia="Aptos" w:hAnsi="Aptos" w:cs="Aptos"/>
        </w:rPr>
        <w:t>se</w:t>
      </w:r>
      <w:r w:rsidRPr="1F30B503">
        <w:rPr>
          <w:rFonts w:ascii="Aptos" w:eastAsia="Aptos" w:hAnsi="Aptos" w:cs="Aptos"/>
        </w:rPr>
        <w:t xml:space="preserve"> za ohranjanje narave in odprtega zelenega prostora v mestu dostopnega za vse. </w:t>
      </w:r>
      <w:r w:rsidRPr="1F30B503">
        <w:rPr>
          <w:rFonts w:ascii="Arial" w:eastAsia="Arial" w:hAnsi="Arial" w:cs="Arial"/>
        </w:rPr>
        <w:t xml:space="preserve"> </w:t>
      </w:r>
    </w:p>
    <w:p w14:paraId="26254A6B" w14:textId="7E39FD06" w:rsidR="2FB77EE6" w:rsidRDefault="2FB77EE6" w:rsidP="29A8477B">
      <w:pPr>
        <w:spacing w:line="257" w:lineRule="auto"/>
        <w:jc w:val="both"/>
      </w:pPr>
      <w:r w:rsidRPr="29A8477B">
        <w:rPr>
          <w:rFonts w:ascii="Aptos" w:eastAsia="Aptos" w:hAnsi="Aptos" w:cs="Aptos"/>
        </w:rPr>
        <w:t xml:space="preserve">Poselitev temelji na </w:t>
      </w:r>
      <w:r w:rsidRPr="29A8477B">
        <w:rPr>
          <w:rFonts w:ascii="Aptos" w:eastAsia="Aptos" w:hAnsi="Aptos" w:cs="Aptos"/>
          <w:b/>
          <w:bCs/>
        </w:rPr>
        <w:t>racionalni rabi prostora</w:t>
      </w:r>
      <w:r w:rsidRPr="29A8477B">
        <w:rPr>
          <w:rFonts w:ascii="Aptos" w:eastAsia="Aptos" w:hAnsi="Aptos" w:cs="Aptos"/>
        </w:rPr>
        <w:t xml:space="preserve">, pristop pa omogoča zagotavljanje temeljne človekove </w:t>
      </w:r>
      <w:r w:rsidRPr="29A8477B">
        <w:rPr>
          <w:rFonts w:ascii="Aptos" w:eastAsia="Aptos" w:hAnsi="Aptos" w:cs="Aptos"/>
          <w:b/>
          <w:bCs/>
        </w:rPr>
        <w:t>pravice do doma</w:t>
      </w:r>
      <w:r w:rsidRPr="29A8477B">
        <w:rPr>
          <w:rFonts w:ascii="Aptos" w:eastAsia="Aptos" w:hAnsi="Aptos" w:cs="Aptos"/>
        </w:rPr>
        <w:t xml:space="preserve">. Zagotavlja se učinkovita in dostopna komunalna infrastruktura. </w:t>
      </w:r>
    </w:p>
    <w:p w14:paraId="338A9FD6" w14:textId="2DF9A78A" w:rsidR="2FB77EE6" w:rsidRDefault="6B412261" w:rsidP="23C3E973">
      <w:pPr>
        <w:jc w:val="both"/>
        <w:rPr>
          <w:rFonts w:ascii="Aptos" w:eastAsia="Aptos" w:hAnsi="Aptos" w:cs="Aptos"/>
        </w:rPr>
      </w:pPr>
      <w:r w:rsidRPr="1F30B503">
        <w:rPr>
          <w:rFonts w:ascii="Aptos" w:eastAsia="Aptos" w:hAnsi="Aptos" w:cs="Aptos"/>
        </w:rPr>
        <w:t xml:space="preserve">Z uresničevanjem ciljev iz stebra C se neposredno naslavlja izzive </w:t>
      </w:r>
      <w:r w:rsidR="26294059" w:rsidRPr="1F30B503">
        <w:rPr>
          <w:rFonts w:ascii="Aptos" w:eastAsia="Aptos" w:hAnsi="Aptos" w:cs="Aptos"/>
        </w:rPr>
        <w:t xml:space="preserve">poglavij </w:t>
      </w:r>
      <w:r w:rsidR="396DB1E8" w:rsidRPr="1F30B503">
        <w:rPr>
          <w:rFonts w:ascii="Aptos" w:eastAsia="Aptos" w:hAnsi="Aptos" w:cs="Aptos"/>
        </w:rPr>
        <w:t>4</w:t>
      </w:r>
      <w:r w:rsidRPr="1F30B503">
        <w:rPr>
          <w:rFonts w:ascii="Aptos" w:eastAsia="Aptos" w:hAnsi="Aptos" w:cs="Aptos"/>
        </w:rPr>
        <w:t xml:space="preserve">.2 in </w:t>
      </w:r>
      <w:r w:rsidR="396DB1E8" w:rsidRPr="1F30B503">
        <w:rPr>
          <w:rFonts w:ascii="Aptos" w:eastAsia="Aptos" w:hAnsi="Aptos" w:cs="Aptos"/>
        </w:rPr>
        <w:t>4</w:t>
      </w:r>
      <w:r w:rsidRPr="1F30B503">
        <w:rPr>
          <w:rFonts w:ascii="Aptos" w:eastAsia="Aptos" w:hAnsi="Aptos" w:cs="Aptos"/>
        </w:rPr>
        <w:t xml:space="preserve">.4, posredno pa izzive </w:t>
      </w:r>
      <w:r w:rsidR="2E0EB34F" w:rsidRPr="1F30B503">
        <w:rPr>
          <w:rFonts w:ascii="Aptos" w:eastAsia="Aptos" w:hAnsi="Aptos" w:cs="Aptos"/>
        </w:rPr>
        <w:t xml:space="preserve">poglavij </w:t>
      </w:r>
      <w:r w:rsidR="396DB1E8" w:rsidRPr="1F30B503">
        <w:rPr>
          <w:rFonts w:ascii="Aptos" w:eastAsia="Aptos" w:hAnsi="Aptos" w:cs="Aptos"/>
        </w:rPr>
        <w:t>4</w:t>
      </w:r>
      <w:r w:rsidRPr="1F30B503">
        <w:rPr>
          <w:rFonts w:ascii="Aptos" w:eastAsia="Aptos" w:hAnsi="Aptos" w:cs="Aptos"/>
        </w:rPr>
        <w:t xml:space="preserve">.1, </w:t>
      </w:r>
      <w:r w:rsidR="396DB1E8" w:rsidRPr="1F30B503">
        <w:rPr>
          <w:rFonts w:ascii="Aptos" w:eastAsia="Aptos" w:hAnsi="Aptos" w:cs="Aptos"/>
        </w:rPr>
        <w:t>4</w:t>
      </w:r>
      <w:r w:rsidRPr="1F30B503">
        <w:rPr>
          <w:rFonts w:ascii="Aptos" w:eastAsia="Aptos" w:hAnsi="Aptos" w:cs="Aptos"/>
        </w:rPr>
        <w:t xml:space="preserve">.5 in </w:t>
      </w:r>
      <w:r w:rsidR="396DB1E8" w:rsidRPr="1F30B503">
        <w:rPr>
          <w:rFonts w:ascii="Aptos" w:eastAsia="Aptos" w:hAnsi="Aptos" w:cs="Aptos"/>
        </w:rPr>
        <w:t>4</w:t>
      </w:r>
      <w:r w:rsidRPr="1F30B503">
        <w:rPr>
          <w:rFonts w:ascii="Aptos" w:eastAsia="Aptos" w:hAnsi="Aptos" w:cs="Aptos"/>
        </w:rPr>
        <w:t>.6</w:t>
      </w:r>
    </w:p>
    <w:p w14:paraId="407D5A8E" w14:textId="7FEFC50E" w:rsidR="2BBAFEEC" w:rsidRDefault="6857A7C4" w:rsidP="015A248B">
      <w:pPr>
        <w:jc w:val="both"/>
      </w:pPr>
      <w:r w:rsidRPr="29A8477B">
        <w:rPr>
          <w:b/>
          <w:bCs/>
        </w:rPr>
        <w:t>Cilj C1: Zeleno, zdravo in kakovostno urbano mesto</w:t>
      </w:r>
    </w:p>
    <w:p w14:paraId="2549FD96" w14:textId="7D2D6AA3" w:rsidR="2C5193BC" w:rsidRDefault="2C5193BC" w:rsidP="29A8477B">
      <w:pPr>
        <w:jc w:val="both"/>
      </w:pPr>
      <w:r w:rsidRPr="29A8477B">
        <w:rPr>
          <w:b/>
          <w:bCs/>
        </w:rPr>
        <w:t>Nova Gorica bo do leta 2045 zeleno, zdravo in kakovostno mesto, ki bo temeljilo na kakovostno urejenem javnem prostoru, dostopnih stanovanjskih rešitvah, trajnostni mobilnosti, energetsko učinkovitih in podnebno odpornih sistemih ter na premišljenem razvoju ključnih mestnih funkcij, ki omogočajo visoko kakovost bivanja za vse generacije.</w:t>
      </w:r>
    </w:p>
    <w:p w14:paraId="004FF81F" w14:textId="0D274DAC" w:rsidR="597C6DF9" w:rsidRDefault="2C5193BC" w:rsidP="015A248B">
      <w:pPr>
        <w:jc w:val="both"/>
      </w:pPr>
      <w:r>
        <w:t>Cilj poudarja, da mora Nova Gorica svojo prihodnjo privlačnost graditi na kakovosti urbanega prostora. Poudarek je na tem, da se prostorski razvoj ne meri samo po novih gradbenih posegih, temveč po tem, kako izboljšuje vsakdanje življenje prebivalcev. To vključuje urejene javne in zelene površine, dostopna stanovanja, racionalno rabo prostora, kakovosten javni potniški promet, varne pogoje za hojo in kolesarjenje, učinkovito komunalno infrastrukturo ter prehod v energetsko vzdržno in podnebno odporno mesto. Namen cilja je ohraniti najboljše značilnosti Nove Gorice kot mesta v parku in jih nadgraditi v sodobno urbano okolje za življenje, kakovostno delo, študij in prosti čas.</w:t>
      </w:r>
    </w:p>
    <w:p w14:paraId="24C59320" w14:textId="36C06297" w:rsidR="597C6DF9" w:rsidRDefault="1B0CA291" w:rsidP="015A248B">
      <w:pPr>
        <w:jc w:val="both"/>
      </w:pPr>
      <w:r w:rsidRPr="29A8477B">
        <w:rPr>
          <w:rFonts w:ascii="Aptos" w:eastAsia="Aptos" w:hAnsi="Aptos" w:cs="Aptos"/>
          <w:b/>
          <w:bCs/>
        </w:rPr>
        <w:t>Cilj C2: Aktivno, povezano in prepoznavno mesto priložnosti</w:t>
      </w:r>
    </w:p>
    <w:p w14:paraId="5D7E91B0" w14:textId="73FEAFFF" w:rsidR="010F5FEA" w:rsidRDefault="010F5FEA" w:rsidP="29A8477B">
      <w:pPr>
        <w:jc w:val="both"/>
      </w:pPr>
      <w:r w:rsidRPr="29A8477B">
        <w:rPr>
          <w:rFonts w:ascii="Aptos" w:eastAsia="Aptos" w:hAnsi="Aptos" w:cs="Aptos"/>
          <w:b/>
          <w:bCs/>
        </w:rPr>
        <w:t xml:space="preserve">Nova Gorica bo do leta 2045 </w:t>
      </w:r>
      <w:r w:rsidR="664137FC" w:rsidRPr="29A8477B">
        <w:rPr>
          <w:rFonts w:ascii="Aptos" w:eastAsia="Aptos" w:hAnsi="Aptos" w:cs="Aptos"/>
          <w:b/>
          <w:bCs/>
        </w:rPr>
        <w:t>postala</w:t>
      </w:r>
      <w:r w:rsidRPr="29A8477B">
        <w:rPr>
          <w:rFonts w:ascii="Aptos" w:eastAsia="Aptos" w:hAnsi="Aptos" w:cs="Aptos"/>
          <w:b/>
          <w:bCs/>
        </w:rPr>
        <w:t xml:space="preserve"> aktivno, povezano in mednarodno prepoznavno mesto priložnosti, ki bo s športom, rekreacijo, kakovostnim prostim časom, čezmejnim povezovanjem ter identiteto prostora miru in dialoga krepilo kakovost življenja, družbeno vitalnost in prepoznavnost mesta v širšem evropskem prostoru.</w:t>
      </w:r>
    </w:p>
    <w:p w14:paraId="4BC49090" w14:textId="384CA7FE" w:rsidR="572C16D1" w:rsidRDefault="5669154A" w:rsidP="1F30B503">
      <w:pPr>
        <w:spacing w:after="0"/>
      </w:pPr>
      <w:r>
        <w:t xml:space="preserve">Cilj poudarja krepitev identitete odprtega mesta, prostora miru, dialoga in sodelovanja ter nadgrajuje razvojni zagon, ki ga je prinesla Evropska prestolnica kulture 2025. Čezmejna družbena infrastruktura, univerza, zagotavljanje zdravstvenih storitev, sobivanje različnih kultur, družbeno življenje, izobraževalne priložnosti ter možnost zaposlitve v </w:t>
      </w:r>
      <w:r w:rsidR="58FA688C">
        <w:t>perspektivnih in inovativnih</w:t>
      </w:r>
      <w:r>
        <w:t xml:space="preserve"> panogah daje mestu izjemno prepoznavnost, svojim prebivalcem pa nešteto priložnosti za kakovostno bivanje, delo ter vzgojo prihodnjih rodov.</w:t>
      </w:r>
      <w:r w:rsidR="70BC9F72">
        <w:t xml:space="preserve"> Zagotavlja se učinkovita in dostopna komunalna infrastruktura.</w:t>
      </w:r>
    </w:p>
    <w:p w14:paraId="27BDD624" w14:textId="64CC6EE5" w:rsidR="015A248B" w:rsidRDefault="015A248B" w:rsidP="1F30B503">
      <w:pPr>
        <w:jc w:val="both"/>
      </w:pPr>
    </w:p>
    <w:tbl>
      <w:tblPr>
        <w:tblStyle w:val="Tabelamrea"/>
        <w:tblW w:w="0" w:type="auto"/>
        <w:tblLook w:val="04A0" w:firstRow="1" w:lastRow="0" w:firstColumn="1" w:lastColumn="0" w:noHBand="0" w:noVBand="1"/>
      </w:tblPr>
      <w:tblGrid>
        <w:gridCol w:w="3207"/>
        <w:gridCol w:w="3202"/>
        <w:gridCol w:w="3209"/>
      </w:tblGrid>
      <w:tr w:rsidR="29A8477B" w14:paraId="14C8CC5F" w14:textId="77777777" w:rsidTr="00C63B45">
        <w:trPr>
          <w:trHeight w:val="300"/>
          <w:tblHeader/>
        </w:trPr>
        <w:tc>
          <w:tcPr>
            <w:tcW w:w="3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C539487" w14:textId="35B292D1" w:rsidR="29A8477B" w:rsidRDefault="29A8477B" w:rsidP="29A8477B">
            <w:pPr>
              <w:jc w:val="center"/>
            </w:pPr>
            <w:r w:rsidRPr="29A8477B">
              <w:rPr>
                <w:rFonts w:ascii="Aptos" w:eastAsia="Aptos" w:hAnsi="Aptos" w:cs="Aptos"/>
              </w:rPr>
              <w:t>Strateški kazalnik</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1BBDF0" w14:textId="4D87CA3E" w:rsidR="29A8477B" w:rsidRDefault="29A8477B" w:rsidP="29A8477B">
            <w:pPr>
              <w:jc w:val="center"/>
            </w:pPr>
            <w:r w:rsidRPr="29A8477B">
              <w:rPr>
                <w:rFonts w:ascii="Aptos" w:eastAsia="Aptos" w:hAnsi="Aptos" w:cs="Aptos"/>
              </w:rPr>
              <w:t>Navezava na cilj</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9707BA" w14:textId="62139046" w:rsidR="29A8477B" w:rsidRDefault="29A8477B" w:rsidP="29A8477B">
            <w:pPr>
              <w:jc w:val="center"/>
            </w:pPr>
            <w:r w:rsidRPr="29A8477B">
              <w:rPr>
                <w:rFonts w:ascii="Aptos" w:eastAsia="Aptos" w:hAnsi="Aptos" w:cs="Aptos"/>
              </w:rPr>
              <w:t>Opis</w:t>
            </w:r>
          </w:p>
        </w:tc>
      </w:tr>
      <w:tr w:rsidR="29A8477B" w14:paraId="37C94B8C" w14:textId="77777777" w:rsidTr="29A8477B">
        <w:trPr>
          <w:trHeight w:val="300"/>
        </w:trPr>
        <w:tc>
          <w:tcPr>
            <w:tcW w:w="3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C69644" w14:textId="1D0E42AD" w:rsidR="29A8477B" w:rsidRDefault="29A8477B" w:rsidP="29A8477B">
            <w:r w:rsidRPr="29A8477B">
              <w:rPr>
                <w:rFonts w:ascii="Aptos" w:eastAsia="Aptos" w:hAnsi="Aptos" w:cs="Aptos"/>
              </w:rPr>
              <w:t>Površina zelenih, senčenih, vodno prepustnih in kakovostno urejenih javnih površin</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4383346" w14:textId="463DDA7B" w:rsidR="29A8477B" w:rsidRDefault="29A8477B" w:rsidP="29A8477B">
            <w:r w:rsidRPr="29A8477B">
              <w:rPr>
                <w:rFonts w:ascii="Aptos" w:eastAsia="Aptos" w:hAnsi="Aptos" w:cs="Aptos"/>
              </w:rPr>
              <w:t>C1</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60FF71" w14:textId="39E58DFD" w:rsidR="29A8477B" w:rsidRDefault="29A8477B" w:rsidP="29A8477B">
            <w:r w:rsidRPr="29A8477B">
              <w:rPr>
                <w:rFonts w:ascii="Aptos" w:eastAsia="Aptos" w:hAnsi="Aptos" w:cs="Aptos"/>
              </w:rPr>
              <w:t xml:space="preserve">Kazalnik prikazuje, ali se mesto razvija kot zeleno, zdravo in podnebno odpornejše urbano okolje, ter posledično fizično izboljšuje kot prostor srečevanja, bivanja, rekreacije in javnega življenja. </w:t>
            </w:r>
          </w:p>
        </w:tc>
      </w:tr>
      <w:tr w:rsidR="29A8477B" w14:paraId="73B1D0F4" w14:textId="77777777" w:rsidTr="29A8477B">
        <w:trPr>
          <w:trHeight w:val="300"/>
        </w:trPr>
        <w:tc>
          <w:tcPr>
            <w:tcW w:w="3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8513BC" w14:textId="739EFA8F" w:rsidR="29A8477B" w:rsidRPr="00C039B0" w:rsidRDefault="1B7752D9" w:rsidP="29A8477B">
            <w:pPr>
              <w:rPr>
                <w:rFonts w:ascii="Aptos" w:eastAsia="Aptos" w:hAnsi="Aptos" w:cs="Aptos"/>
              </w:rPr>
            </w:pPr>
            <w:r w:rsidRPr="00C039B0">
              <w:rPr>
                <w:rFonts w:ascii="Aptos" w:eastAsia="Aptos" w:hAnsi="Aptos" w:cs="Aptos"/>
              </w:rPr>
              <w:lastRenderedPageBreak/>
              <w:t>Delež poti, opravljenih peš, s kolesom in javnim prevozom</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1A01518" w14:textId="4DF37700" w:rsidR="29A8477B" w:rsidRPr="00C039B0" w:rsidRDefault="29A8477B" w:rsidP="29A8477B">
            <w:r w:rsidRPr="00C039B0">
              <w:rPr>
                <w:rFonts w:ascii="Aptos" w:eastAsia="Aptos" w:hAnsi="Aptos" w:cs="Aptos"/>
              </w:rPr>
              <w:t>C1</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A3BF246" w14:textId="7E5F6BAE" w:rsidR="29A8477B" w:rsidRPr="00C039B0" w:rsidRDefault="58895C52" w:rsidP="29A8477B">
            <w:pPr>
              <w:rPr>
                <w:rFonts w:ascii="Aptos" w:eastAsia="Aptos" w:hAnsi="Aptos" w:cs="Aptos"/>
              </w:rPr>
            </w:pPr>
            <w:r w:rsidRPr="00C039B0">
              <w:rPr>
                <w:rFonts w:ascii="Aptos" w:eastAsia="Aptos" w:hAnsi="Aptos" w:cs="Aptos"/>
              </w:rPr>
              <w:t xml:space="preserve"> </w:t>
            </w:r>
            <w:r w:rsidR="08C2D975" w:rsidRPr="00C039B0">
              <w:rPr>
                <w:rFonts w:ascii="Aptos" w:eastAsia="Aptos" w:hAnsi="Aptos" w:cs="Aptos"/>
              </w:rPr>
              <w:t xml:space="preserve">Kazalnik </w:t>
            </w:r>
            <w:r w:rsidR="1B8C7DB1" w:rsidRPr="00C039B0">
              <w:rPr>
                <w:rFonts w:ascii="Aptos" w:eastAsia="Aptos" w:hAnsi="Aptos" w:cs="Aptos"/>
              </w:rPr>
              <w:t>m</w:t>
            </w:r>
            <w:r w:rsidRPr="00C039B0">
              <w:rPr>
                <w:rFonts w:ascii="Aptos" w:eastAsia="Aptos" w:hAnsi="Aptos" w:cs="Aptos"/>
              </w:rPr>
              <w:t>eri modalni razrez vsakodnevnih poti. Spremembe odražajo skupni učinek javnega prevoza, peš in kolesarske infrastrukture, prostorskega razvoja ter potovalnih navad.</w:t>
            </w:r>
          </w:p>
        </w:tc>
      </w:tr>
      <w:tr w:rsidR="29A8477B" w14:paraId="71ED7118" w14:textId="77777777" w:rsidTr="29A8477B">
        <w:trPr>
          <w:trHeight w:val="300"/>
        </w:trPr>
        <w:tc>
          <w:tcPr>
            <w:tcW w:w="3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BD733D" w14:textId="58E8E4E6" w:rsidR="29A8477B" w:rsidRPr="00C039B0" w:rsidRDefault="255F55ED" w:rsidP="29A8477B">
            <w:pPr>
              <w:rPr>
                <w:rFonts w:ascii="Aptos" w:eastAsia="Aptos" w:hAnsi="Aptos" w:cs="Aptos"/>
              </w:rPr>
            </w:pPr>
            <w:r w:rsidRPr="00C039B0">
              <w:rPr>
                <w:rFonts w:ascii="Aptos" w:eastAsia="Aptos" w:hAnsi="Aptos" w:cs="Aptos"/>
              </w:rPr>
              <w:t>Obisk in uporaba ključnih mestnih kulturnih, športnih, rekreacijskih in prostočasnih vsebin</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B6EB553" w14:textId="10291E6F" w:rsidR="29A8477B" w:rsidRPr="00C039B0" w:rsidRDefault="29A8477B" w:rsidP="29A8477B">
            <w:r w:rsidRPr="00C039B0">
              <w:rPr>
                <w:rFonts w:ascii="Aptos" w:eastAsia="Aptos" w:hAnsi="Aptos" w:cs="Aptos"/>
              </w:rPr>
              <w:t>C2</w:t>
            </w:r>
          </w:p>
        </w:tc>
        <w:tc>
          <w:tcPr>
            <w:tcW w:w="323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A94D88A" w14:textId="1F18ABCD" w:rsidR="29A8477B" w:rsidRPr="00C039B0" w:rsidRDefault="29A8477B">
            <w:pPr>
              <w:rPr>
                <w:rFonts w:ascii="Aptos" w:eastAsia="Aptos" w:hAnsi="Aptos" w:cs="Aptos"/>
              </w:rPr>
            </w:pPr>
            <w:r w:rsidRPr="00C039B0">
              <w:rPr>
                <w:rFonts w:ascii="Aptos" w:eastAsia="Aptos" w:hAnsi="Aptos" w:cs="Aptos"/>
              </w:rPr>
              <w:t xml:space="preserve">Meri </w:t>
            </w:r>
            <w:r w:rsidR="1B0961F8" w:rsidRPr="00C039B0">
              <w:rPr>
                <w:rFonts w:ascii="Aptos" w:eastAsia="Aptos" w:hAnsi="Aptos" w:cs="Aptos"/>
              </w:rPr>
              <w:t xml:space="preserve">se </w:t>
            </w:r>
            <w:r w:rsidRPr="00C039B0">
              <w:rPr>
                <w:rFonts w:ascii="Aptos" w:eastAsia="Aptos" w:hAnsi="Aptos" w:cs="Aptos"/>
              </w:rPr>
              <w:t>število obiskov oziroma udeležencev v izbranih kulturnih, športnih, rekreacijskih in prostočasnih programih ter objektih. Kazalnik prikazuje uporabo mestnih priložnosti, ne le obstoj infrastrukture.</w:t>
            </w:r>
          </w:p>
        </w:tc>
      </w:tr>
    </w:tbl>
    <w:p w14:paraId="0DAEF39C" w14:textId="5D66BFF3" w:rsidR="015A248B" w:rsidRDefault="015A248B" w:rsidP="015A248B">
      <w:pPr>
        <w:jc w:val="both"/>
      </w:pPr>
    </w:p>
    <w:p w14:paraId="3D13B246" w14:textId="60173489" w:rsidR="003C5E0D" w:rsidRDefault="003C5E0D" w:rsidP="004A1C14">
      <w:pPr>
        <w:pStyle w:val="Naslov2"/>
        <w:numPr>
          <w:ilvl w:val="1"/>
          <w:numId w:val="40"/>
        </w:numPr>
        <w:spacing w:before="240" w:after="120"/>
        <w:ind w:left="482" w:hanging="482"/>
      </w:pPr>
      <w:bookmarkStart w:id="57" w:name="_Toc239414909"/>
      <w:r>
        <w:t>D – VITALNO PODEŽELJE</w:t>
      </w:r>
      <w:bookmarkEnd w:id="57"/>
    </w:p>
    <w:p w14:paraId="0A903681" w14:textId="6AE048C6" w:rsidR="1A294FF7" w:rsidRDefault="1120728D" w:rsidP="29A8477B">
      <w:pPr>
        <w:spacing w:line="257" w:lineRule="auto"/>
        <w:jc w:val="both"/>
      </w:pPr>
      <w:r w:rsidRPr="1F30B503">
        <w:rPr>
          <w:rFonts w:ascii="Aptos" w:eastAsia="Aptos" w:hAnsi="Aptos" w:cs="Aptos"/>
        </w:rPr>
        <w:t xml:space="preserve">Podeželje v  Mestni občini Nova Gorica je </w:t>
      </w:r>
      <w:r w:rsidRPr="1F30B503">
        <w:rPr>
          <w:rFonts w:ascii="Aptos" w:eastAsia="Aptos" w:hAnsi="Aptos" w:cs="Aptos"/>
          <w:b/>
          <w:bCs/>
        </w:rPr>
        <w:t>poseljeno in aktivno</w:t>
      </w:r>
      <w:r w:rsidRPr="1F30B503">
        <w:rPr>
          <w:rFonts w:ascii="Aptos" w:eastAsia="Aptos" w:hAnsi="Aptos" w:cs="Aptos"/>
        </w:rPr>
        <w:t xml:space="preserve">, z obdelovalnimi površinami, prostori za razvoj obrti in pristnim turizmom ter zagotavlja športne in rekreacijske vsebine. </w:t>
      </w:r>
      <w:r w:rsidRPr="1F30B503">
        <w:rPr>
          <w:rFonts w:ascii="Aptos" w:eastAsia="Aptos" w:hAnsi="Aptos" w:cs="Aptos"/>
          <w:b/>
          <w:bCs/>
        </w:rPr>
        <w:t>Podeželje</w:t>
      </w:r>
      <w:r w:rsidRPr="1F30B503">
        <w:rPr>
          <w:rFonts w:ascii="Aptos" w:eastAsia="Aptos" w:hAnsi="Aptos" w:cs="Aptos"/>
        </w:rPr>
        <w:t xml:space="preserve"> učinkovito </w:t>
      </w:r>
      <w:r w:rsidRPr="1F30B503">
        <w:rPr>
          <w:rFonts w:ascii="Aptos" w:eastAsia="Aptos" w:hAnsi="Aptos" w:cs="Aptos"/>
          <w:b/>
          <w:bCs/>
        </w:rPr>
        <w:t>sodeluje z mestom</w:t>
      </w:r>
      <w:r w:rsidR="00EA711C">
        <w:rPr>
          <w:rFonts w:ascii="Aptos" w:eastAsia="Aptos" w:hAnsi="Aptos" w:cs="Aptos"/>
          <w:b/>
          <w:bCs/>
        </w:rPr>
        <w:t>,</w:t>
      </w:r>
      <w:r w:rsidRPr="1F30B503">
        <w:rPr>
          <w:rFonts w:ascii="Aptos" w:eastAsia="Aptos" w:hAnsi="Aptos" w:cs="Aptos"/>
        </w:rPr>
        <w:t xml:space="preserve"> kar obojim prinaša pozitivne učinke. </w:t>
      </w:r>
    </w:p>
    <w:p w14:paraId="737E7133" w14:textId="4BE42D97" w:rsidR="1A294FF7" w:rsidRDefault="4DF68649" w:rsidP="29A8477B">
      <w:pPr>
        <w:spacing w:line="257" w:lineRule="auto"/>
        <w:jc w:val="both"/>
      </w:pPr>
      <w:r w:rsidRPr="29A8477B">
        <w:rPr>
          <w:rFonts w:ascii="Aptos" w:eastAsia="Aptos" w:hAnsi="Aptos" w:cs="Aptos"/>
        </w:rPr>
        <w:t xml:space="preserve">Prebivalcem so dostopni udobni javni prevozi, </w:t>
      </w:r>
      <w:r w:rsidRPr="29A8477B">
        <w:rPr>
          <w:rFonts w:ascii="Aptos" w:eastAsia="Aptos" w:hAnsi="Aptos" w:cs="Aptos"/>
          <w:b/>
          <w:bCs/>
        </w:rPr>
        <w:t>osnovne storitve</w:t>
      </w:r>
      <w:r w:rsidRPr="29A8477B">
        <w:rPr>
          <w:rFonts w:ascii="Aptos" w:eastAsia="Aptos" w:hAnsi="Aptos" w:cs="Aptos"/>
        </w:rPr>
        <w:t xml:space="preserve"> ter družabno življenje. Zagotovljena je učinkovita mreža družbenih storitev tudi na podeželju.</w:t>
      </w:r>
    </w:p>
    <w:p w14:paraId="7FCC283E" w14:textId="72DDABB1" w:rsidR="1A294FF7" w:rsidRDefault="4DF68649" w:rsidP="29A8477B">
      <w:pPr>
        <w:spacing w:line="257" w:lineRule="auto"/>
        <w:jc w:val="both"/>
      </w:pPr>
      <w:r w:rsidRPr="29A8477B">
        <w:rPr>
          <w:rFonts w:ascii="Aptos" w:eastAsia="Aptos" w:hAnsi="Aptos" w:cs="Aptos"/>
        </w:rPr>
        <w:t xml:space="preserve">Spodbuja se </w:t>
      </w:r>
      <w:r w:rsidRPr="29A8477B">
        <w:rPr>
          <w:rFonts w:ascii="Aptos" w:eastAsia="Aptos" w:hAnsi="Aptos" w:cs="Aptos"/>
          <w:b/>
          <w:bCs/>
        </w:rPr>
        <w:t>tradicionalne in</w:t>
      </w:r>
      <w:r w:rsidRPr="29A8477B">
        <w:rPr>
          <w:rFonts w:ascii="Aptos" w:eastAsia="Aptos" w:hAnsi="Aptos" w:cs="Aptos"/>
        </w:rPr>
        <w:t xml:space="preserve"> </w:t>
      </w:r>
      <w:r w:rsidRPr="29A8477B">
        <w:rPr>
          <w:rFonts w:ascii="Aptos" w:eastAsia="Aptos" w:hAnsi="Aptos" w:cs="Aptos"/>
          <w:b/>
          <w:bCs/>
        </w:rPr>
        <w:t>trajnostne podeželske dejavnosti</w:t>
      </w:r>
      <w:r w:rsidRPr="29A8477B">
        <w:rPr>
          <w:rFonts w:ascii="Aptos" w:eastAsia="Aptos" w:hAnsi="Aptos" w:cs="Aptos"/>
        </w:rPr>
        <w:t xml:space="preserve"> (kmetijstvo, obrt in storitve).</w:t>
      </w:r>
    </w:p>
    <w:p w14:paraId="70FC267E" w14:textId="6EB4991A" w:rsidR="1A294FF7" w:rsidRDefault="4DF68649" w:rsidP="29A8477B">
      <w:pPr>
        <w:spacing w:line="257" w:lineRule="auto"/>
        <w:jc w:val="both"/>
      </w:pPr>
      <w:r w:rsidRPr="29A8477B">
        <w:rPr>
          <w:rFonts w:ascii="Aptos" w:eastAsia="Aptos" w:hAnsi="Aptos" w:cs="Aptos"/>
          <w:b/>
          <w:bCs/>
        </w:rPr>
        <w:t>Kmetijstvo</w:t>
      </w:r>
      <w:r w:rsidRPr="29A8477B">
        <w:rPr>
          <w:rFonts w:ascii="Aptos" w:eastAsia="Aptos" w:hAnsi="Aptos" w:cs="Aptos"/>
        </w:rPr>
        <w:t xml:space="preserve"> je usmerjeno v naravne in ekološke prakse, občina pa s pametnim upravljanjem </w:t>
      </w:r>
      <w:proofErr w:type="spellStart"/>
      <w:r w:rsidRPr="29A8477B">
        <w:rPr>
          <w:rFonts w:ascii="Aptos" w:eastAsia="Aptos" w:hAnsi="Aptos" w:cs="Aptos"/>
        </w:rPr>
        <w:t>vodooskrbe</w:t>
      </w:r>
      <w:proofErr w:type="spellEnd"/>
      <w:r w:rsidRPr="29A8477B">
        <w:rPr>
          <w:rFonts w:ascii="Aptos" w:eastAsia="Aptos" w:hAnsi="Aptos" w:cs="Aptos"/>
        </w:rPr>
        <w:t xml:space="preserve">, namakanja in energetike omogoča </w:t>
      </w:r>
      <w:r w:rsidRPr="29A8477B">
        <w:rPr>
          <w:rFonts w:ascii="Aptos" w:eastAsia="Aptos" w:hAnsi="Aptos" w:cs="Aptos"/>
          <w:b/>
          <w:bCs/>
        </w:rPr>
        <w:t>visoko stopnjo samooskrbe oziroma neodvisnost pri preskrbi s hrano</w:t>
      </w:r>
      <w:r w:rsidRPr="29A8477B">
        <w:rPr>
          <w:rFonts w:ascii="Aptos" w:eastAsia="Aptos" w:hAnsi="Aptos" w:cs="Aptos"/>
        </w:rPr>
        <w:t xml:space="preserve">. Izkoriščamo ugodno podnebje za pridelavo sadja, zelenjave in vina ter spodbujamo mlade prevzemnike kmetij. Mreža oskrbe s produkti s podeželja oskrbuje celotno čezmejno </w:t>
      </w:r>
      <w:proofErr w:type="spellStart"/>
      <w:r w:rsidRPr="29A8477B">
        <w:rPr>
          <w:rFonts w:ascii="Aptos" w:eastAsia="Aptos" w:hAnsi="Aptos" w:cs="Aptos"/>
        </w:rPr>
        <w:t>somestje</w:t>
      </w:r>
      <w:proofErr w:type="spellEnd"/>
      <w:r w:rsidRPr="29A8477B">
        <w:rPr>
          <w:rFonts w:ascii="Aptos" w:eastAsia="Aptos" w:hAnsi="Aptos" w:cs="Aptos"/>
        </w:rPr>
        <w:t xml:space="preserve"> ter je širše prepoznana na nacionalnem nivoju.</w:t>
      </w:r>
    </w:p>
    <w:p w14:paraId="4AAA9BF6" w14:textId="5A9D9869" w:rsidR="1A294FF7" w:rsidRDefault="2EF955C4" w:rsidP="29A8477B">
      <w:pPr>
        <w:spacing w:line="257" w:lineRule="auto"/>
        <w:jc w:val="both"/>
      </w:pPr>
      <w:r w:rsidRPr="29A8477B">
        <w:rPr>
          <w:rFonts w:ascii="Aptos" w:eastAsia="Aptos" w:hAnsi="Aptos" w:cs="Aptos"/>
          <w:b/>
          <w:bCs/>
        </w:rPr>
        <w:t>Z naravnimi viri se gospodari odgovorno.</w:t>
      </w:r>
      <w:r w:rsidR="4DF68649" w:rsidRPr="29A8477B">
        <w:rPr>
          <w:rFonts w:ascii="Aptos" w:eastAsia="Aptos" w:hAnsi="Aptos" w:cs="Aptos"/>
        </w:rPr>
        <w:t xml:space="preserve"> Ohranja</w:t>
      </w:r>
      <w:r w:rsidR="1B873705" w:rsidRPr="29A8477B">
        <w:rPr>
          <w:rFonts w:ascii="Aptos" w:eastAsia="Aptos" w:hAnsi="Aptos" w:cs="Aptos"/>
        </w:rPr>
        <w:t xml:space="preserve"> se</w:t>
      </w:r>
      <w:r w:rsidR="4DF68649" w:rsidRPr="29A8477B">
        <w:rPr>
          <w:rFonts w:ascii="Aptos" w:eastAsia="Aptos" w:hAnsi="Aptos" w:cs="Aptos"/>
        </w:rPr>
        <w:t xml:space="preserve"> naravna mokrišča in habitate ter učinkovito gospodari z gozdovi in lesom, kar prispeva k prirastku gozdov in odpornosti na podnebne spremembe. </w:t>
      </w:r>
      <w:r w:rsidR="4DF68649" w:rsidRPr="29A8477B">
        <w:rPr>
          <w:rFonts w:ascii="Aptos" w:eastAsia="Aptos" w:hAnsi="Aptos" w:cs="Aptos"/>
          <w:b/>
          <w:bCs/>
        </w:rPr>
        <w:t>Poselitev na podeželju se ohranja in dopolnjuje</w:t>
      </w:r>
      <w:r w:rsidR="4DF68649" w:rsidRPr="29A8477B">
        <w:rPr>
          <w:rFonts w:ascii="Aptos" w:eastAsia="Aptos" w:hAnsi="Aptos" w:cs="Aptos"/>
        </w:rPr>
        <w:t>. Vzpostavi se učinkovite načine za strokovno vodeno obnovo in rabo obstoječega stavbnega fonda in stavbnih zemljišč.</w:t>
      </w:r>
    </w:p>
    <w:p w14:paraId="5F6738FA" w14:textId="5D2D89D7" w:rsidR="1A294FF7" w:rsidRDefault="15478E21" w:rsidP="00CA4613">
      <w:pPr>
        <w:spacing w:line="257" w:lineRule="auto"/>
        <w:jc w:val="both"/>
      </w:pPr>
      <w:r w:rsidRPr="1F30B503">
        <w:rPr>
          <w:rFonts w:ascii="Aptos" w:eastAsia="Aptos" w:hAnsi="Aptos" w:cs="Aptos"/>
        </w:rPr>
        <w:t xml:space="preserve">Z uresničevanjem ciljev iz stebra D se neposredno naslavlja izziv </w:t>
      </w:r>
      <w:r w:rsidR="3744C846" w:rsidRPr="1F30B503">
        <w:rPr>
          <w:rFonts w:ascii="Aptos" w:eastAsia="Aptos" w:hAnsi="Aptos" w:cs="Aptos"/>
        </w:rPr>
        <w:t xml:space="preserve">poglavja </w:t>
      </w:r>
      <w:r w:rsidR="396DB1E8" w:rsidRPr="1F30B503">
        <w:rPr>
          <w:rFonts w:ascii="Aptos" w:eastAsia="Aptos" w:hAnsi="Aptos" w:cs="Aptos"/>
        </w:rPr>
        <w:t>4</w:t>
      </w:r>
      <w:r w:rsidRPr="1F30B503">
        <w:rPr>
          <w:rFonts w:ascii="Aptos" w:eastAsia="Aptos" w:hAnsi="Aptos" w:cs="Aptos"/>
        </w:rPr>
        <w:t xml:space="preserve">.3, posredno pa izzive </w:t>
      </w:r>
      <w:r w:rsidR="46B24D08" w:rsidRPr="1F30B503">
        <w:rPr>
          <w:rFonts w:ascii="Aptos" w:eastAsia="Aptos" w:hAnsi="Aptos" w:cs="Aptos"/>
        </w:rPr>
        <w:t xml:space="preserve">poglavij </w:t>
      </w:r>
      <w:r w:rsidR="396DB1E8" w:rsidRPr="1F30B503">
        <w:rPr>
          <w:rFonts w:ascii="Aptos" w:eastAsia="Aptos" w:hAnsi="Aptos" w:cs="Aptos"/>
        </w:rPr>
        <w:t>4</w:t>
      </w:r>
      <w:r w:rsidRPr="1F30B503">
        <w:rPr>
          <w:rFonts w:ascii="Aptos" w:eastAsia="Aptos" w:hAnsi="Aptos" w:cs="Aptos"/>
        </w:rPr>
        <w:t xml:space="preserve">.5 in </w:t>
      </w:r>
      <w:r w:rsidR="396DB1E8" w:rsidRPr="1F30B503">
        <w:rPr>
          <w:rFonts w:ascii="Aptos" w:eastAsia="Aptos" w:hAnsi="Aptos" w:cs="Aptos"/>
        </w:rPr>
        <w:t>4</w:t>
      </w:r>
      <w:r w:rsidRPr="1F30B503">
        <w:rPr>
          <w:rFonts w:ascii="Aptos" w:eastAsia="Aptos" w:hAnsi="Aptos" w:cs="Aptos"/>
        </w:rPr>
        <w:t>.7</w:t>
      </w:r>
      <w:r>
        <w:t xml:space="preserve"> </w:t>
      </w:r>
    </w:p>
    <w:p w14:paraId="5B306C83" w14:textId="64780CEC" w:rsidR="1A294FF7" w:rsidRDefault="010A05BA" w:rsidP="29A8477B">
      <w:pPr>
        <w:jc w:val="both"/>
      </w:pPr>
      <w:r w:rsidRPr="29A8477B">
        <w:rPr>
          <w:rFonts w:ascii="Aptos" w:eastAsia="Aptos" w:hAnsi="Aptos" w:cs="Aptos"/>
          <w:b/>
          <w:bCs/>
        </w:rPr>
        <w:t>Cilj D1: Produktivno, samooskrbno in razvojno naravnano podeželje</w:t>
      </w:r>
    </w:p>
    <w:p w14:paraId="68BA68F7" w14:textId="4D0196F3" w:rsidR="70665906" w:rsidRDefault="0A1E9FC6" w:rsidP="29A8477B">
      <w:pPr>
        <w:jc w:val="both"/>
      </w:pPr>
      <w:r w:rsidRPr="005579AE">
        <w:rPr>
          <w:rFonts w:ascii="Aptos" w:eastAsia="Aptos" w:hAnsi="Aptos" w:cs="Aptos"/>
          <w:b/>
          <w:bCs/>
          <w:highlight w:val="yellow"/>
        </w:rPr>
        <w:t xml:space="preserve">Podeželje mestne občine </w:t>
      </w:r>
      <w:r w:rsidR="343E3E4F" w:rsidRPr="005579AE">
        <w:rPr>
          <w:rFonts w:ascii="Aptos" w:eastAsia="Aptos" w:hAnsi="Aptos" w:cs="Aptos"/>
          <w:b/>
          <w:bCs/>
          <w:highlight w:val="yellow"/>
        </w:rPr>
        <w:t xml:space="preserve">Nova Gorica </w:t>
      </w:r>
      <w:r w:rsidRPr="005579AE">
        <w:rPr>
          <w:rFonts w:ascii="Aptos" w:eastAsia="Aptos" w:hAnsi="Aptos" w:cs="Aptos"/>
          <w:b/>
          <w:bCs/>
          <w:highlight w:val="yellow"/>
        </w:rPr>
        <w:t>je produktivno, samooskrbno in razvojno naravnano. Temelji na sodobni in trajnostni kmetijski proizvodnji, aktivni rabi kakovostnih kmetijskih zemljišč, stabilnem dohodkovnem položaju kmetijskih gospodarstev, učinkovitih dobavnih verigah</w:t>
      </w:r>
      <w:r w:rsidR="000D704F" w:rsidRPr="005579AE">
        <w:rPr>
          <w:rFonts w:ascii="Aptos" w:eastAsia="Aptos" w:hAnsi="Aptos" w:cs="Aptos"/>
          <w:b/>
          <w:bCs/>
          <w:highlight w:val="yellow"/>
        </w:rPr>
        <w:t>. Kmetijstvo in druge primerne gospodarske panoge omogočajo</w:t>
      </w:r>
      <w:r w:rsidRPr="005579AE">
        <w:rPr>
          <w:rFonts w:ascii="Aptos" w:eastAsia="Aptos" w:hAnsi="Aptos" w:cs="Aptos"/>
          <w:b/>
          <w:bCs/>
          <w:highlight w:val="yellow"/>
        </w:rPr>
        <w:t xml:space="preserve"> večj</w:t>
      </w:r>
      <w:r w:rsidR="000D704F" w:rsidRPr="005579AE">
        <w:rPr>
          <w:rFonts w:ascii="Aptos" w:eastAsia="Aptos" w:hAnsi="Aptos" w:cs="Aptos"/>
          <w:b/>
          <w:bCs/>
          <w:highlight w:val="yellow"/>
        </w:rPr>
        <w:t>o</w:t>
      </w:r>
      <w:r w:rsidRPr="005579AE">
        <w:rPr>
          <w:rFonts w:ascii="Aptos" w:eastAsia="Aptos" w:hAnsi="Aptos" w:cs="Aptos"/>
          <w:b/>
          <w:bCs/>
          <w:highlight w:val="yellow"/>
        </w:rPr>
        <w:t xml:space="preserve"> lokaln</w:t>
      </w:r>
      <w:r w:rsidR="000D704F" w:rsidRPr="005579AE">
        <w:rPr>
          <w:rFonts w:ascii="Aptos" w:eastAsia="Aptos" w:hAnsi="Aptos" w:cs="Aptos"/>
          <w:b/>
          <w:bCs/>
          <w:highlight w:val="yellow"/>
        </w:rPr>
        <w:t>o</w:t>
      </w:r>
      <w:r w:rsidRPr="005579AE">
        <w:rPr>
          <w:rFonts w:ascii="Aptos" w:eastAsia="Aptos" w:hAnsi="Aptos" w:cs="Aptos"/>
          <w:b/>
          <w:bCs/>
          <w:highlight w:val="yellow"/>
        </w:rPr>
        <w:t xml:space="preserve"> samooskrb</w:t>
      </w:r>
      <w:r w:rsidR="000D704F" w:rsidRPr="005579AE">
        <w:rPr>
          <w:rFonts w:ascii="Aptos" w:eastAsia="Aptos" w:hAnsi="Aptos" w:cs="Aptos"/>
          <w:b/>
          <w:bCs/>
          <w:highlight w:val="yellow"/>
        </w:rPr>
        <w:t>o</w:t>
      </w:r>
      <w:r w:rsidRPr="005579AE">
        <w:rPr>
          <w:rFonts w:ascii="Aptos" w:eastAsia="Aptos" w:hAnsi="Aptos" w:cs="Aptos"/>
          <w:b/>
          <w:bCs/>
          <w:highlight w:val="yellow"/>
        </w:rPr>
        <w:t xml:space="preserve"> ter razvoj lokalnih pr</w:t>
      </w:r>
      <w:r w:rsidR="000D704F" w:rsidRPr="005579AE">
        <w:rPr>
          <w:rFonts w:ascii="Aptos" w:eastAsia="Aptos" w:hAnsi="Aptos" w:cs="Aptos"/>
          <w:b/>
          <w:bCs/>
          <w:highlight w:val="yellow"/>
        </w:rPr>
        <w:t>oduktov</w:t>
      </w:r>
      <w:r w:rsidRPr="005579AE">
        <w:rPr>
          <w:rFonts w:ascii="Aptos" w:eastAsia="Aptos" w:hAnsi="Aptos" w:cs="Aptos"/>
          <w:b/>
          <w:bCs/>
          <w:highlight w:val="yellow"/>
        </w:rPr>
        <w:t xml:space="preserve"> z višjo dodano vrednostjo in jasno prepoznavnostjo.</w:t>
      </w:r>
    </w:p>
    <w:p w14:paraId="3EBADC1A" w14:textId="3954C1C6" w:rsidR="2C1A33C1" w:rsidRDefault="2C1A33C1" w:rsidP="29A8477B">
      <w:pPr>
        <w:jc w:val="both"/>
      </w:pPr>
      <w:r>
        <w:lastRenderedPageBreak/>
        <w:t>Ta cilj se nanaša na vsakdanje pogoje za življenje na podeželju</w:t>
      </w:r>
      <w:r w:rsidR="3977CB52">
        <w:t xml:space="preserve">, kjer je prebivalcem zagotovljena materialna podstat za bivanje in delo. Kmetije, mladi prevzemniki in lokalni ponudniki imajo zagotovljene boljše pogoje za pridelavo, predelavo, trženje in prodajo lokalnih proizvodov. To pomeni urejena kmetijska zemljišča, namakanje, podporo kratkim dobavnim verigam, povezovanje z javnimi zavodi, gostinstvom in turizmom ter razvoj prepoznavne ponudbe, ki oskrbuje mesto, čezmejno </w:t>
      </w:r>
      <w:proofErr w:type="spellStart"/>
      <w:r w:rsidR="3977CB52">
        <w:t>somestje</w:t>
      </w:r>
      <w:proofErr w:type="spellEnd"/>
      <w:r w:rsidR="3977CB52">
        <w:t xml:space="preserve"> in širši prostor. Poleg osnovne kmetijske panoge se na podeželju razvijajo tudi druge primerne gospodarske panoge, ki izvirajo iz lokalnih značilnosti, pomenijo dopolnitev kmetijski</w:t>
      </w:r>
      <w:r w:rsidR="00EA711C">
        <w:t>h</w:t>
      </w:r>
      <w:r w:rsidR="3977CB52">
        <w:t xml:space="preserve"> dejavnosti ter razvijajo prepoznavne produkte.</w:t>
      </w:r>
    </w:p>
    <w:p w14:paraId="532A6A99" w14:textId="09C1FCFB" w:rsidR="271712CC" w:rsidRDefault="0B525557" w:rsidP="015A248B">
      <w:pPr>
        <w:jc w:val="both"/>
      </w:pPr>
      <w:r w:rsidRPr="29A8477B">
        <w:rPr>
          <w:rFonts w:ascii="Aptos" w:eastAsia="Aptos" w:hAnsi="Aptos" w:cs="Aptos"/>
          <w:b/>
          <w:bCs/>
        </w:rPr>
        <w:t>Cilj D2: Vitalna lokalna središča, kakovostno bivanje ter ohranjena identiteta podeželja</w:t>
      </w:r>
    </w:p>
    <w:p w14:paraId="2926B376" w14:textId="65B1AC5E" w:rsidR="407B4F09" w:rsidRDefault="407B4F09" w:rsidP="29A8477B">
      <w:pPr>
        <w:jc w:val="both"/>
      </w:pPr>
      <w:r w:rsidRPr="29A8477B">
        <w:rPr>
          <w:rFonts w:ascii="Aptos" w:eastAsia="Aptos" w:hAnsi="Aptos" w:cs="Aptos"/>
          <w:b/>
          <w:bCs/>
        </w:rPr>
        <w:t>Mestna občina Nova Gorica bo do leta 2045 okrepila vitalnost lokalnih središč in kakovost bivanja na podeželju, pri čemer bo z dostopnimi storitvami, ustrezno infrastrukturo, stanovanjskimi rešitvami, podporo skupnostnemu življenju ter aktivnim ohranjanjem tradicije in kulturne dediščine zagotavljala pogoje za dolgoročno življenje in razvoj podeželskih naselij.</w:t>
      </w:r>
    </w:p>
    <w:p w14:paraId="57494DE1" w14:textId="1D7D9FCB" w:rsidR="271712CC" w:rsidRDefault="3C173764" w:rsidP="015A248B">
      <w:pPr>
        <w:jc w:val="both"/>
      </w:pPr>
      <w:r w:rsidRPr="1F30B503">
        <w:rPr>
          <w:rFonts w:ascii="Aptos" w:eastAsia="Aptos" w:hAnsi="Aptos" w:cs="Aptos"/>
        </w:rPr>
        <w:t xml:space="preserve">Ta cilj se nanaša na pogoje za vsakodnevno življenje na podeželju. V praksi pomeni dostopnejši javni prevoz, osnovne storitve, družabno življenje, urejeno infrastrukturo, stanovanjske možnosti in podporo krajevnim skupnostim. Pomemben del cilja je tudi ohranjanje lokalne identitete, tradicije, kulturne dediščine in obstoječega stavbnega fonda. Podeželje ostaja vitalno takrat, ko v naseljih ostajajo prebivalci, </w:t>
      </w:r>
      <w:r w:rsidR="782DC0C9" w:rsidRPr="1F30B503">
        <w:rPr>
          <w:rFonts w:ascii="Aptos" w:eastAsia="Aptos" w:hAnsi="Aptos" w:cs="Aptos"/>
        </w:rPr>
        <w:t xml:space="preserve">so </w:t>
      </w:r>
      <w:r w:rsidRPr="1F30B503">
        <w:rPr>
          <w:rFonts w:ascii="Aptos" w:eastAsia="Aptos" w:hAnsi="Aptos" w:cs="Aptos"/>
        </w:rPr>
        <w:t>zagotovljene osnovne storitve in družabno življenje ter je okrepljeno medgeneracijsko sodelovanje. Vzpostavljeni so tradicionalni lokalni dogodki in urejeni prostori, kjer se ljudje srečujejo.</w:t>
      </w:r>
    </w:p>
    <w:p w14:paraId="5D95A544" w14:textId="3622ACBD" w:rsidR="14AFB2A9" w:rsidRDefault="19E55DC6" w:rsidP="015A248B">
      <w:pPr>
        <w:jc w:val="both"/>
      </w:pPr>
      <w:r w:rsidRPr="29A8477B">
        <w:rPr>
          <w:rFonts w:ascii="Aptos" w:eastAsia="Aptos" w:hAnsi="Aptos" w:cs="Aptos"/>
          <w:b/>
          <w:bCs/>
        </w:rPr>
        <w:t>Cilj D3: Privlačno, zdravo in doživljajsko podeželje priložnosti</w:t>
      </w:r>
    </w:p>
    <w:p w14:paraId="3B7E158C" w14:textId="4B8C4506" w:rsidR="3CD90394" w:rsidRDefault="3CD90394" w:rsidP="29A8477B">
      <w:pPr>
        <w:jc w:val="both"/>
      </w:pPr>
      <w:r w:rsidRPr="29A8477B">
        <w:rPr>
          <w:rFonts w:ascii="Aptos" w:eastAsia="Aptos" w:hAnsi="Aptos" w:cs="Aptos"/>
          <w:b/>
          <w:bCs/>
        </w:rPr>
        <w:t>Mestna občina Nova Gorica bo do leta 2045 razvila privlačno, zdravo in doživljajsko podeželje priložnosti, ki bo na podlagi krajine, rekreacije, turizma, zdravja, dobrega počutja, športa in novih oblik dela ustvarjalo raznolike razvojne možnosti za prebivalce in obiskovalce ter krepilo prepoznavnost podeželja v širšem prostoru.</w:t>
      </w:r>
    </w:p>
    <w:p w14:paraId="74BB3F76" w14:textId="3AD6FBE7" w:rsidR="2B01481C" w:rsidRDefault="69DEA161" w:rsidP="1F30B503">
      <w:pPr>
        <w:jc w:val="both"/>
        <w:rPr>
          <w:rFonts w:ascii="Aptos" w:eastAsia="Aptos" w:hAnsi="Aptos" w:cs="Aptos"/>
        </w:rPr>
      </w:pPr>
      <w:r w:rsidRPr="1F30B503">
        <w:rPr>
          <w:rFonts w:ascii="Aptos" w:eastAsia="Aptos" w:hAnsi="Aptos" w:cs="Aptos"/>
        </w:rPr>
        <w:t>Podeželje ponuja tudi možnosti za turizem, rekreacijo, zdravje, šport, ustvarjalnost in lokalne storitve</w:t>
      </w:r>
      <w:r w:rsidR="302B272E" w:rsidRPr="1F30B503">
        <w:rPr>
          <w:rFonts w:ascii="Aptos" w:eastAsia="Aptos" w:hAnsi="Aptos" w:cs="Aptos"/>
        </w:rPr>
        <w:t>.</w:t>
      </w:r>
      <w:r w:rsidR="232BE8E1" w:rsidRPr="1F30B503">
        <w:rPr>
          <w:rFonts w:ascii="Aptos" w:eastAsia="Aptos" w:hAnsi="Aptos" w:cs="Aptos"/>
        </w:rPr>
        <w:t xml:space="preserve"> </w:t>
      </w:r>
      <w:r w:rsidR="20AEA426" w:rsidRPr="1F30B503">
        <w:rPr>
          <w:rFonts w:ascii="Aptos" w:eastAsia="Aptos" w:hAnsi="Aptos" w:cs="Aptos"/>
        </w:rPr>
        <w:t>C</w:t>
      </w:r>
      <w:r w:rsidR="232BE8E1" w:rsidRPr="1F30B503">
        <w:rPr>
          <w:rFonts w:ascii="Aptos" w:eastAsia="Aptos" w:hAnsi="Aptos" w:cs="Aptos"/>
        </w:rPr>
        <w:t>ilj</w:t>
      </w:r>
      <w:r w:rsidR="15597724" w:rsidRPr="1F30B503">
        <w:rPr>
          <w:rFonts w:ascii="Aptos" w:eastAsia="Aptos" w:hAnsi="Aptos" w:cs="Aptos"/>
        </w:rPr>
        <w:t xml:space="preserve"> zato</w:t>
      </w:r>
      <w:r w:rsidRPr="1F30B503">
        <w:rPr>
          <w:rFonts w:ascii="Aptos" w:eastAsia="Aptos" w:hAnsi="Aptos" w:cs="Aptos"/>
        </w:rPr>
        <w:t xml:space="preserve"> </w:t>
      </w:r>
      <w:r w:rsidR="7AFB2AFF" w:rsidRPr="1F30B503">
        <w:rPr>
          <w:rFonts w:ascii="Aptos" w:eastAsia="Aptos" w:hAnsi="Aptos" w:cs="Aptos"/>
        </w:rPr>
        <w:t>v</w:t>
      </w:r>
      <w:r w:rsidRPr="1F30B503">
        <w:rPr>
          <w:rFonts w:ascii="Aptos" w:eastAsia="Aptos" w:hAnsi="Aptos" w:cs="Aptos"/>
        </w:rPr>
        <w:t xml:space="preserve"> praksi </w:t>
      </w:r>
      <w:r w:rsidR="7A484706" w:rsidRPr="1F30B503">
        <w:rPr>
          <w:rFonts w:ascii="Aptos" w:eastAsia="Aptos" w:hAnsi="Aptos" w:cs="Aptos"/>
        </w:rPr>
        <w:t xml:space="preserve">naslavlja </w:t>
      </w:r>
      <w:r w:rsidRPr="1F30B503">
        <w:rPr>
          <w:rFonts w:ascii="Aptos" w:eastAsia="Aptos" w:hAnsi="Aptos" w:cs="Aptos"/>
        </w:rPr>
        <w:t>razvoj pristne turistične ponudbe, programov v naravi, športnih in rekreacijskih vsebin, obnovo dediščine, uporabo lokalnih proizvodov ter podporo dejavnostim, ki jih je mogoče razvijati na podeželju. M</w:t>
      </w:r>
      <w:r w:rsidR="7377B6A0" w:rsidRPr="1F30B503">
        <w:rPr>
          <w:rFonts w:ascii="Aptos" w:eastAsia="Aptos" w:hAnsi="Aptos" w:cs="Aptos"/>
        </w:rPr>
        <w:t>ed njimi so lahko</w:t>
      </w:r>
      <w:r w:rsidRPr="1F30B503">
        <w:rPr>
          <w:rFonts w:ascii="Aptos" w:eastAsia="Aptos" w:hAnsi="Aptos" w:cs="Aptos"/>
        </w:rPr>
        <w:t xml:space="preserve"> delo na daljavo, manjše storitvene dejavnosti, ustvarjalne prakse, delavnice in vodena doživetja. Namen cilja je, da podeželje ostane prostor življenja za stalne prebivalce, hkrati prepoznavno </w:t>
      </w:r>
      <w:r w:rsidR="4A1BF22E" w:rsidRPr="1F30B503">
        <w:rPr>
          <w:rFonts w:ascii="Aptos" w:eastAsia="Aptos" w:hAnsi="Aptos" w:cs="Aptos"/>
        </w:rPr>
        <w:t xml:space="preserve">tudi </w:t>
      </w:r>
      <w:r w:rsidRPr="1F30B503">
        <w:rPr>
          <w:rFonts w:ascii="Aptos" w:eastAsia="Aptos" w:hAnsi="Aptos" w:cs="Aptos"/>
        </w:rPr>
        <w:t>kot prostor kakovostnih doživetij, zdravja, rekreacije in novih razvojnih priložnosti.</w:t>
      </w:r>
    </w:p>
    <w:p w14:paraId="6C609D2E" w14:textId="77777777" w:rsidR="002F07BA" w:rsidRPr="00C63B45" w:rsidRDefault="002F07BA" w:rsidP="1F30B503">
      <w:pPr>
        <w:jc w:val="both"/>
      </w:pPr>
    </w:p>
    <w:tbl>
      <w:tblPr>
        <w:tblStyle w:val="Tabelamrea"/>
        <w:tblW w:w="0" w:type="auto"/>
        <w:tblLook w:val="04A0" w:firstRow="1" w:lastRow="0" w:firstColumn="1" w:lastColumn="0" w:noHBand="0" w:noVBand="1"/>
      </w:tblPr>
      <w:tblGrid>
        <w:gridCol w:w="3356"/>
        <w:gridCol w:w="3023"/>
        <w:gridCol w:w="3239"/>
      </w:tblGrid>
      <w:tr w:rsidR="29A8477B" w14:paraId="41633518" w14:textId="77777777" w:rsidTr="003C5E0D">
        <w:trPr>
          <w:trHeight w:val="300"/>
          <w:tblHeader/>
        </w:trPr>
        <w:tc>
          <w:tcPr>
            <w:tcW w:w="33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D14ABFC" w14:textId="2B986814" w:rsidR="29A8477B" w:rsidRDefault="29A8477B" w:rsidP="29A8477B">
            <w:pPr>
              <w:jc w:val="center"/>
            </w:pPr>
            <w:r w:rsidRPr="29A8477B">
              <w:rPr>
                <w:rFonts w:ascii="Aptos" w:eastAsia="Aptos" w:hAnsi="Aptos" w:cs="Aptos"/>
              </w:rPr>
              <w:t>Strateški kazalnik</w:t>
            </w:r>
          </w:p>
        </w:tc>
        <w:tc>
          <w:tcPr>
            <w:tcW w:w="30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F4FBD9" w14:textId="538CC9B3" w:rsidR="29A8477B" w:rsidRDefault="29A8477B" w:rsidP="29A8477B">
            <w:pPr>
              <w:jc w:val="center"/>
            </w:pPr>
            <w:r w:rsidRPr="29A8477B">
              <w:rPr>
                <w:rFonts w:ascii="Aptos" w:eastAsia="Aptos" w:hAnsi="Aptos" w:cs="Aptos"/>
              </w:rPr>
              <w:t>Navezava na cilj</w:t>
            </w:r>
          </w:p>
        </w:tc>
        <w:tc>
          <w:tcPr>
            <w:tcW w:w="323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780DAAB" w14:textId="10B25D50" w:rsidR="29A8477B" w:rsidRDefault="29A8477B" w:rsidP="29A8477B">
            <w:pPr>
              <w:jc w:val="center"/>
            </w:pPr>
            <w:r w:rsidRPr="29A8477B">
              <w:rPr>
                <w:rFonts w:ascii="Aptos" w:eastAsia="Aptos" w:hAnsi="Aptos" w:cs="Aptos"/>
              </w:rPr>
              <w:t>Opis</w:t>
            </w:r>
          </w:p>
        </w:tc>
      </w:tr>
      <w:tr w:rsidR="29A8477B" w14:paraId="7AEC14FA" w14:textId="77777777" w:rsidTr="003C5E0D">
        <w:trPr>
          <w:trHeight w:val="300"/>
        </w:trPr>
        <w:tc>
          <w:tcPr>
            <w:tcW w:w="33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7FD22B" w14:textId="6057510E" w:rsidR="29A8477B" w:rsidRDefault="1BA72F2C" w:rsidP="29A8477B">
            <w:pPr>
              <w:rPr>
                <w:rFonts w:ascii="Aptos" w:eastAsia="Aptos" w:hAnsi="Aptos" w:cs="Aptos"/>
              </w:rPr>
            </w:pPr>
            <w:r w:rsidRPr="1F30B503">
              <w:rPr>
                <w:rFonts w:ascii="Aptos" w:eastAsia="Aptos" w:hAnsi="Aptos" w:cs="Aptos"/>
              </w:rPr>
              <w:t>Število aktivnih lokalnih ponudnikov, predelovalcev in obrtnikov, vključenih v lokalne proizvodne in kratke dobavne verige</w:t>
            </w:r>
          </w:p>
        </w:tc>
        <w:tc>
          <w:tcPr>
            <w:tcW w:w="30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1FFF6A" w14:textId="2DD1764F" w:rsidR="29A8477B" w:rsidRDefault="29A8477B" w:rsidP="29A8477B">
            <w:r w:rsidRPr="29A8477B">
              <w:rPr>
                <w:rFonts w:ascii="Aptos" w:eastAsia="Aptos" w:hAnsi="Aptos" w:cs="Aptos"/>
              </w:rPr>
              <w:t>D1</w:t>
            </w:r>
          </w:p>
        </w:tc>
        <w:tc>
          <w:tcPr>
            <w:tcW w:w="323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3C90ED1" w14:textId="1CD330AF" w:rsidR="29A8477B" w:rsidRDefault="4E221FB8" w:rsidP="29A8477B">
            <w:pPr>
              <w:rPr>
                <w:rFonts w:ascii="Aptos" w:eastAsia="Aptos" w:hAnsi="Aptos" w:cs="Aptos"/>
              </w:rPr>
            </w:pPr>
            <w:r w:rsidRPr="29A8477B">
              <w:rPr>
                <w:rFonts w:ascii="Aptos" w:eastAsia="Aptos" w:hAnsi="Aptos" w:cs="Aptos"/>
              </w:rPr>
              <w:t xml:space="preserve">Kazalnik prikazuje razvoj lokalne proizvodne in samooskrbne osnove podeželja. Vključuje kmetijska gospodarstva, predelovalce, obrtnike in druge lokalne ponudnike, ki svoje proizvode ali storitve vključujejo v organizirane lokalne prodajne in </w:t>
            </w:r>
            <w:r w:rsidRPr="29A8477B">
              <w:rPr>
                <w:rFonts w:ascii="Aptos" w:eastAsia="Aptos" w:hAnsi="Aptos" w:cs="Aptos"/>
              </w:rPr>
              <w:lastRenderedPageBreak/>
              <w:t>oskrbne poti, na primer v oskrbo javnih zavodov, gostinstvo, turizem, tržnice, zadruge ali druge oblike neposredne prodaje.</w:t>
            </w:r>
          </w:p>
        </w:tc>
      </w:tr>
      <w:tr w:rsidR="29A8477B" w14:paraId="358A1D36" w14:textId="77777777" w:rsidTr="003C5E0D">
        <w:trPr>
          <w:trHeight w:val="300"/>
        </w:trPr>
        <w:tc>
          <w:tcPr>
            <w:tcW w:w="33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9F7C59" w14:textId="3D6018A6" w:rsidR="29A8477B" w:rsidRDefault="29A8477B" w:rsidP="29A8477B">
            <w:r w:rsidRPr="29A8477B">
              <w:rPr>
                <w:rFonts w:ascii="Aptos" w:eastAsia="Aptos" w:hAnsi="Aptos" w:cs="Aptos"/>
              </w:rPr>
              <w:lastRenderedPageBreak/>
              <w:t xml:space="preserve">Demografska vitalnost podeželskih naselij </w:t>
            </w:r>
          </w:p>
        </w:tc>
        <w:tc>
          <w:tcPr>
            <w:tcW w:w="30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82AC988" w14:textId="3B81FCBC" w:rsidR="29A8477B" w:rsidRDefault="29A8477B" w:rsidP="29A8477B">
            <w:r w:rsidRPr="29A8477B">
              <w:rPr>
                <w:rFonts w:ascii="Aptos" w:eastAsia="Aptos" w:hAnsi="Aptos" w:cs="Aptos"/>
              </w:rPr>
              <w:t>D</w:t>
            </w:r>
            <w:r w:rsidR="6E19C485" w:rsidRPr="29A8477B">
              <w:rPr>
                <w:rFonts w:ascii="Aptos" w:eastAsia="Aptos" w:hAnsi="Aptos" w:cs="Aptos"/>
              </w:rPr>
              <w:t>2</w:t>
            </w:r>
          </w:p>
        </w:tc>
        <w:tc>
          <w:tcPr>
            <w:tcW w:w="323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5A2D667" w14:textId="398C249D" w:rsidR="29A8477B" w:rsidRPr="00705817" w:rsidRDefault="27D2D0C0" w:rsidP="29A8477B">
            <w:r w:rsidRPr="00705817">
              <w:rPr>
                <w:rFonts w:ascii="Aptos" w:eastAsia="Aptos" w:hAnsi="Aptos" w:cs="Aptos"/>
              </w:rPr>
              <w:t>Meri dolgoročno gibanje števila prebivalcev in starostno strukturo izbranih podeželskih naselij. Kazalnik se interpretira skupaj z dostopnostjo storitev, stanovanjskimi možnostmi in prometno povezanostjo.</w:t>
            </w:r>
            <w:r w:rsidR="29A8477B" w:rsidRPr="00705817">
              <w:rPr>
                <w:rFonts w:ascii="Aptos" w:eastAsia="Aptos" w:hAnsi="Aptos" w:cs="Aptos"/>
              </w:rPr>
              <w:t xml:space="preserve"> Če podeželje izgublja prebivalce ali se izrazito stara, tudi drugi ukrepi nimajo dolgoročnega učinka.</w:t>
            </w:r>
          </w:p>
        </w:tc>
      </w:tr>
      <w:tr w:rsidR="29A8477B" w14:paraId="3A2E77CA" w14:textId="77777777" w:rsidTr="003C5E0D">
        <w:trPr>
          <w:trHeight w:val="300"/>
        </w:trPr>
        <w:tc>
          <w:tcPr>
            <w:tcW w:w="335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701DAC1" w14:textId="1B852781" w:rsidR="29A8477B" w:rsidRDefault="29A8477B">
            <w:r w:rsidRPr="29A8477B">
              <w:rPr>
                <w:rFonts w:ascii="Aptos" w:eastAsia="Aptos" w:hAnsi="Aptos" w:cs="Aptos"/>
              </w:rPr>
              <w:t xml:space="preserve">Obisk </w:t>
            </w:r>
            <w:r w:rsidR="531EC6D3" w:rsidRPr="29A8477B">
              <w:rPr>
                <w:rFonts w:ascii="Aptos" w:eastAsia="Aptos" w:hAnsi="Aptos" w:cs="Aptos"/>
              </w:rPr>
              <w:t>in</w:t>
            </w:r>
            <w:r w:rsidRPr="29A8477B">
              <w:rPr>
                <w:rFonts w:ascii="Aptos" w:eastAsia="Aptos" w:hAnsi="Aptos" w:cs="Aptos"/>
              </w:rPr>
              <w:t xml:space="preserve"> uporaba ključnih podeželskih rekreacijskih, dediščinskih in doživljajskih območij</w:t>
            </w:r>
          </w:p>
        </w:tc>
        <w:tc>
          <w:tcPr>
            <w:tcW w:w="302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85BC3F" w14:textId="010C42D4" w:rsidR="29A8477B" w:rsidRDefault="29A8477B" w:rsidP="29A8477B">
            <w:r w:rsidRPr="29A8477B">
              <w:rPr>
                <w:rFonts w:ascii="Aptos" w:eastAsia="Aptos" w:hAnsi="Aptos" w:cs="Aptos"/>
              </w:rPr>
              <w:t>D3</w:t>
            </w:r>
          </w:p>
        </w:tc>
        <w:tc>
          <w:tcPr>
            <w:tcW w:w="3239"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3B8AB23" w14:textId="3A024847" w:rsidR="29A8477B" w:rsidRPr="00705817" w:rsidRDefault="416F36A3" w:rsidP="29A8477B">
            <w:pPr>
              <w:rPr>
                <w:rFonts w:ascii="Aptos" w:eastAsia="Aptos" w:hAnsi="Aptos" w:cs="Aptos"/>
              </w:rPr>
            </w:pPr>
            <w:r w:rsidRPr="00705817">
              <w:rPr>
                <w:rFonts w:ascii="Aptos" w:eastAsia="Aptos" w:hAnsi="Aptos" w:cs="Aptos"/>
              </w:rPr>
              <w:t xml:space="preserve">Meri uporabo izbranih podeželskih rekreacijskih, dediščinskih in doživljajskih območij. Pri interpretaciji se upoštevajo nosilnost prostora, </w:t>
            </w:r>
            <w:proofErr w:type="spellStart"/>
            <w:r w:rsidRPr="00705817">
              <w:rPr>
                <w:rFonts w:ascii="Aptos" w:eastAsia="Aptos" w:hAnsi="Aptos" w:cs="Aptos"/>
              </w:rPr>
              <w:t>sezonskost</w:t>
            </w:r>
            <w:proofErr w:type="spellEnd"/>
            <w:r w:rsidRPr="00705817">
              <w:rPr>
                <w:rFonts w:ascii="Aptos" w:eastAsia="Aptos" w:hAnsi="Aptos" w:cs="Aptos"/>
              </w:rPr>
              <w:t xml:space="preserve"> in kakovost ponudbe.</w:t>
            </w:r>
          </w:p>
        </w:tc>
      </w:tr>
    </w:tbl>
    <w:p w14:paraId="27C75284" w14:textId="5AA1A33B" w:rsidR="003C5E0D" w:rsidRDefault="003C5E0D" w:rsidP="004A1C14">
      <w:pPr>
        <w:pStyle w:val="Naslov2"/>
        <w:numPr>
          <w:ilvl w:val="1"/>
          <w:numId w:val="40"/>
        </w:numPr>
        <w:spacing w:before="240" w:after="120"/>
        <w:ind w:left="482" w:hanging="482"/>
      </w:pPr>
      <w:bookmarkStart w:id="58" w:name="_Toc239414910"/>
      <w:r>
        <w:t>E – GORIŠKA EVROREGIJA</w:t>
      </w:r>
      <w:bookmarkEnd w:id="58"/>
    </w:p>
    <w:p w14:paraId="14952739" w14:textId="600C9E19" w:rsidR="00983F59" w:rsidRPr="00443151" w:rsidRDefault="57ADA994" w:rsidP="29A8477B">
      <w:pPr>
        <w:spacing w:line="257" w:lineRule="auto"/>
        <w:jc w:val="both"/>
      </w:pPr>
      <w:r w:rsidRPr="1F30B503">
        <w:rPr>
          <w:rFonts w:ascii="Aptos" w:eastAsia="Aptos" w:hAnsi="Aptos" w:cs="Aptos"/>
        </w:rPr>
        <w:t>Steber izraža razvojni potencial brezmejnosti. Izhodišče za analizo je podano upoštevaje izkušnj</w:t>
      </w:r>
      <w:r w:rsidR="00EA711C">
        <w:rPr>
          <w:rFonts w:ascii="Aptos" w:eastAsia="Aptos" w:hAnsi="Aptos" w:cs="Aptos"/>
        </w:rPr>
        <w:t>o</w:t>
      </w:r>
      <w:r w:rsidRPr="1F30B503">
        <w:rPr>
          <w:rFonts w:ascii="Aptos" w:eastAsia="Aptos" w:hAnsi="Aptos" w:cs="Aptos"/>
        </w:rPr>
        <w:t xml:space="preserve"> Evropske prestolnice kulture</w:t>
      </w:r>
      <w:r w:rsidR="00772597">
        <w:rPr>
          <w:rFonts w:ascii="Aptos" w:eastAsia="Aptos" w:hAnsi="Aptos" w:cs="Aptos"/>
        </w:rPr>
        <w:t xml:space="preserve"> 2025</w:t>
      </w:r>
      <w:r w:rsidRPr="1F30B503">
        <w:rPr>
          <w:rFonts w:ascii="Aptos" w:eastAsia="Aptos" w:hAnsi="Aptos" w:cs="Aptos"/>
        </w:rPr>
        <w:t xml:space="preserve"> kot priložnosti</w:t>
      </w:r>
      <w:r w:rsidR="00511BA2">
        <w:rPr>
          <w:rFonts w:ascii="Aptos" w:eastAsia="Aptos" w:hAnsi="Aptos" w:cs="Aptos"/>
        </w:rPr>
        <w:t xml:space="preserve"> čezmejnega sodelovanja</w:t>
      </w:r>
      <w:r w:rsidRPr="1F30B503">
        <w:rPr>
          <w:rFonts w:ascii="Aptos" w:eastAsia="Aptos" w:hAnsi="Aptos" w:cs="Aptos"/>
        </w:rPr>
        <w:t>, ki se lahko prenese tudi na druga področja delovanja</w:t>
      </w:r>
      <w:r w:rsidR="3151DCAA" w:rsidRPr="1F30B503">
        <w:rPr>
          <w:rFonts w:ascii="Aptos" w:eastAsia="Aptos" w:hAnsi="Aptos" w:cs="Aptos"/>
        </w:rPr>
        <w:t>.</w:t>
      </w:r>
    </w:p>
    <w:p w14:paraId="3284835A" w14:textId="2AB59EAD" w:rsidR="000B73BF" w:rsidRDefault="550FE0BF" w:rsidP="29A8477B">
      <w:pPr>
        <w:spacing w:line="257" w:lineRule="auto"/>
        <w:jc w:val="both"/>
        <w:rPr>
          <w:rFonts w:ascii="Aptos" w:eastAsia="Aptos" w:hAnsi="Aptos" w:cs="Aptos"/>
        </w:rPr>
      </w:pPr>
      <w:r w:rsidRPr="29A8477B">
        <w:rPr>
          <w:rFonts w:ascii="Aptos" w:eastAsia="Aptos" w:hAnsi="Aptos" w:cs="Aptos"/>
        </w:rPr>
        <w:t xml:space="preserve">Z združitvijo potenciala, ki ga imata </w:t>
      </w:r>
      <w:r w:rsidRPr="29A8477B">
        <w:rPr>
          <w:rFonts w:ascii="Aptos" w:eastAsia="Aptos" w:hAnsi="Aptos" w:cs="Aptos"/>
          <w:b/>
          <w:bCs/>
        </w:rPr>
        <w:t>Severno</w:t>
      </w:r>
      <w:r w:rsidR="31121B00" w:rsidRPr="29A8477B">
        <w:rPr>
          <w:rFonts w:ascii="Aptos" w:eastAsia="Aptos" w:hAnsi="Aptos" w:cs="Aptos"/>
          <w:b/>
          <w:bCs/>
        </w:rPr>
        <w:t xml:space="preserve"> </w:t>
      </w:r>
      <w:r w:rsidR="66F14950" w:rsidRPr="29A8477B">
        <w:rPr>
          <w:rFonts w:ascii="Aptos" w:eastAsia="Aptos" w:hAnsi="Aptos" w:cs="Aptos"/>
          <w:b/>
          <w:bCs/>
        </w:rPr>
        <w:t>P</w:t>
      </w:r>
      <w:r w:rsidRPr="29A8477B">
        <w:rPr>
          <w:rFonts w:ascii="Aptos" w:eastAsia="Aptos" w:hAnsi="Aptos" w:cs="Aptos"/>
          <w:b/>
          <w:bCs/>
        </w:rPr>
        <w:t xml:space="preserve">rimorska </w:t>
      </w:r>
      <w:r w:rsidR="19E30E12" w:rsidRPr="29A8477B">
        <w:rPr>
          <w:rFonts w:ascii="Aptos" w:eastAsia="Aptos" w:hAnsi="Aptos" w:cs="Aptos"/>
          <w:b/>
          <w:bCs/>
        </w:rPr>
        <w:t>(</w:t>
      </w:r>
      <w:r w:rsidRPr="29A8477B">
        <w:rPr>
          <w:rFonts w:ascii="Aptos" w:eastAsia="Aptos" w:hAnsi="Aptos" w:cs="Aptos"/>
          <w:b/>
          <w:bCs/>
        </w:rPr>
        <w:t>Goriška</w:t>
      </w:r>
      <w:r w:rsidR="1378C3BB" w:rsidRPr="29A8477B">
        <w:rPr>
          <w:rFonts w:ascii="Aptos" w:eastAsia="Aptos" w:hAnsi="Aptos" w:cs="Aptos"/>
          <w:b/>
          <w:bCs/>
        </w:rPr>
        <w:t>) razvojna</w:t>
      </w:r>
      <w:r w:rsidRPr="29A8477B">
        <w:rPr>
          <w:rFonts w:ascii="Aptos" w:eastAsia="Aptos" w:hAnsi="Aptos" w:cs="Aptos"/>
          <w:b/>
          <w:bCs/>
        </w:rPr>
        <w:t xml:space="preserve"> regija ter pokrajina Gorica </w:t>
      </w:r>
      <w:r w:rsidRPr="29A8477B">
        <w:rPr>
          <w:rFonts w:ascii="Aptos" w:eastAsia="Aptos" w:hAnsi="Aptos" w:cs="Aptos"/>
        </w:rPr>
        <w:t xml:space="preserve">se obmejnim občinam na Goriškem zagotovi edinstvena priložnost za razvoj. Regija živi in diha skupaj – prebivalci z obeh strani meje vsakodnevno sodelujejo pri delu, izobraževanju, kulturi, športu in prostem času. Z 250.000 prebivalci čezmejna regija zagotavlja lastno kritično maso za nadaljnji razvoj. </w:t>
      </w:r>
      <w:r w:rsidRPr="29A8477B">
        <w:rPr>
          <w:rFonts w:ascii="Aptos" w:eastAsia="Aptos" w:hAnsi="Aptos" w:cs="Aptos"/>
          <w:b/>
          <w:bCs/>
        </w:rPr>
        <w:t>Regija ustvarja nove standarde na nivoju EU</w:t>
      </w:r>
      <w:r w:rsidRPr="29A8477B">
        <w:rPr>
          <w:rFonts w:ascii="Aptos" w:eastAsia="Aptos" w:hAnsi="Aptos" w:cs="Aptos"/>
        </w:rPr>
        <w:t>.</w:t>
      </w:r>
    </w:p>
    <w:p w14:paraId="738D2651" w14:textId="50218F55" w:rsidR="550FE0BF" w:rsidRDefault="550FE0BF" w:rsidP="29A8477B">
      <w:pPr>
        <w:spacing w:line="257" w:lineRule="auto"/>
        <w:jc w:val="both"/>
      </w:pPr>
      <w:r w:rsidRPr="29A8477B">
        <w:rPr>
          <w:rFonts w:ascii="Aptos" w:eastAsia="Aptos" w:hAnsi="Aptos" w:cs="Aptos"/>
        </w:rPr>
        <w:t xml:space="preserve">Goriška </w:t>
      </w:r>
      <w:proofErr w:type="spellStart"/>
      <w:r w:rsidRPr="29A8477B">
        <w:rPr>
          <w:rFonts w:ascii="Aptos" w:eastAsia="Aptos" w:hAnsi="Aptos" w:cs="Aptos"/>
        </w:rPr>
        <w:t>evroregija</w:t>
      </w:r>
      <w:proofErr w:type="spellEnd"/>
      <w:r w:rsidRPr="29A8477B">
        <w:rPr>
          <w:rFonts w:ascii="Aptos" w:eastAsia="Aptos" w:hAnsi="Aptos" w:cs="Aptos"/>
        </w:rPr>
        <w:t xml:space="preserve"> prebivalcem in obiskovalcem nudi bogato izkušnjo na temelju evropskih vrednot, miru, trajnosti, povezanosti in varnosti. </w:t>
      </w:r>
      <w:proofErr w:type="spellStart"/>
      <w:r w:rsidRPr="29A8477B">
        <w:rPr>
          <w:rFonts w:ascii="Aptos" w:eastAsia="Aptos" w:hAnsi="Aptos" w:cs="Aptos"/>
          <w:b/>
          <w:bCs/>
        </w:rPr>
        <w:t>Evroregija</w:t>
      </w:r>
      <w:proofErr w:type="spellEnd"/>
      <w:r w:rsidRPr="29A8477B">
        <w:rPr>
          <w:rFonts w:ascii="Aptos" w:eastAsia="Aptos" w:hAnsi="Aptos" w:cs="Aptos"/>
          <w:b/>
          <w:bCs/>
        </w:rPr>
        <w:t xml:space="preserve"> pomeni upravljanje lokalnih zadev v dialogu </w:t>
      </w:r>
      <w:r w:rsidRPr="29A8477B">
        <w:rPr>
          <w:rFonts w:ascii="Aptos" w:eastAsia="Aptos" w:hAnsi="Aptos" w:cs="Aptos"/>
        </w:rPr>
        <w:t>ter nadaljnji razvoj povezanih in dopolnjujočih čezmejnih funkcij (gospodarstvo, logistika, šport, zdravstvo …).</w:t>
      </w:r>
    </w:p>
    <w:p w14:paraId="29BFA6B7" w14:textId="5F1A025E" w:rsidR="550FE0BF" w:rsidRDefault="57ADA994" w:rsidP="29A8477B">
      <w:pPr>
        <w:spacing w:line="257" w:lineRule="auto"/>
        <w:jc w:val="both"/>
      </w:pPr>
      <w:r w:rsidRPr="1706C59B">
        <w:rPr>
          <w:rFonts w:ascii="Aptos" w:eastAsia="Aptos" w:hAnsi="Aptos" w:cs="Aptos"/>
        </w:rPr>
        <w:t xml:space="preserve">Goriška </w:t>
      </w:r>
      <w:proofErr w:type="spellStart"/>
      <w:r w:rsidRPr="1706C59B">
        <w:rPr>
          <w:rFonts w:ascii="Aptos" w:eastAsia="Aptos" w:hAnsi="Aptos" w:cs="Aptos"/>
        </w:rPr>
        <w:t>evroregija</w:t>
      </w:r>
      <w:proofErr w:type="spellEnd"/>
      <w:r w:rsidRPr="1706C59B">
        <w:rPr>
          <w:rFonts w:ascii="Aptos" w:eastAsia="Aptos" w:hAnsi="Aptos" w:cs="Aptos"/>
        </w:rPr>
        <w:t xml:space="preserve"> je </w:t>
      </w:r>
      <w:r w:rsidRPr="1706C59B">
        <w:rPr>
          <w:rFonts w:ascii="Aptos" w:eastAsia="Aptos" w:hAnsi="Aptos" w:cs="Aptos"/>
          <w:b/>
          <w:bCs/>
        </w:rPr>
        <w:t>podnebno odporna, racionalna in skrbna pri rabi prednostno lastnih naravnih virov</w:t>
      </w:r>
      <w:r w:rsidRPr="1706C59B">
        <w:rPr>
          <w:rFonts w:ascii="Aptos" w:eastAsia="Aptos" w:hAnsi="Aptos" w:cs="Aptos"/>
        </w:rPr>
        <w:t xml:space="preserve">. Povezana je na področju </w:t>
      </w:r>
      <w:proofErr w:type="spellStart"/>
      <w:r w:rsidRPr="1706C59B">
        <w:rPr>
          <w:rFonts w:ascii="Aptos" w:eastAsia="Aptos" w:hAnsi="Aptos" w:cs="Aptos"/>
        </w:rPr>
        <w:t>vodooskrbe</w:t>
      </w:r>
      <w:proofErr w:type="spellEnd"/>
      <w:r w:rsidRPr="1706C59B">
        <w:rPr>
          <w:rFonts w:ascii="Aptos" w:eastAsia="Aptos" w:hAnsi="Aptos" w:cs="Aptos"/>
        </w:rPr>
        <w:t xml:space="preserve">, energetike in ključne infrastrukture, upravljamo skupne javne službe in zavode ter razrešujemo skupne izzive. Raznoliko, zdravo okolje privablja nove prebivalce, ki krepijo primerjalno prednost in bogatijo goriško </w:t>
      </w:r>
      <w:proofErr w:type="spellStart"/>
      <w:r w:rsidRPr="1706C59B">
        <w:rPr>
          <w:rFonts w:ascii="Aptos" w:eastAsia="Aptos" w:hAnsi="Aptos" w:cs="Aptos"/>
        </w:rPr>
        <w:t>evroregijo</w:t>
      </w:r>
      <w:proofErr w:type="spellEnd"/>
      <w:r w:rsidRPr="1706C59B">
        <w:rPr>
          <w:rFonts w:ascii="Aptos" w:eastAsia="Aptos" w:hAnsi="Aptos" w:cs="Aptos"/>
        </w:rPr>
        <w:t>.</w:t>
      </w:r>
      <w:r w:rsidR="00EA711C">
        <w:rPr>
          <w:rFonts w:ascii="Aptos" w:eastAsia="Aptos" w:hAnsi="Aptos" w:cs="Aptos"/>
        </w:rPr>
        <w:t xml:space="preserve"> </w:t>
      </w:r>
      <w:r w:rsidR="550FE0BF" w:rsidRPr="1706C59B">
        <w:rPr>
          <w:rFonts w:ascii="Aptos" w:eastAsia="Aptos" w:hAnsi="Aptos" w:cs="Aptos"/>
        </w:rPr>
        <w:t xml:space="preserve">Vzpostavljena je </w:t>
      </w:r>
      <w:r w:rsidR="550FE0BF" w:rsidRPr="1706C59B">
        <w:rPr>
          <w:rFonts w:ascii="Aptos" w:eastAsia="Aptos" w:hAnsi="Aptos" w:cs="Aptos"/>
          <w:b/>
          <w:bCs/>
        </w:rPr>
        <w:t>čezmejna visokotehnološka ekonomska cona</w:t>
      </w:r>
      <w:r w:rsidR="550FE0BF" w:rsidRPr="1706C59B">
        <w:rPr>
          <w:rFonts w:ascii="Aptos" w:eastAsia="Aptos" w:hAnsi="Aptos" w:cs="Aptos"/>
        </w:rPr>
        <w:t xml:space="preserve">, </w:t>
      </w:r>
      <w:r w:rsidR="550FE0BF" w:rsidRPr="1706C59B">
        <w:rPr>
          <w:rFonts w:ascii="Aptos" w:eastAsia="Aptos" w:hAnsi="Aptos" w:cs="Aptos"/>
          <w:b/>
          <w:bCs/>
        </w:rPr>
        <w:t xml:space="preserve">izobraževalni </w:t>
      </w:r>
      <w:proofErr w:type="spellStart"/>
      <w:r w:rsidR="550FE0BF" w:rsidRPr="1706C59B">
        <w:rPr>
          <w:rFonts w:ascii="Aptos" w:eastAsia="Aptos" w:hAnsi="Aptos" w:cs="Aptos"/>
          <w:b/>
          <w:bCs/>
        </w:rPr>
        <w:t>evrokampus</w:t>
      </w:r>
      <w:proofErr w:type="spellEnd"/>
      <w:r w:rsidR="550FE0BF" w:rsidRPr="1706C59B">
        <w:rPr>
          <w:rFonts w:ascii="Aptos" w:eastAsia="Aptos" w:hAnsi="Aptos" w:cs="Aptos"/>
          <w:b/>
          <w:bCs/>
        </w:rPr>
        <w:t xml:space="preserve"> </w:t>
      </w:r>
      <w:r w:rsidR="550FE0BF" w:rsidRPr="1706C59B">
        <w:rPr>
          <w:rFonts w:ascii="Aptos" w:eastAsia="Aptos" w:hAnsi="Aptos" w:cs="Aptos"/>
        </w:rPr>
        <w:t xml:space="preserve">ter </w:t>
      </w:r>
      <w:r w:rsidR="550FE0BF" w:rsidRPr="1706C59B">
        <w:rPr>
          <w:rFonts w:ascii="Aptos" w:eastAsia="Aptos" w:hAnsi="Aptos" w:cs="Aptos"/>
          <w:b/>
          <w:bCs/>
        </w:rPr>
        <w:t>evropsko središče mladih podjetnikov</w:t>
      </w:r>
      <w:r w:rsidR="550FE0BF" w:rsidRPr="1706C59B">
        <w:rPr>
          <w:rFonts w:ascii="Aptos" w:eastAsia="Aptos" w:hAnsi="Aptos" w:cs="Aptos"/>
        </w:rPr>
        <w:t xml:space="preserve">, ki privablja talente iz širše regije. </w:t>
      </w:r>
    </w:p>
    <w:p w14:paraId="5664B655" w14:textId="28314282" w:rsidR="00443151" w:rsidRPr="001178A8" w:rsidRDefault="5D1119AB" w:rsidP="23C3E973">
      <w:pPr>
        <w:jc w:val="both"/>
        <w:rPr>
          <w:rFonts w:ascii="Aptos" w:eastAsia="Aptos" w:hAnsi="Aptos" w:cs="Aptos"/>
        </w:rPr>
      </w:pPr>
      <w:r w:rsidRPr="1F30B503">
        <w:rPr>
          <w:rFonts w:ascii="Aptos" w:eastAsia="Aptos" w:hAnsi="Aptos" w:cs="Aptos"/>
        </w:rPr>
        <w:lastRenderedPageBreak/>
        <w:t xml:space="preserve">Z uresničevanjem ciljev iz stebra E se neposredno naslavlja izziv </w:t>
      </w:r>
      <w:r w:rsidR="71AF3B92" w:rsidRPr="1F30B503">
        <w:rPr>
          <w:rFonts w:ascii="Aptos" w:eastAsia="Aptos" w:hAnsi="Aptos" w:cs="Aptos"/>
        </w:rPr>
        <w:t xml:space="preserve">poglavja </w:t>
      </w:r>
      <w:r w:rsidR="396DB1E8" w:rsidRPr="1F30B503">
        <w:rPr>
          <w:rFonts w:ascii="Aptos" w:eastAsia="Aptos" w:hAnsi="Aptos" w:cs="Aptos"/>
        </w:rPr>
        <w:t>4</w:t>
      </w:r>
      <w:r w:rsidRPr="1F30B503">
        <w:rPr>
          <w:rFonts w:ascii="Aptos" w:eastAsia="Aptos" w:hAnsi="Aptos" w:cs="Aptos"/>
        </w:rPr>
        <w:t xml:space="preserve">.6, posredno pa izzive </w:t>
      </w:r>
      <w:r w:rsidR="3FFEEE48" w:rsidRPr="1F30B503">
        <w:rPr>
          <w:rFonts w:ascii="Aptos" w:eastAsia="Aptos" w:hAnsi="Aptos" w:cs="Aptos"/>
        </w:rPr>
        <w:t xml:space="preserve">poglavij </w:t>
      </w:r>
      <w:r w:rsidR="396DB1E8" w:rsidRPr="1F30B503">
        <w:rPr>
          <w:rFonts w:ascii="Aptos" w:eastAsia="Aptos" w:hAnsi="Aptos" w:cs="Aptos"/>
        </w:rPr>
        <w:t>4</w:t>
      </w:r>
      <w:r w:rsidRPr="1F30B503">
        <w:rPr>
          <w:rFonts w:ascii="Aptos" w:eastAsia="Aptos" w:hAnsi="Aptos" w:cs="Aptos"/>
        </w:rPr>
        <w:t xml:space="preserve">.1, </w:t>
      </w:r>
      <w:r w:rsidR="396DB1E8" w:rsidRPr="1F30B503">
        <w:rPr>
          <w:rFonts w:ascii="Aptos" w:eastAsia="Aptos" w:hAnsi="Aptos" w:cs="Aptos"/>
        </w:rPr>
        <w:t>4</w:t>
      </w:r>
      <w:r w:rsidRPr="1F30B503">
        <w:rPr>
          <w:rFonts w:ascii="Aptos" w:eastAsia="Aptos" w:hAnsi="Aptos" w:cs="Aptos"/>
        </w:rPr>
        <w:t xml:space="preserve">.2 in </w:t>
      </w:r>
      <w:r w:rsidR="396DB1E8" w:rsidRPr="1F30B503">
        <w:rPr>
          <w:rFonts w:ascii="Aptos" w:eastAsia="Aptos" w:hAnsi="Aptos" w:cs="Aptos"/>
        </w:rPr>
        <w:t>4</w:t>
      </w:r>
      <w:r w:rsidRPr="1F30B503">
        <w:rPr>
          <w:rFonts w:ascii="Aptos" w:eastAsia="Aptos" w:hAnsi="Aptos" w:cs="Aptos"/>
        </w:rPr>
        <w:t>.8</w:t>
      </w:r>
    </w:p>
    <w:p w14:paraId="140C58E1" w14:textId="01207CE9" w:rsidR="0075200A" w:rsidRDefault="12E2687F" w:rsidP="015A248B">
      <w:r w:rsidRPr="29A8477B">
        <w:rPr>
          <w:rFonts w:ascii="Aptos" w:eastAsia="Aptos" w:hAnsi="Aptos" w:cs="Aptos"/>
          <w:b/>
          <w:bCs/>
        </w:rPr>
        <w:t xml:space="preserve">Cilj E1: Usklajeno upravljano in funkcionalno povezano čezmejno </w:t>
      </w:r>
      <w:proofErr w:type="spellStart"/>
      <w:r w:rsidRPr="29A8477B">
        <w:rPr>
          <w:rFonts w:ascii="Aptos" w:eastAsia="Aptos" w:hAnsi="Aptos" w:cs="Aptos"/>
          <w:b/>
          <w:bCs/>
        </w:rPr>
        <w:t>somestje</w:t>
      </w:r>
      <w:proofErr w:type="spellEnd"/>
    </w:p>
    <w:p w14:paraId="08421A50" w14:textId="7F736430" w:rsidR="11C0D7A5" w:rsidRDefault="11C0D7A5" w:rsidP="29A8477B">
      <w:pPr>
        <w:jc w:val="both"/>
      </w:pPr>
      <w:r w:rsidRPr="29A8477B">
        <w:rPr>
          <w:rFonts w:ascii="Aptos" w:eastAsia="Aptos" w:hAnsi="Aptos" w:cs="Aptos"/>
          <w:b/>
          <w:bCs/>
        </w:rPr>
        <w:t xml:space="preserve">Mestna občina Nova Gorica bo do leta 2045 skupaj z Gorico in drugimi ključnimi partnerji soustvarila usklajeno upravljano in funkcionalno povezano čezmejno </w:t>
      </w:r>
      <w:proofErr w:type="spellStart"/>
      <w:r w:rsidRPr="29A8477B">
        <w:rPr>
          <w:rFonts w:ascii="Aptos" w:eastAsia="Aptos" w:hAnsi="Aptos" w:cs="Aptos"/>
          <w:b/>
          <w:bCs/>
        </w:rPr>
        <w:t>somestje</w:t>
      </w:r>
      <w:proofErr w:type="spellEnd"/>
      <w:r w:rsidRPr="29A8477B">
        <w:rPr>
          <w:rFonts w:ascii="Aptos" w:eastAsia="Aptos" w:hAnsi="Aptos" w:cs="Aptos"/>
          <w:b/>
          <w:bCs/>
        </w:rPr>
        <w:t xml:space="preserve">, ki bo temeljilo na odpravljanju administrativnih in sistemskih ovir, skupnem načrtovanju, povezanih </w:t>
      </w:r>
      <w:proofErr w:type="spellStart"/>
      <w:r w:rsidRPr="29A8477B">
        <w:rPr>
          <w:rFonts w:ascii="Aptos" w:eastAsia="Aptos" w:hAnsi="Aptos" w:cs="Aptos"/>
          <w:b/>
          <w:bCs/>
        </w:rPr>
        <w:t>mobilnostnih</w:t>
      </w:r>
      <w:proofErr w:type="spellEnd"/>
      <w:r w:rsidRPr="29A8477B">
        <w:rPr>
          <w:rFonts w:ascii="Aptos" w:eastAsia="Aptos" w:hAnsi="Aptos" w:cs="Aptos"/>
          <w:b/>
          <w:bCs/>
        </w:rPr>
        <w:t>, energetskih in varnostnih sistemih ter učinkovitem zagotavljanju skupnih javnih storitev za prebivalce in uporabnike prostora.</w:t>
      </w:r>
    </w:p>
    <w:p w14:paraId="217A55E9" w14:textId="05994855" w:rsidR="39B699E8" w:rsidRDefault="573B2FE9" w:rsidP="29A8477B">
      <w:pPr>
        <w:jc w:val="both"/>
        <w:rPr>
          <w:rFonts w:ascii="Aptos" w:eastAsia="Aptos" w:hAnsi="Aptos" w:cs="Aptos"/>
        </w:rPr>
      </w:pPr>
      <w:r w:rsidRPr="29A8477B">
        <w:rPr>
          <w:rFonts w:ascii="Aptos" w:eastAsia="Aptos" w:hAnsi="Aptos" w:cs="Aptos"/>
        </w:rPr>
        <w:t xml:space="preserve">Cilj naslavlja delovanje čezmejnega </w:t>
      </w:r>
      <w:proofErr w:type="spellStart"/>
      <w:r w:rsidR="5F972E79" w:rsidRPr="29A8477B">
        <w:rPr>
          <w:rFonts w:ascii="Aptos" w:eastAsia="Aptos" w:hAnsi="Aptos" w:cs="Aptos"/>
        </w:rPr>
        <w:t>somestja</w:t>
      </w:r>
      <w:proofErr w:type="spellEnd"/>
      <w:r w:rsidRPr="29A8477B">
        <w:rPr>
          <w:rFonts w:ascii="Aptos" w:eastAsia="Aptos" w:hAnsi="Aptos" w:cs="Aptos"/>
        </w:rPr>
        <w:t xml:space="preserve"> v praksi. V ospredju so vsakdanja vprašanja prebivalcev, podjetij, javnih ustanov in obiskovalcev</w:t>
      </w:r>
      <w:r w:rsidR="52CFB7A6" w:rsidRPr="29A8477B">
        <w:rPr>
          <w:rFonts w:ascii="Aptos" w:eastAsia="Aptos" w:hAnsi="Aptos" w:cs="Aptos"/>
        </w:rPr>
        <w:t>:</w:t>
      </w:r>
      <w:r w:rsidRPr="29A8477B">
        <w:rPr>
          <w:rFonts w:ascii="Aptos" w:eastAsia="Aptos" w:hAnsi="Aptos" w:cs="Aptos"/>
        </w:rPr>
        <w:t xml:space="preserve"> prehajanje meje, javni prevoz, skupne storitve, usklajena infrastruktura, energetski in vodni sistemi, civilna zaščita, varnost ter sodelovanje občinskih uprav in drugih institucij. Namen cilja je, da Nova Gorica in Gorica s partnerji razvijata rešitve, ki ljudem olajšajo življenje, institucijam omogočajo učinkovitejše delo, prostoru pa dajejo večjo razvojno moč.</w:t>
      </w:r>
    </w:p>
    <w:p w14:paraId="037C6A85" w14:textId="626E4CC6" w:rsidR="2D515462" w:rsidRDefault="4476BA2D" w:rsidP="23C3E973">
      <w:r w:rsidRPr="23C3E973">
        <w:rPr>
          <w:rFonts w:ascii="Aptos" w:eastAsia="Aptos" w:hAnsi="Aptos" w:cs="Aptos"/>
          <w:b/>
          <w:bCs/>
        </w:rPr>
        <w:t>Cilj E2: Mednarodno privlačn</w:t>
      </w:r>
      <w:r w:rsidR="3D8BCC72" w:rsidRPr="23C3E973">
        <w:rPr>
          <w:rFonts w:ascii="Aptos" w:eastAsia="Aptos" w:hAnsi="Aptos" w:cs="Aptos"/>
          <w:b/>
          <w:bCs/>
        </w:rPr>
        <w:t>a</w:t>
      </w:r>
      <w:r w:rsidRPr="23C3E973">
        <w:rPr>
          <w:rFonts w:ascii="Aptos" w:eastAsia="Aptos" w:hAnsi="Aptos" w:cs="Aptos"/>
          <w:b/>
          <w:bCs/>
        </w:rPr>
        <w:t>, odprt</w:t>
      </w:r>
      <w:r w:rsidR="78FB7F74" w:rsidRPr="23C3E973">
        <w:rPr>
          <w:rFonts w:ascii="Aptos" w:eastAsia="Aptos" w:hAnsi="Aptos" w:cs="Aptos"/>
          <w:b/>
          <w:bCs/>
        </w:rPr>
        <w:t>a</w:t>
      </w:r>
      <w:r w:rsidRPr="23C3E973">
        <w:rPr>
          <w:rFonts w:ascii="Aptos" w:eastAsia="Aptos" w:hAnsi="Aptos" w:cs="Aptos"/>
          <w:b/>
          <w:bCs/>
        </w:rPr>
        <w:t xml:space="preserve"> in prepoznavn</w:t>
      </w:r>
      <w:r w:rsidR="7FEF4FDB" w:rsidRPr="23C3E973">
        <w:rPr>
          <w:rFonts w:ascii="Aptos" w:eastAsia="Aptos" w:hAnsi="Aptos" w:cs="Aptos"/>
          <w:b/>
          <w:bCs/>
        </w:rPr>
        <w:t>a</w:t>
      </w:r>
      <w:r w:rsidR="584D1C28" w:rsidRPr="23C3E973">
        <w:rPr>
          <w:rFonts w:ascii="Aptos" w:eastAsia="Aptos" w:hAnsi="Aptos" w:cs="Aptos"/>
          <w:b/>
          <w:bCs/>
        </w:rPr>
        <w:t xml:space="preserve"> </w:t>
      </w:r>
      <w:proofErr w:type="spellStart"/>
      <w:r w:rsidR="28D4E107" w:rsidRPr="23C3E973">
        <w:rPr>
          <w:rFonts w:ascii="Aptos" w:eastAsia="Aptos" w:hAnsi="Aptos" w:cs="Aptos"/>
          <w:b/>
          <w:bCs/>
        </w:rPr>
        <w:t>evroregija</w:t>
      </w:r>
      <w:proofErr w:type="spellEnd"/>
    </w:p>
    <w:p w14:paraId="605F921A" w14:textId="6F5206A5" w:rsidR="542369FF" w:rsidRDefault="00547A0F" w:rsidP="23C3E973">
      <w:pPr>
        <w:jc w:val="both"/>
      </w:pPr>
      <w:r w:rsidRPr="1F30B503">
        <w:rPr>
          <w:rFonts w:ascii="Aptos" w:eastAsia="Aptos" w:hAnsi="Aptos" w:cs="Aptos"/>
          <w:b/>
          <w:bCs/>
        </w:rPr>
        <w:t xml:space="preserve">Mestna občina Nova Gorica bo do leta 2045 skupaj z Gorico </w:t>
      </w:r>
      <w:r w:rsidR="75AA1A2B" w:rsidRPr="1F30B503">
        <w:rPr>
          <w:rFonts w:ascii="Aptos" w:eastAsia="Aptos" w:hAnsi="Aptos" w:cs="Aptos"/>
          <w:b/>
          <w:bCs/>
        </w:rPr>
        <w:t xml:space="preserve">in drugimi ključnimi partnerji </w:t>
      </w:r>
      <w:r w:rsidRPr="1F30B503">
        <w:rPr>
          <w:rFonts w:ascii="Aptos" w:eastAsia="Aptos" w:hAnsi="Aptos" w:cs="Aptos"/>
          <w:b/>
          <w:bCs/>
        </w:rPr>
        <w:t>razvila mednarodno privlačn</w:t>
      </w:r>
      <w:r w:rsidR="4763B332" w:rsidRPr="1F30B503">
        <w:rPr>
          <w:rFonts w:ascii="Aptos" w:eastAsia="Aptos" w:hAnsi="Aptos" w:cs="Aptos"/>
          <w:b/>
          <w:bCs/>
        </w:rPr>
        <w:t>o</w:t>
      </w:r>
      <w:r w:rsidRPr="1F30B503">
        <w:rPr>
          <w:rFonts w:ascii="Aptos" w:eastAsia="Aptos" w:hAnsi="Aptos" w:cs="Aptos"/>
          <w:b/>
          <w:bCs/>
        </w:rPr>
        <w:t>, odprt</w:t>
      </w:r>
      <w:r w:rsidR="48EB63EF" w:rsidRPr="1F30B503">
        <w:rPr>
          <w:rFonts w:ascii="Aptos" w:eastAsia="Aptos" w:hAnsi="Aptos" w:cs="Aptos"/>
          <w:b/>
          <w:bCs/>
        </w:rPr>
        <w:t>o</w:t>
      </w:r>
      <w:r w:rsidRPr="1F30B503">
        <w:rPr>
          <w:rFonts w:ascii="Aptos" w:eastAsia="Aptos" w:hAnsi="Aptos" w:cs="Aptos"/>
          <w:b/>
          <w:bCs/>
        </w:rPr>
        <w:t xml:space="preserve"> in prepoznavn</w:t>
      </w:r>
      <w:r w:rsidR="03F2D3AE" w:rsidRPr="1F30B503">
        <w:rPr>
          <w:rFonts w:ascii="Aptos" w:eastAsia="Aptos" w:hAnsi="Aptos" w:cs="Aptos"/>
          <w:b/>
          <w:bCs/>
        </w:rPr>
        <w:t>o</w:t>
      </w:r>
      <w:r w:rsidR="16962CFB" w:rsidRPr="1F30B503">
        <w:rPr>
          <w:rFonts w:ascii="Aptos" w:eastAsia="Aptos" w:hAnsi="Aptos" w:cs="Aptos"/>
          <w:b/>
          <w:bCs/>
        </w:rPr>
        <w:t xml:space="preserve"> </w:t>
      </w:r>
      <w:proofErr w:type="spellStart"/>
      <w:r w:rsidR="4CBEE6B7" w:rsidRPr="1F30B503">
        <w:rPr>
          <w:rFonts w:ascii="Aptos" w:eastAsia="Aptos" w:hAnsi="Aptos" w:cs="Aptos"/>
          <w:b/>
          <w:bCs/>
        </w:rPr>
        <w:t>evroregijo</w:t>
      </w:r>
      <w:proofErr w:type="spellEnd"/>
      <w:r w:rsidRPr="1F30B503">
        <w:rPr>
          <w:rFonts w:ascii="Aptos" w:eastAsia="Aptos" w:hAnsi="Aptos" w:cs="Aptos"/>
          <w:b/>
          <w:bCs/>
        </w:rPr>
        <w:t>, ki bo s skupno promocijo, kulturo, podjetništvom, jezikovno odprtostjo, priložnostmi za mlade ter visoko kakovostjo bivanja, dela, študija in prostega časa krepil</w:t>
      </w:r>
      <w:r w:rsidR="43AA5DEC" w:rsidRPr="1F30B503">
        <w:rPr>
          <w:rFonts w:ascii="Aptos" w:eastAsia="Aptos" w:hAnsi="Aptos" w:cs="Aptos"/>
          <w:b/>
          <w:bCs/>
        </w:rPr>
        <w:t>a</w:t>
      </w:r>
      <w:r w:rsidRPr="1F30B503">
        <w:rPr>
          <w:rFonts w:ascii="Aptos" w:eastAsia="Aptos" w:hAnsi="Aptos" w:cs="Aptos"/>
          <w:b/>
          <w:bCs/>
        </w:rPr>
        <w:t xml:space="preserve"> svojo vlogo v evropskem prostoru.</w:t>
      </w:r>
    </w:p>
    <w:p w14:paraId="1EA020DD" w14:textId="3B10D171" w:rsidR="219DB415" w:rsidRDefault="4A5EF5C0" w:rsidP="002F07BA">
      <w:pPr>
        <w:spacing w:after="0"/>
        <w:jc w:val="both"/>
      </w:pPr>
      <w:r w:rsidRPr="29A8477B">
        <w:rPr>
          <w:rFonts w:ascii="Aptos" w:eastAsia="Aptos" w:hAnsi="Aptos" w:cs="Aptos"/>
        </w:rPr>
        <w:t xml:space="preserve">Cilj se nanaša na zunanjo prepoznavnost in privlačnost Goriške </w:t>
      </w:r>
      <w:proofErr w:type="spellStart"/>
      <w:r w:rsidRPr="29A8477B">
        <w:rPr>
          <w:rFonts w:ascii="Aptos" w:eastAsia="Aptos" w:hAnsi="Aptos" w:cs="Aptos"/>
        </w:rPr>
        <w:t>evroregije</w:t>
      </w:r>
      <w:proofErr w:type="spellEnd"/>
      <w:r w:rsidRPr="29A8477B">
        <w:rPr>
          <w:rFonts w:ascii="Aptos" w:eastAsia="Aptos" w:hAnsi="Aptos" w:cs="Aptos"/>
        </w:rPr>
        <w:t xml:space="preserve">. V praksi pomeni skupno promocijo prostora, razvoj čezmejnih kulturnih, izobraževalnih, podjetniških, športnih in turističnih vsebin ter krepitev pogojev za študij, delo, bivanje in prosti čas na obeh straneh meje. Poseben pomen imajo mladi, talenti, podjetniki, raziskovalci, ustvarjalci in novi prebivalci, ki lahko v </w:t>
      </w:r>
      <w:r w:rsidR="0A2CA01D" w:rsidRPr="29A8477B">
        <w:rPr>
          <w:rFonts w:ascii="Aptos" w:eastAsia="Aptos" w:hAnsi="Aptos" w:cs="Aptos"/>
        </w:rPr>
        <w:t xml:space="preserve">širšem </w:t>
      </w:r>
      <w:r w:rsidRPr="29A8477B">
        <w:rPr>
          <w:rFonts w:ascii="Aptos" w:eastAsia="Aptos" w:hAnsi="Aptos" w:cs="Aptos"/>
        </w:rPr>
        <w:t>čezmejnem prostoru prepoznajo več priložnosti kot v posameznem mestu ali občini.</w:t>
      </w:r>
    </w:p>
    <w:p w14:paraId="33DC0CCA" w14:textId="77777777" w:rsidR="00C63B45" w:rsidRPr="00443151" w:rsidRDefault="00C63B45" w:rsidP="002F07BA">
      <w:pPr>
        <w:spacing w:after="0"/>
        <w:jc w:val="both"/>
        <w:rPr>
          <w:rFonts w:ascii="Aptos" w:eastAsia="Aptos" w:hAnsi="Aptos" w:cs="Aptos"/>
        </w:rPr>
      </w:pPr>
    </w:p>
    <w:tbl>
      <w:tblPr>
        <w:tblStyle w:val="Tabelamrea"/>
        <w:tblW w:w="0" w:type="auto"/>
        <w:tblLook w:val="04A0" w:firstRow="1" w:lastRow="0" w:firstColumn="1" w:lastColumn="0" w:noHBand="0" w:noVBand="1"/>
      </w:tblPr>
      <w:tblGrid>
        <w:gridCol w:w="3208"/>
        <w:gridCol w:w="3203"/>
        <w:gridCol w:w="3207"/>
      </w:tblGrid>
      <w:tr w:rsidR="29A8477B" w14:paraId="2D95A091" w14:textId="77777777" w:rsidTr="00C63B45">
        <w:trPr>
          <w:trHeight w:val="300"/>
          <w:tblHeader/>
        </w:trPr>
        <w:tc>
          <w:tcPr>
            <w:tcW w:w="3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3AECAD4" w14:textId="7B1C09B9" w:rsidR="29A8477B" w:rsidRDefault="28BAE3B1" w:rsidP="1F30B503">
            <w:pPr>
              <w:jc w:val="center"/>
              <w:rPr>
                <w:rFonts w:ascii="Aptos" w:eastAsia="Aptos" w:hAnsi="Aptos" w:cs="Aptos"/>
              </w:rPr>
            </w:pPr>
            <w:r w:rsidRPr="1F30B503">
              <w:rPr>
                <w:rFonts w:ascii="Aptos" w:eastAsia="Aptos" w:hAnsi="Aptos" w:cs="Aptos"/>
              </w:rPr>
              <w:t>Strateški kazalnik</w:t>
            </w:r>
          </w:p>
        </w:tc>
        <w:tc>
          <w:tcPr>
            <w:tcW w:w="3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48AE5E" w14:textId="0DD16709" w:rsidR="29A8477B" w:rsidRDefault="28BAE3B1" w:rsidP="1F30B503">
            <w:pPr>
              <w:jc w:val="center"/>
              <w:rPr>
                <w:rFonts w:ascii="Aptos" w:eastAsia="Aptos" w:hAnsi="Aptos" w:cs="Aptos"/>
              </w:rPr>
            </w:pPr>
            <w:r w:rsidRPr="1F30B503">
              <w:rPr>
                <w:rFonts w:ascii="Aptos" w:eastAsia="Aptos" w:hAnsi="Aptos" w:cs="Aptos"/>
              </w:rPr>
              <w:t>Navezava na cilj</w:t>
            </w:r>
          </w:p>
        </w:tc>
        <w:tc>
          <w:tcPr>
            <w:tcW w:w="3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BF5723" w14:textId="37EBFF47" w:rsidR="29A8477B" w:rsidRDefault="28BAE3B1" w:rsidP="1F30B503">
            <w:pPr>
              <w:jc w:val="center"/>
              <w:rPr>
                <w:rFonts w:ascii="Aptos" w:eastAsia="Aptos" w:hAnsi="Aptos" w:cs="Aptos"/>
              </w:rPr>
            </w:pPr>
            <w:r w:rsidRPr="1F30B503">
              <w:rPr>
                <w:rFonts w:ascii="Aptos" w:eastAsia="Aptos" w:hAnsi="Aptos" w:cs="Aptos"/>
              </w:rPr>
              <w:t>Opis</w:t>
            </w:r>
          </w:p>
        </w:tc>
      </w:tr>
      <w:tr w:rsidR="29A8477B" w14:paraId="035A48CB" w14:textId="77777777" w:rsidTr="1F30B503">
        <w:trPr>
          <w:trHeight w:val="300"/>
        </w:trPr>
        <w:tc>
          <w:tcPr>
            <w:tcW w:w="3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A60F10" w14:textId="09D839B5" w:rsidR="29A8477B" w:rsidRDefault="28BAE3B1" w:rsidP="1F30B503">
            <w:pPr>
              <w:rPr>
                <w:rFonts w:ascii="Aptos" w:eastAsia="Aptos" w:hAnsi="Aptos" w:cs="Aptos"/>
              </w:rPr>
            </w:pPr>
            <w:r w:rsidRPr="1F30B503">
              <w:rPr>
                <w:rFonts w:ascii="Aptos" w:eastAsia="Aptos" w:hAnsi="Aptos" w:cs="Aptos"/>
              </w:rPr>
              <w:t>Število skupnih čezmejnih javnih storitev, sistemov ali upravljavskih rešitev</w:t>
            </w:r>
          </w:p>
        </w:tc>
        <w:tc>
          <w:tcPr>
            <w:tcW w:w="3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44A3C30" w14:textId="14813D3A" w:rsidR="29A8477B" w:rsidRDefault="28BAE3B1" w:rsidP="1F30B503">
            <w:pPr>
              <w:rPr>
                <w:rFonts w:ascii="Aptos" w:eastAsia="Aptos" w:hAnsi="Aptos" w:cs="Aptos"/>
              </w:rPr>
            </w:pPr>
            <w:r w:rsidRPr="1F30B503">
              <w:rPr>
                <w:rFonts w:ascii="Aptos" w:eastAsia="Aptos" w:hAnsi="Aptos" w:cs="Aptos"/>
              </w:rPr>
              <w:t>E1</w:t>
            </w:r>
          </w:p>
        </w:tc>
        <w:tc>
          <w:tcPr>
            <w:tcW w:w="3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E037506" w14:textId="0EE7698A" w:rsidR="29A8477B" w:rsidRDefault="2315447A" w:rsidP="1F30B503">
            <w:pPr>
              <w:rPr>
                <w:rFonts w:ascii="Aptos" w:eastAsia="Aptos" w:hAnsi="Aptos" w:cs="Aptos"/>
              </w:rPr>
            </w:pPr>
            <w:r w:rsidRPr="1F30B503">
              <w:rPr>
                <w:rFonts w:ascii="Aptos" w:eastAsia="Aptos" w:hAnsi="Aptos" w:cs="Aptos"/>
              </w:rPr>
              <w:t>Meri število trajno delujočih skupnih ali usklajenih storitev, sistemov in upravljavskih rešitev. Enkratni dogodki in projekti brez nadaljnjega delovanja se ne upoštevajo.</w:t>
            </w:r>
            <w:r w:rsidR="28BAE3B1" w:rsidRPr="1F30B503">
              <w:rPr>
                <w:rFonts w:ascii="Aptos" w:eastAsia="Aptos" w:hAnsi="Aptos" w:cs="Aptos"/>
              </w:rPr>
              <w:t xml:space="preserve"> Kazalnik presega simbolno sodelovanje in meri funkcionalno povezanost prostora.</w:t>
            </w:r>
          </w:p>
        </w:tc>
      </w:tr>
      <w:tr w:rsidR="29A8477B" w14:paraId="1E3A3973" w14:textId="77777777" w:rsidTr="1F30B503">
        <w:trPr>
          <w:trHeight w:val="300"/>
        </w:trPr>
        <w:tc>
          <w:tcPr>
            <w:tcW w:w="3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E33EE45" w14:textId="389DAE76" w:rsidR="29A8477B" w:rsidRPr="00084822" w:rsidRDefault="28BAE3B1" w:rsidP="1F30B503">
            <w:pPr>
              <w:rPr>
                <w:rFonts w:ascii="Aptos" w:eastAsia="Aptos" w:hAnsi="Aptos" w:cs="Aptos"/>
              </w:rPr>
            </w:pPr>
            <w:r w:rsidRPr="00084822">
              <w:rPr>
                <w:rFonts w:ascii="Aptos" w:eastAsia="Aptos" w:hAnsi="Aptos" w:cs="Aptos"/>
              </w:rPr>
              <w:t xml:space="preserve">Uporaba čezmejnih </w:t>
            </w:r>
            <w:proofErr w:type="spellStart"/>
            <w:r w:rsidRPr="00084822">
              <w:rPr>
                <w:rFonts w:ascii="Aptos" w:eastAsia="Aptos" w:hAnsi="Aptos" w:cs="Aptos"/>
              </w:rPr>
              <w:t>mobilnostnih</w:t>
            </w:r>
            <w:proofErr w:type="spellEnd"/>
            <w:r w:rsidRPr="00084822">
              <w:rPr>
                <w:rFonts w:ascii="Aptos" w:eastAsia="Aptos" w:hAnsi="Aptos" w:cs="Aptos"/>
              </w:rPr>
              <w:t xml:space="preserve"> povezav</w:t>
            </w:r>
          </w:p>
        </w:tc>
        <w:tc>
          <w:tcPr>
            <w:tcW w:w="3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2B8BE24" w14:textId="3D1696B0" w:rsidR="29A8477B" w:rsidRPr="00084822" w:rsidRDefault="28BAE3B1" w:rsidP="1F30B503">
            <w:pPr>
              <w:rPr>
                <w:rFonts w:ascii="Aptos" w:eastAsia="Aptos" w:hAnsi="Aptos" w:cs="Aptos"/>
              </w:rPr>
            </w:pPr>
            <w:r w:rsidRPr="00084822">
              <w:rPr>
                <w:rFonts w:ascii="Aptos" w:eastAsia="Aptos" w:hAnsi="Aptos" w:cs="Aptos"/>
              </w:rPr>
              <w:t>E1</w:t>
            </w:r>
          </w:p>
        </w:tc>
        <w:tc>
          <w:tcPr>
            <w:tcW w:w="3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4000B6" w14:textId="19D33412" w:rsidR="29A8477B" w:rsidRPr="00084822" w:rsidRDefault="6756AEE7" w:rsidP="1F30B503">
            <w:pPr>
              <w:rPr>
                <w:rFonts w:ascii="Aptos" w:eastAsia="Aptos" w:hAnsi="Aptos" w:cs="Aptos"/>
              </w:rPr>
            </w:pPr>
            <w:r w:rsidRPr="00084822">
              <w:rPr>
                <w:rFonts w:ascii="Aptos" w:eastAsia="Aptos" w:hAnsi="Aptos" w:cs="Aptos"/>
              </w:rPr>
              <w:t xml:space="preserve">Meri število </w:t>
            </w:r>
            <w:r w:rsidR="60EF02E4" w:rsidRPr="00084822">
              <w:rPr>
                <w:rFonts w:ascii="Aptos" w:eastAsia="Aptos" w:hAnsi="Aptos" w:cs="Aptos"/>
              </w:rPr>
              <w:t xml:space="preserve">uporabnikov </w:t>
            </w:r>
            <w:r w:rsidRPr="00084822">
              <w:rPr>
                <w:rFonts w:ascii="Aptos" w:eastAsia="Aptos" w:hAnsi="Aptos" w:cs="Aptos"/>
              </w:rPr>
              <w:t xml:space="preserve">čezmejnih  prometnih </w:t>
            </w:r>
            <w:r w:rsidR="69168493" w:rsidRPr="00084822">
              <w:rPr>
                <w:rFonts w:ascii="Aptos" w:eastAsia="Aptos" w:hAnsi="Aptos" w:cs="Aptos"/>
              </w:rPr>
              <w:t>storitev (potniki in uporabniki mreže izposoje koles</w:t>
            </w:r>
            <w:r w:rsidR="7F9AE594" w:rsidRPr="00084822">
              <w:rPr>
                <w:rFonts w:ascii="Aptos" w:eastAsia="Aptos" w:hAnsi="Aptos" w:cs="Aptos"/>
              </w:rPr>
              <w:t xml:space="preserve"> Go2Go</w:t>
            </w:r>
            <w:r w:rsidR="69168493" w:rsidRPr="00084822">
              <w:rPr>
                <w:rFonts w:ascii="Aptos" w:eastAsia="Aptos" w:hAnsi="Aptos" w:cs="Aptos"/>
              </w:rPr>
              <w:t>)</w:t>
            </w:r>
            <w:r w:rsidRPr="00084822">
              <w:rPr>
                <w:rFonts w:ascii="Aptos" w:eastAsia="Aptos" w:hAnsi="Aptos" w:cs="Aptos"/>
              </w:rPr>
              <w:t>. Kakovost in zadovoljstvo uporabnikov se spremljata z dopolnilno periodično anketo.</w:t>
            </w:r>
          </w:p>
        </w:tc>
      </w:tr>
      <w:tr w:rsidR="29A8477B" w14:paraId="791A2844" w14:textId="77777777" w:rsidTr="1F30B503">
        <w:trPr>
          <w:trHeight w:val="300"/>
        </w:trPr>
        <w:tc>
          <w:tcPr>
            <w:tcW w:w="3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437B68C" w14:textId="7C35FB25" w:rsidR="29A8477B" w:rsidRPr="00084822" w:rsidRDefault="2979D6D8" w:rsidP="1F30B503">
            <w:pPr>
              <w:rPr>
                <w:rFonts w:ascii="Aptos" w:eastAsia="Aptos" w:hAnsi="Aptos" w:cs="Aptos"/>
              </w:rPr>
            </w:pPr>
            <w:r w:rsidRPr="00084822">
              <w:rPr>
                <w:rFonts w:ascii="Aptos" w:eastAsia="Aptos" w:hAnsi="Aptos" w:cs="Aptos"/>
              </w:rPr>
              <w:t xml:space="preserve">Mednarodna udeležba v skupnih čezmejnih kulturnih, </w:t>
            </w:r>
            <w:r w:rsidRPr="00084822">
              <w:rPr>
                <w:rFonts w:ascii="Aptos" w:eastAsia="Aptos" w:hAnsi="Aptos" w:cs="Aptos"/>
              </w:rPr>
              <w:lastRenderedPageBreak/>
              <w:t>izobraževalnih, podjetniških, športnih in turističnih programih</w:t>
            </w:r>
          </w:p>
        </w:tc>
        <w:tc>
          <w:tcPr>
            <w:tcW w:w="3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C21DD65" w14:textId="580C8275" w:rsidR="29A8477B" w:rsidRPr="00084822" w:rsidRDefault="28BAE3B1" w:rsidP="1F30B503">
            <w:pPr>
              <w:rPr>
                <w:rFonts w:ascii="Aptos" w:eastAsia="Aptos" w:hAnsi="Aptos" w:cs="Aptos"/>
              </w:rPr>
            </w:pPr>
            <w:r w:rsidRPr="00084822">
              <w:rPr>
                <w:rFonts w:ascii="Aptos" w:eastAsia="Aptos" w:hAnsi="Aptos" w:cs="Aptos"/>
              </w:rPr>
              <w:lastRenderedPageBreak/>
              <w:t>E1, E2</w:t>
            </w:r>
          </w:p>
        </w:tc>
        <w:tc>
          <w:tcPr>
            <w:tcW w:w="322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2A1254" w14:textId="0F883A6B" w:rsidR="29A8477B" w:rsidRPr="00084822" w:rsidRDefault="37FBDE1D" w:rsidP="29A8477B">
            <w:pPr>
              <w:rPr>
                <w:rFonts w:ascii="Aptos" w:eastAsia="Aptos" w:hAnsi="Aptos" w:cs="Aptos"/>
              </w:rPr>
            </w:pPr>
            <w:r w:rsidRPr="00084822">
              <w:rPr>
                <w:rFonts w:ascii="Aptos" w:eastAsia="Aptos" w:hAnsi="Aptos" w:cs="Aptos"/>
              </w:rPr>
              <w:t xml:space="preserve">Meri število udeležencev in obiskovalcev iz širšega </w:t>
            </w:r>
            <w:r w:rsidRPr="00084822">
              <w:rPr>
                <w:rFonts w:ascii="Aptos" w:eastAsia="Aptos" w:hAnsi="Aptos" w:cs="Aptos"/>
              </w:rPr>
              <w:lastRenderedPageBreak/>
              <w:t>evropskega in mednarodnega prostora v izbranih skupnih čezmejnih programih.</w:t>
            </w:r>
          </w:p>
        </w:tc>
      </w:tr>
    </w:tbl>
    <w:p w14:paraId="7BAED149" w14:textId="0A8EC603" w:rsidR="00A56F47" w:rsidRDefault="41C3D5EE" w:rsidP="004A1C14">
      <w:pPr>
        <w:pStyle w:val="Naslov1"/>
        <w:numPr>
          <w:ilvl w:val="0"/>
          <w:numId w:val="40"/>
        </w:numPr>
        <w:spacing w:before="240" w:after="120"/>
        <w:ind w:left="357" w:hanging="357"/>
      </w:pPr>
      <w:bookmarkStart w:id="59" w:name="_Toc1404193139"/>
      <w:bookmarkStart w:id="60" w:name="_Toc614678304"/>
      <w:bookmarkStart w:id="61" w:name="_Toc239414911"/>
      <w:r>
        <w:lastRenderedPageBreak/>
        <w:t>Strateški</w:t>
      </w:r>
      <w:r w:rsidR="0C6D5D46">
        <w:t xml:space="preserve"> projekti in program</w:t>
      </w:r>
      <w:r w:rsidR="01619197">
        <w:t>sk</w:t>
      </w:r>
      <w:r w:rsidR="0C6D5D46">
        <w:t>i sklopi</w:t>
      </w:r>
      <w:bookmarkEnd w:id="59"/>
      <w:bookmarkEnd w:id="60"/>
      <w:bookmarkEnd w:id="61"/>
    </w:p>
    <w:p w14:paraId="0C85D015" w14:textId="38501CAF" w:rsidR="0AA8248E" w:rsidRDefault="422FEF1C" w:rsidP="1633040D">
      <w:pPr>
        <w:jc w:val="both"/>
      </w:pPr>
      <w:r>
        <w:t>Strategija</w:t>
      </w:r>
      <w:r w:rsidR="2EF55966">
        <w:t xml:space="preserve"> razvoja</w:t>
      </w:r>
      <w:r>
        <w:t xml:space="preserve"> MONG 2045 se bo uresničevala skozi projekte, programske sklope in partnerske pobude. Ker pomembnejši razvojni projekti pogosto presegajo eno samo področje, so v nadaljevanju prikazani glede na primarni strateški cilj in glede na druge cilje, ki jih dodatno podpirajo.</w:t>
      </w:r>
      <w:r w:rsidR="4A083967">
        <w:t xml:space="preserve"> Podrobnejša presoja strateških projektov in programskih sklopov po obeh horizontalnih načelih se izvede pri pripravi akcijskih načrtov in projektnih zasnov.</w:t>
      </w:r>
    </w:p>
    <w:p w14:paraId="4666C9B6" w14:textId="06D6793B" w:rsidR="0CF62B67" w:rsidRDefault="0CF62B67" w:rsidP="1F30B503">
      <w:pPr>
        <w:jc w:val="both"/>
      </w:pPr>
      <w:r w:rsidRPr="00C63B45">
        <w:t>Projekti so bili izbrani glede na obstoječe projektne ideje</w:t>
      </w:r>
      <w:r w:rsidR="21F65923" w:rsidRPr="00C63B45">
        <w:t xml:space="preserve"> MONG</w:t>
      </w:r>
      <w:r w:rsidRPr="00C63B45">
        <w:t>, ki so v različnih fazah obdelave</w:t>
      </w:r>
      <w:r w:rsidR="7C7E0272" w:rsidRPr="00C63B45">
        <w:t>,</w:t>
      </w:r>
      <w:r w:rsidR="67053465">
        <w:t xml:space="preserve"> projekte, ki</w:t>
      </w:r>
      <w:r w:rsidR="1E662860" w:rsidRPr="00C63B45">
        <w:t xml:space="preserve"> so vključeni v obstoječe sektorske strate</w:t>
      </w:r>
      <w:r w:rsidR="17F2291B" w:rsidRPr="00C63B45">
        <w:t>g</w:t>
      </w:r>
      <w:r w:rsidR="1E662860" w:rsidRPr="00C63B45">
        <w:t>ije</w:t>
      </w:r>
      <w:r w:rsidRPr="00C63B45">
        <w:t xml:space="preserve"> </w:t>
      </w:r>
      <w:r w:rsidR="49344D08" w:rsidRPr="00C63B45">
        <w:t>ali</w:t>
      </w:r>
      <w:r w:rsidR="100979BC" w:rsidRPr="00C63B45">
        <w:t xml:space="preserve"> so bili izpostavljeni kot </w:t>
      </w:r>
      <w:r w:rsidRPr="00C63B45">
        <w:t xml:space="preserve">pobude </w:t>
      </w:r>
      <w:r w:rsidR="07F5FC30" w:rsidRPr="00C63B45">
        <w:t>v</w:t>
      </w:r>
      <w:r w:rsidRPr="00C63B45">
        <w:t xml:space="preserve"> participativne</w:t>
      </w:r>
      <w:r w:rsidR="5511BF95" w:rsidRPr="00C63B45">
        <w:t>m</w:t>
      </w:r>
      <w:r w:rsidRPr="00C63B45">
        <w:t xml:space="preserve"> proces</w:t>
      </w:r>
      <w:r w:rsidR="5A280BDE" w:rsidRPr="00C63B45">
        <w:t>u.</w:t>
      </w:r>
      <w:r w:rsidR="428F1022" w:rsidRPr="00C63B45">
        <w:t xml:space="preserve"> </w:t>
      </w:r>
      <w:r w:rsidR="20B33DBD" w:rsidRPr="00C63B45">
        <w:t>Prikazani</w:t>
      </w:r>
      <w:r w:rsidR="0FC22FB9" w:rsidRPr="00C63B45">
        <w:t xml:space="preserve"> projekti v največji meri </w:t>
      </w:r>
      <w:r w:rsidR="0439BB2E" w:rsidRPr="00C63B45">
        <w:t>prispevajo k</w:t>
      </w:r>
      <w:r w:rsidR="0FC22FB9" w:rsidRPr="00C63B45">
        <w:t xml:space="preserve"> stratešk</w:t>
      </w:r>
      <w:r w:rsidR="18372546" w:rsidRPr="00C63B45">
        <w:t>im</w:t>
      </w:r>
      <w:r w:rsidR="0FC22FB9" w:rsidRPr="00C63B45">
        <w:t xml:space="preserve"> cilje</w:t>
      </w:r>
      <w:r w:rsidR="2DD20A4D" w:rsidRPr="00C63B45">
        <w:t>m</w:t>
      </w:r>
      <w:r w:rsidR="0FC22FB9" w:rsidRPr="00C63B45">
        <w:t xml:space="preserve"> ter imajo potencial </w:t>
      </w:r>
      <w:r w:rsidR="57B7096E" w:rsidRPr="00C63B45">
        <w:t>za uresničevanje horizontalnih načel.</w:t>
      </w:r>
    </w:p>
    <w:p w14:paraId="4864C711" w14:textId="1BC0F7E2" w:rsidR="1F30B503" w:rsidRPr="00C63B45" w:rsidRDefault="107FE524" w:rsidP="1F30B503">
      <w:pPr>
        <w:jc w:val="both"/>
      </w:pPr>
      <w:r>
        <w:t xml:space="preserve">Nabor projektov ni dokončen. </w:t>
      </w:r>
      <w:r w:rsidR="2ABE8214">
        <w:t>V</w:t>
      </w:r>
      <w:r w:rsidR="1766CA62">
        <w:t xml:space="preserve"> obdobju uresničevanja strategije</w:t>
      </w:r>
      <w:r w:rsidR="50AEFCDC">
        <w:t xml:space="preserve"> se lahko</w:t>
      </w:r>
      <w:r w:rsidR="1766CA62">
        <w:t xml:space="preserve"> pojavijo tudi nove projektne ideje</w:t>
      </w:r>
      <w:r w:rsidR="04544915">
        <w:t>, ki prispevajo k ciljem in niso še vključen</w:t>
      </w:r>
      <w:r w:rsidR="39294316">
        <w:t>e</w:t>
      </w:r>
      <w:r w:rsidR="04544915" w:rsidRPr="00C63B45">
        <w:t xml:space="preserve"> v izdelani seznam</w:t>
      </w:r>
      <w:r w:rsidR="1766CA62" w:rsidRPr="00C63B45">
        <w:t xml:space="preserve">. </w:t>
      </w:r>
      <w:r w:rsidR="1F879DB6">
        <w:t>Podrobnejša presoja strateških projektov in programskih sklopov po obeh horizontalnih načelih se izvede pri pripravi akcijskih načrtov in projektnih zasnov.</w:t>
      </w:r>
    </w:p>
    <w:p w14:paraId="65FDCB49" w14:textId="44D2D599" w:rsidR="1F61886F" w:rsidRDefault="1F61886F" w:rsidP="1F30B503">
      <w:pPr>
        <w:jc w:val="both"/>
      </w:pPr>
      <w:r>
        <w:t>Časovna oznaka prikazuje predvideno obdobje</w:t>
      </w:r>
      <w:r w:rsidR="4F32F90F">
        <w:t xml:space="preserve"> pričakovanega</w:t>
      </w:r>
      <w:r>
        <w:t xml:space="preserve"> zaključka projekta oziroma doseganja njegove ključne izvedbene faze. Pri programskih sklopih in trajnejših razvojnih aktivnostih označuje obdobje, do katerega naj bi bil vzpostavljen sistem, program ali prvi celovit rezultat. Časovna razvrstitev je okvirna ter se preverja in posodablja v akcijskih načrtih.</w:t>
      </w:r>
    </w:p>
    <w:p w14:paraId="660D0ECE" w14:textId="19DD1C0F" w:rsidR="00C63B45" w:rsidRPr="002F07BA" w:rsidRDefault="002F07BA" w:rsidP="002F07BA">
      <w:pPr>
        <w:spacing w:after="0"/>
        <w:jc w:val="both"/>
        <w:rPr>
          <w:sz w:val="18"/>
          <w:szCs w:val="18"/>
        </w:rPr>
      </w:pPr>
      <w:r w:rsidRPr="002F07BA">
        <w:rPr>
          <w:sz w:val="18"/>
          <w:szCs w:val="18"/>
        </w:rPr>
        <w:t>Opredelitev časovnega okvirja:</w:t>
      </w:r>
    </w:p>
    <w:p w14:paraId="6BBC6072" w14:textId="654EF2A1" w:rsidR="06C5A939" w:rsidRDefault="06C5A939" w:rsidP="1706C59B">
      <w:pPr>
        <w:spacing w:after="0" w:line="257" w:lineRule="auto"/>
        <w:jc w:val="both"/>
        <w:rPr>
          <w:rFonts w:eastAsiaTheme="minorEastAsia"/>
          <w:color w:val="282828"/>
          <w:sz w:val="18"/>
          <w:szCs w:val="18"/>
        </w:rPr>
      </w:pPr>
      <w:r w:rsidRPr="1706C59B">
        <w:rPr>
          <w:rFonts w:eastAsiaTheme="minorEastAsia"/>
          <w:color w:val="282828"/>
          <w:sz w:val="18"/>
          <w:szCs w:val="18"/>
        </w:rPr>
        <w:t>K – kratkoročno: predviden zaključek projekta oziroma doseganje ključne izvedbene faze do leta 2032.</w:t>
      </w:r>
    </w:p>
    <w:p w14:paraId="3E13A6F2" w14:textId="2356A856" w:rsidR="06C5A939" w:rsidRDefault="06C5A939" w:rsidP="1706C59B">
      <w:pPr>
        <w:spacing w:after="0" w:line="257" w:lineRule="auto"/>
        <w:jc w:val="both"/>
        <w:rPr>
          <w:rFonts w:eastAsiaTheme="minorEastAsia"/>
          <w:color w:val="282828"/>
          <w:sz w:val="18"/>
          <w:szCs w:val="18"/>
        </w:rPr>
      </w:pPr>
      <w:r w:rsidRPr="1706C59B">
        <w:rPr>
          <w:rFonts w:eastAsiaTheme="minorEastAsia"/>
          <w:color w:val="282828"/>
          <w:sz w:val="18"/>
          <w:szCs w:val="18"/>
        </w:rPr>
        <w:t>S – srednjeročno: predviden zaključek projekta oziroma doseganje ključne izvedbene faze v obdobju 2033–2038.</w:t>
      </w:r>
    </w:p>
    <w:p w14:paraId="16D7AD62" w14:textId="0E678885" w:rsidR="06C5A939" w:rsidRDefault="06C5A939" w:rsidP="1706C59B">
      <w:pPr>
        <w:spacing w:after="0" w:line="257" w:lineRule="auto"/>
        <w:rPr>
          <w:rFonts w:eastAsiaTheme="minorEastAsia"/>
          <w:color w:val="282828"/>
          <w:sz w:val="18"/>
          <w:szCs w:val="18"/>
        </w:rPr>
      </w:pPr>
      <w:r w:rsidRPr="1706C59B">
        <w:rPr>
          <w:rFonts w:eastAsiaTheme="minorEastAsia"/>
          <w:color w:val="282828"/>
          <w:sz w:val="18"/>
          <w:szCs w:val="18"/>
        </w:rPr>
        <w:t>D – dolgoročno: predviden zaključek projekta oziroma doseganje ključne izvedbene faze v obdobju 2039–2045.</w:t>
      </w:r>
    </w:p>
    <w:p w14:paraId="036A13A3" w14:textId="30D399C7" w:rsidR="1F30B503" w:rsidRDefault="1F30B503" w:rsidP="1F30B503">
      <w:pPr>
        <w:spacing w:after="0" w:line="257" w:lineRule="auto"/>
        <w:jc w:val="both"/>
        <w:rPr>
          <w:rFonts w:ascii="Arial" w:eastAsia="Arial" w:hAnsi="Arial" w:cs="Arial"/>
          <w:color w:val="282828"/>
          <w:sz w:val="17"/>
          <w:szCs w:val="17"/>
        </w:rPr>
      </w:pPr>
    </w:p>
    <w:tbl>
      <w:tblPr>
        <w:tblW w:w="10258" w:type="dxa"/>
        <w:tblInd w:w="-34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378"/>
        <w:gridCol w:w="4115"/>
        <w:gridCol w:w="2497"/>
        <w:gridCol w:w="1268"/>
      </w:tblGrid>
      <w:tr w:rsidR="1F30B503" w14:paraId="14A2586F" w14:textId="77777777" w:rsidTr="00A52F00">
        <w:trPr>
          <w:trHeight w:val="300"/>
          <w:tblHeader/>
        </w:trPr>
        <w:tc>
          <w:tcPr>
            <w:tcW w:w="2378" w:type="dxa"/>
            <w:tcMar>
              <w:top w:w="60" w:type="dxa"/>
              <w:left w:w="70" w:type="dxa"/>
              <w:bottom w:w="60" w:type="dxa"/>
              <w:right w:w="70" w:type="dxa"/>
            </w:tcMar>
            <w:vAlign w:val="center"/>
          </w:tcPr>
          <w:p w14:paraId="66A20D06" w14:textId="3C072789" w:rsidR="1F30B503" w:rsidRDefault="1F30B503" w:rsidP="1F30B503">
            <w:pPr>
              <w:spacing w:after="0" w:line="240" w:lineRule="auto"/>
              <w:rPr>
                <w:rFonts w:ascii="Arial" w:eastAsia="Arial" w:hAnsi="Arial" w:cs="Arial"/>
                <w:b/>
                <w:bCs/>
                <w:sz w:val="16"/>
                <w:szCs w:val="16"/>
              </w:rPr>
            </w:pPr>
            <w:r w:rsidRPr="1F30B503">
              <w:rPr>
                <w:rFonts w:ascii="Arial" w:eastAsia="Arial" w:hAnsi="Arial" w:cs="Arial"/>
                <w:b/>
                <w:bCs/>
                <w:sz w:val="16"/>
                <w:szCs w:val="16"/>
              </w:rPr>
              <w:t>Projekt</w:t>
            </w:r>
          </w:p>
        </w:tc>
        <w:tc>
          <w:tcPr>
            <w:tcW w:w="4115" w:type="dxa"/>
            <w:tcMar>
              <w:top w:w="60" w:type="dxa"/>
              <w:left w:w="70" w:type="dxa"/>
              <w:bottom w:w="60" w:type="dxa"/>
              <w:right w:w="70" w:type="dxa"/>
            </w:tcMar>
            <w:vAlign w:val="center"/>
          </w:tcPr>
          <w:p w14:paraId="7365C54B" w14:textId="5EECDB2A" w:rsidR="1F30B503" w:rsidRDefault="1F30B503" w:rsidP="1F30B503">
            <w:pPr>
              <w:spacing w:after="0" w:line="240" w:lineRule="auto"/>
              <w:rPr>
                <w:rFonts w:ascii="Arial" w:eastAsia="Arial" w:hAnsi="Arial" w:cs="Arial"/>
                <w:b/>
                <w:bCs/>
                <w:sz w:val="16"/>
                <w:szCs w:val="16"/>
              </w:rPr>
            </w:pPr>
            <w:r w:rsidRPr="1F30B503">
              <w:rPr>
                <w:rFonts w:ascii="Arial" w:eastAsia="Arial" w:hAnsi="Arial" w:cs="Arial"/>
                <w:b/>
                <w:bCs/>
                <w:sz w:val="16"/>
                <w:szCs w:val="16"/>
              </w:rPr>
              <w:t>Kaj prinaša</w:t>
            </w:r>
          </w:p>
        </w:tc>
        <w:tc>
          <w:tcPr>
            <w:tcW w:w="2497" w:type="dxa"/>
            <w:tcMar>
              <w:top w:w="60" w:type="dxa"/>
              <w:left w:w="70" w:type="dxa"/>
              <w:bottom w:w="60" w:type="dxa"/>
              <w:right w:w="70" w:type="dxa"/>
            </w:tcMar>
            <w:vAlign w:val="center"/>
          </w:tcPr>
          <w:p w14:paraId="52686739" w14:textId="42E606D7" w:rsidR="1F30B503" w:rsidRDefault="1F30B503" w:rsidP="1F30B503">
            <w:pPr>
              <w:spacing w:after="0" w:line="240" w:lineRule="auto"/>
              <w:rPr>
                <w:rFonts w:ascii="Arial" w:eastAsia="Arial" w:hAnsi="Arial" w:cs="Arial"/>
                <w:b/>
                <w:bCs/>
                <w:sz w:val="16"/>
                <w:szCs w:val="16"/>
              </w:rPr>
            </w:pPr>
            <w:r w:rsidRPr="1F30B503">
              <w:rPr>
                <w:rFonts w:ascii="Arial" w:eastAsia="Arial" w:hAnsi="Arial" w:cs="Arial"/>
                <w:b/>
                <w:bCs/>
                <w:sz w:val="16"/>
                <w:szCs w:val="16"/>
              </w:rPr>
              <w:t>Povezava s cilji</w:t>
            </w:r>
          </w:p>
        </w:tc>
        <w:tc>
          <w:tcPr>
            <w:tcW w:w="1268" w:type="dxa"/>
            <w:tcMar>
              <w:top w:w="60" w:type="dxa"/>
              <w:left w:w="70" w:type="dxa"/>
              <w:bottom w:w="60" w:type="dxa"/>
              <w:right w:w="70" w:type="dxa"/>
            </w:tcMar>
            <w:vAlign w:val="center"/>
          </w:tcPr>
          <w:p w14:paraId="72CFFF3B" w14:textId="7E320550" w:rsidR="1F30B503" w:rsidRDefault="1F30B503" w:rsidP="1F30B503">
            <w:pPr>
              <w:spacing w:after="0" w:line="240" w:lineRule="auto"/>
              <w:rPr>
                <w:rFonts w:ascii="Arial" w:eastAsia="Arial" w:hAnsi="Arial" w:cs="Arial"/>
                <w:b/>
                <w:bCs/>
                <w:sz w:val="16"/>
                <w:szCs w:val="16"/>
              </w:rPr>
            </w:pPr>
            <w:r w:rsidRPr="1F30B503">
              <w:rPr>
                <w:rFonts w:ascii="Arial" w:eastAsia="Arial" w:hAnsi="Arial" w:cs="Arial"/>
                <w:b/>
                <w:bCs/>
                <w:sz w:val="16"/>
                <w:szCs w:val="16"/>
              </w:rPr>
              <w:t>Časovni</w:t>
            </w:r>
            <w:r w:rsidR="333DCDBB" w:rsidRPr="1F30B503">
              <w:rPr>
                <w:rFonts w:ascii="Arial" w:eastAsia="Arial" w:hAnsi="Arial" w:cs="Arial"/>
                <w:b/>
                <w:bCs/>
                <w:sz w:val="16"/>
                <w:szCs w:val="16"/>
              </w:rPr>
              <w:t xml:space="preserve"> </w:t>
            </w:r>
            <w:r w:rsidRPr="1F30B503">
              <w:rPr>
                <w:rFonts w:ascii="Arial" w:eastAsia="Arial" w:hAnsi="Arial" w:cs="Arial"/>
                <w:b/>
                <w:bCs/>
                <w:sz w:val="16"/>
                <w:szCs w:val="16"/>
              </w:rPr>
              <w:t>okvir</w:t>
            </w:r>
          </w:p>
        </w:tc>
      </w:tr>
      <w:tr w:rsidR="00D92E7D" w14:paraId="6F832A4F" w14:textId="77777777" w:rsidTr="00A52F00">
        <w:trPr>
          <w:trHeight w:val="300"/>
        </w:trPr>
        <w:tc>
          <w:tcPr>
            <w:tcW w:w="2378" w:type="dxa"/>
            <w:tcMar>
              <w:top w:w="60" w:type="dxa"/>
              <w:left w:w="70" w:type="dxa"/>
              <w:bottom w:w="60" w:type="dxa"/>
              <w:right w:w="70" w:type="dxa"/>
            </w:tcMar>
            <w:vAlign w:val="center"/>
          </w:tcPr>
          <w:p w14:paraId="3364269B" w14:textId="4D868995"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Vozlišče znanja v Solkanu</w:t>
            </w:r>
          </w:p>
        </w:tc>
        <w:tc>
          <w:tcPr>
            <w:tcW w:w="4115" w:type="dxa"/>
            <w:tcMar>
              <w:top w:w="60" w:type="dxa"/>
              <w:left w:w="70" w:type="dxa"/>
              <w:bottom w:w="60" w:type="dxa"/>
              <w:right w:w="70" w:type="dxa"/>
            </w:tcMar>
            <w:vAlign w:val="center"/>
          </w:tcPr>
          <w:p w14:paraId="672EAFD3" w14:textId="195C7B09"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Celovit razvoj univerzitetnega, raziskovalnega, inovacijskega in podjetniškega območja v Solkanu, ki povezuje znanje, raziskave, gospodarstvo in podporne institucije.</w:t>
            </w:r>
          </w:p>
        </w:tc>
        <w:tc>
          <w:tcPr>
            <w:tcW w:w="2497" w:type="dxa"/>
            <w:tcMar>
              <w:top w:w="60" w:type="dxa"/>
              <w:left w:w="70" w:type="dxa"/>
              <w:bottom w:w="60" w:type="dxa"/>
              <w:right w:w="70" w:type="dxa"/>
            </w:tcMar>
            <w:vAlign w:val="center"/>
          </w:tcPr>
          <w:p w14:paraId="007793A8" w14:textId="7AE1BB45"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A1</w:t>
            </w:r>
            <w:r w:rsidRPr="002A64A0">
              <w:rPr>
                <w:rFonts w:eastAsia="Times New Roman" w:cs="Arial"/>
                <w:b/>
                <w:bCs/>
                <w:color w:val="000000"/>
                <w:kern w:val="0"/>
                <w:sz w:val="16"/>
                <w:szCs w:val="16"/>
                <w:lang w:eastAsia="sl-SI"/>
                <w14:ligatures w14:val="none"/>
              </w:rPr>
              <w:br/>
              <w:t xml:space="preserve">Prispeva tudi k: </w:t>
            </w:r>
            <w:r w:rsidRPr="008465CE">
              <w:rPr>
                <w:rFonts w:eastAsia="Times New Roman" w:cs="Arial"/>
                <w:color w:val="000000"/>
                <w:kern w:val="0"/>
                <w:sz w:val="16"/>
                <w:szCs w:val="16"/>
                <w:highlight w:val="yellow"/>
                <w:lang w:eastAsia="sl-SI"/>
                <w14:ligatures w14:val="none"/>
              </w:rPr>
              <w:t>A2, C1, E2</w:t>
            </w:r>
          </w:p>
        </w:tc>
        <w:tc>
          <w:tcPr>
            <w:tcW w:w="1268" w:type="dxa"/>
            <w:tcMar>
              <w:top w:w="60" w:type="dxa"/>
              <w:left w:w="70" w:type="dxa"/>
              <w:bottom w:w="60" w:type="dxa"/>
              <w:right w:w="70" w:type="dxa"/>
            </w:tcMar>
            <w:vAlign w:val="center"/>
          </w:tcPr>
          <w:p w14:paraId="0043CA68" w14:textId="10DAB5FC"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K</w:t>
            </w:r>
          </w:p>
        </w:tc>
      </w:tr>
      <w:tr w:rsidR="00D92E7D" w14:paraId="027D001C" w14:textId="77777777" w:rsidTr="00A52F00">
        <w:trPr>
          <w:trHeight w:val="300"/>
        </w:trPr>
        <w:tc>
          <w:tcPr>
            <w:tcW w:w="2378" w:type="dxa"/>
            <w:tcMar>
              <w:top w:w="60" w:type="dxa"/>
              <w:left w:w="70" w:type="dxa"/>
              <w:bottom w:w="60" w:type="dxa"/>
              <w:right w:w="70" w:type="dxa"/>
            </w:tcMar>
            <w:vAlign w:val="center"/>
          </w:tcPr>
          <w:p w14:paraId="5DAA5086" w14:textId="3BD88826"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Razvoj fakultetnega centra Univerze v Novi Gorici</w:t>
            </w:r>
          </w:p>
        </w:tc>
        <w:tc>
          <w:tcPr>
            <w:tcW w:w="4115" w:type="dxa"/>
            <w:tcMar>
              <w:top w:w="60" w:type="dxa"/>
              <w:left w:w="70" w:type="dxa"/>
              <w:bottom w:w="60" w:type="dxa"/>
              <w:right w:w="70" w:type="dxa"/>
            </w:tcMar>
            <w:vAlign w:val="center"/>
          </w:tcPr>
          <w:p w14:paraId="71BD50A2" w14:textId="02FD31F8"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Zagotovitev prostorov in pogojev za razvoj fakultet, študijskih programov, raziskovalne dejavnosti in univerzitetnega življenja.</w:t>
            </w:r>
          </w:p>
        </w:tc>
        <w:tc>
          <w:tcPr>
            <w:tcW w:w="2497" w:type="dxa"/>
            <w:tcMar>
              <w:top w:w="60" w:type="dxa"/>
              <w:left w:w="70" w:type="dxa"/>
              <w:bottom w:w="60" w:type="dxa"/>
              <w:right w:w="70" w:type="dxa"/>
            </w:tcMar>
            <w:vAlign w:val="center"/>
          </w:tcPr>
          <w:p w14:paraId="1AA1C38D" w14:textId="3AA156B6"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A1</w:t>
            </w:r>
            <w:r w:rsidRPr="002A64A0">
              <w:rPr>
                <w:rFonts w:eastAsia="Times New Roman" w:cs="Arial"/>
                <w:b/>
                <w:bCs/>
                <w:color w:val="000000"/>
                <w:kern w:val="0"/>
                <w:sz w:val="16"/>
                <w:szCs w:val="16"/>
                <w:lang w:eastAsia="sl-SI"/>
                <w14:ligatures w14:val="none"/>
              </w:rPr>
              <w:br/>
              <w:t xml:space="preserve">Prispeva tudi k: </w:t>
            </w:r>
            <w:r w:rsidRPr="008465CE">
              <w:rPr>
                <w:rFonts w:eastAsia="Times New Roman" w:cs="Arial"/>
                <w:color w:val="000000"/>
                <w:kern w:val="0"/>
                <w:sz w:val="16"/>
                <w:szCs w:val="16"/>
                <w:highlight w:val="yellow"/>
                <w:lang w:eastAsia="sl-SI"/>
                <w14:ligatures w14:val="none"/>
              </w:rPr>
              <w:t>A2, C1, E2</w:t>
            </w:r>
          </w:p>
        </w:tc>
        <w:tc>
          <w:tcPr>
            <w:tcW w:w="1268" w:type="dxa"/>
            <w:tcMar>
              <w:top w:w="60" w:type="dxa"/>
              <w:left w:w="70" w:type="dxa"/>
              <w:bottom w:w="60" w:type="dxa"/>
              <w:right w:w="70" w:type="dxa"/>
            </w:tcMar>
            <w:vAlign w:val="center"/>
          </w:tcPr>
          <w:p w14:paraId="7D664DAE" w14:textId="3A9DC7CB"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K</w:t>
            </w:r>
          </w:p>
        </w:tc>
      </w:tr>
      <w:tr w:rsidR="00D92E7D" w14:paraId="7B0B5812" w14:textId="77777777" w:rsidTr="00A52F00">
        <w:trPr>
          <w:trHeight w:val="300"/>
        </w:trPr>
        <w:tc>
          <w:tcPr>
            <w:tcW w:w="2378" w:type="dxa"/>
            <w:tcMar>
              <w:top w:w="60" w:type="dxa"/>
              <w:left w:w="70" w:type="dxa"/>
              <w:bottom w:w="60" w:type="dxa"/>
              <w:right w:w="70" w:type="dxa"/>
            </w:tcMar>
            <w:vAlign w:val="center"/>
          </w:tcPr>
          <w:p w14:paraId="2DC177E3" w14:textId="5D33E6B6"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Nadgradnja srednješolskega centra Nova Gorica</w:t>
            </w:r>
          </w:p>
        </w:tc>
        <w:tc>
          <w:tcPr>
            <w:tcW w:w="4115" w:type="dxa"/>
            <w:tcMar>
              <w:top w:w="60" w:type="dxa"/>
              <w:left w:w="70" w:type="dxa"/>
              <w:bottom w:w="60" w:type="dxa"/>
              <w:right w:w="70" w:type="dxa"/>
            </w:tcMar>
            <w:vAlign w:val="center"/>
          </w:tcPr>
          <w:p w14:paraId="2FA01841" w14:textId="07D22BD3"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Prostorska in programska nadgradnja srednješolskega in tehniškega izobraževanja v skladu s potrebami mladih, gospodarstva in nadaljnjega razvoja znanj.</w:t>
            </w:r>
          </w:p>
        </w:tc>
        <w:tc>
          <w:tcPr>
            <w:tcW w:w="2497" w:type="dxa"/>
            <w:tcMar>
              <w:top w:w="60" w:type="dxa"/>
              <w:left w:w="70" w:type="dxa"/>
              <w:bottom w:w="60" w:type="dxa"/>
              <w:right w:w="70" w:type="dxa"/>
            </w:tcMar>
            <w:vAlign w:val="center"/>
          </w:tcPr>
          <w:p w14:paraId="760E07A4" w14:textId="7025FBA6"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A1</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A2, C1, E2</w:t>
            </w:r>
          </w:p>
        </w:tc>
        <w:tc>
          <w:tcPr>
            <w:tcW w:w="1268" w:type="dxa"/>
            <w:tcMar>
              <w:top w:w="60" w:type="dxa"/>
              <w:left w:w="70" w:type="dxa"/>
              <w:bottom w:w="60" w:type="dxa"/>
              <w:right w:w="70" w:type="dxa"/>
            </w:tcMar>
            <w:vAlign w:val="center"/>
          </w:tcPr>
          <w:p w14:paraId="6BB6021D" w14:textId="74F31802"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S</w:t>
            </w:r>
          </w:p>
        </w:tc>
      </w:tr>
      <w:tr w:rsidR="00D92E7D" w14:paraId="68F3C896" w14:textId="77777777" w:rsidTr="00A52F00">
        <w:trPr>
          <w:trHeight w:val="300"/>
        </w:trPr>
        <w:tc>
          <w:tcPr>
            <w:tcW w:w="2378" w:type="dxa"/>
            <w:tcMar>
              <w:top w:w="60" w:type="dxa"/>
              <w:left w:w="70" w:type="dxa"/>
              <w:bottom w:w="60" w:type="dxa"/>
              <w:right w:w="70" w:type="dxa"/>
            </w:tcMar>
            <w:vAlign w:val="center"/>
          </w:tcPr>
          <w:p w14:paraId="3EBFC62F" w14:textId="18A71575"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Nadgradnja podjetniškega inkubatorja in podpornega okolja</w:t>
            </w:r>
          </w:p>
        </w:tc>
        <w:tc>
          <w:tcPr>
            <w:tcW w:w="4115" w:type="dxa"/>
            <w:tcMar>
              <w:top w:w="60" w:type="dxa"/>
              <w:left w:w="70" w:type="dxa"/>
              <w:bottom w:w="60" w:type="dxa"/>
              <w:right w:w="70" w:type="dxa"/>
            </w:tcMar>
            <w:vAlign w:val="center"/>
          </w:tcPr>
          <w:p w14:paraId="251B3000" w14:textId="533E73BE"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Razvoj prostorov in programov za  mentorstvo, mreženje, razvoj talentov ter povezovanje novih podjetij z izobraževalnimi in raziskovalnimi ustanovami.</w:t>
            </w:r>
          </w:p>
        </w:tc>
        <w:tc>
          <w:tcPr>
            <w:tcW w:w="2497" w:type="dxa"/>
            <w:tcMar>
              <w:top w:w="60" w:type="dxa"/>
              <w:left w:w="70" w:type="dxa"/>
              <w:bottom w:w="60" w:type="dxa"/>
              <w:right w:w="70" w:type="dxa"/>
            </w:tcMar>
            <w:vAlign w:val="center"/>
          </w:tcPr>
          <w:p w14:paraId="622268A0" w14:textId="5FC1DFA7"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A2</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A1, C2</w:t>
            </w:r>
          </w:p>
        </w:tc>
        <w:tc>
          <w:tcPr>
            <w:tcW w:w="1268" w:type="dxa"/>
            <w:tcMar>
              <w:top w:w="60" w:type="dxa"/>
              <w:left w:w="70" w:type="dxa"/>
              <w:bottom w:w="60" w:type="dxa"/>
              <w:right w:w="70" w:type="dxa"/>
            </w:tcMar>
            <w:vAlign w:val="center"/>
          </w:tcPr>
          <w:p w14:paraId="2D2F9594" w14:textId="4C593D3B"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K</w:t>
            </w:r>
          </w:p>
        </w:tc>
      </w:tr>
      <w:tr w:rsidR="00D92E7D" w14:paraId="0EF16A41" w14:textId="77777777" w:rsidTr="00A52F00">
        <w:trPr>
          <w:trHeight w:val="300"/>
        </w:trPr>
        <w:tc>
          <w:tcPr>
            <w:tcW w:w="2378" w:type="dxa"/>
            <w:tcMar>
              <w:top w:w="60" w:type="dxa"/>
              <w:left w:w="70" w:type="dxa"/>
              <w:bottom w:w="60" w:type="dxa"/>
              <w:right w:w="70" w:type="dxa"/>
            </w:tcMar>
            <w:vAlign w:val="center"/>
          </w:tcPr>
          <w:p w14:paraId="4F9A6D6F" w14:textId="0097E9C5"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Prestrukturiranje in revitalizacija poslovne cone Kromberk - Zahod</w:t>
            </w:r>
          </w:p>
        </w:tc>
        <w:tc>
          <w:tcPr>
            <w:tcW w:w="4115" w:type="dxa"/>
            <w:tcMar>
              <w:top w:w="60" w:type="dxa"/>
              <w:left w:w="70" w:type="dxa"/>
              <w:bottom w:w="60" w:type="dxa"/>
              <w:right w:w="70" w:type="dxa"/>
            </w:tcMar>
            <w:vAlign w:val="center"/>
          </w:tcPr>
          <w:p w14:paraId="716A9575" w14:textId="34373162"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Prostorska, komunalna in programska prenova poslovne cone za učinkovitejšo rabo površin, razvoj obstoječih podjetij in privabljanje novih dejavnosti.</w:t>
            </w:r>
          </w:p>
        </w:tc>
        <w:tc>
          <w:tcPr>
            <w:tcW w:w="2497" w:type="dxa"/>
            <w:tcMar>
              <w:top w:w="60" w:type="dxa"/>
              <w:left w:w="70" w:type="dxa"/>
              <w:bottom w:w="60" w:type="dxa"/>
              <w:right w:w="70" w:type="dxa"/>
            </w:tcMar>
            <w:vAlign w:val="center"/>
          </w:tcPr>
          <w:p w14:paraId="2AF59E9E" w14:textId="586FB94A"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A2</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C1</w:t>
            </w:r>
          </w:p>
        </w:tc>
        <w:tc>
          <w:tcPr>
            <w:tcW w:w="1268" w:type="dxa"/>
            <w:tcMar>
              <w:top w:w="60" w:type="dxa"/>
              <w:left w:w="70" w:type="dxa"/>
              <w:bottom w:w="60" w:type="dxa"/>
              <w:right w:w="70" w:type="dxa"/>
            </w:tcMar>
            <w:vAlign w:val="center"/>
          </w:tcPr>
          <w:p w14:paraId="037D75F9" w14:textId="75855C52"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S</w:t>
            </w:r>
          </w:p>
        </w:tc>
      </w:tr>
      <w:tr w:rsidR="00D92E7D" w14:paraId="3A618106" w14:textId="77777777" w:rsidTr="00A52F00">
        <w:trPr>
          <w:trHeight w:val="300"/>
        </w:trPr>
        <w:tc>
          <w:tcPr>
            <w:tcW w:w="2378" w:type="dxa"/>
            <w:tcMar>
              <w:top w:w="60" w:type="dxa"/>
              <w:left w:w="70" w:type="dxa"/>
              <w:bottom w:w="60" w:type="dxa"/>
              <w:right w:w="70" w:type="dxa"/>
            </w:tcMar>
            <w:vAlign w:val="center"/>
          </w:tcPr>
          <w:p w14:paraId="77284345" w14:textId="1191F1C4"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lastRenderedPageBreak/>
              <w:t>Aktivacija PC na podeželju - Branik, Prvačina, Čepovan</w:t>
            </w:r>
          </w:p>
        </w:tc>
        <w:tc>
          <w:tcPr>
            <w:tcW w:w="4115" w:type="dxa"/>
            <w:tcMar>
              <w:top w:w="60" w:type="dxa"/>
              <w:left w:w="70" w:type="dxa"/>
              <w:bottom w:w="60" w:type="dxa"/>
              <w:right w:w="70" w:type="dxa"/>
            </w:tcMar>
            <w:vAlign w:val="center"/>
          </w:tcPr>
          <w:p w14:paraId="601A8B08" w14:textId="1402EC57"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Prostorska in komunalna aktivacija poslovnih con v Braniku, Prvačini in Čepovanu za razvoj lokalne obrti, podjetništva in delovnih mest na podeželju.</w:t>
            </w:r>
          </w:p>
        </w:tc>
        <w:tc>
          <w:tcPr>
            <w:tcW w:w="2497" w:type="dxa"/>
            <w:tcMar>
              <w:top w:w="60" w:type="dxa"/>
              <w:left w:w="70" w:type="dxa"/>
              <w:bottom w:w="60" w:type="dxa"/>
              <w:right w:w="70" w:type="dxa"/>
            </w:tcMar>
            <w:vAlign w:val="center"/>
          </w:tcPr>
          <w:p w14:paraId="2A00B5FA" w14:textId="389D0530"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A2</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D1, D2</w:t>
            </w:r>
          </w:p>
        </w:tc>
        <w:tc>
          <w:tcPr>
            <w:tcW w:w="1268" w:type="dxa"/>
            <w:tcMar>
              <w:top w:w="60" w:type="dxa"/>
              <w:left w:w="70" w:type="dxa"/>
              <w:bottom w:w="60" w:type="dxa"/>
              <w:right w:w="70" w:type="dxa"/>
            </w:tcMar>
            <w:vAlign w:val="center"/>
          </w:tcPr>
          <w:p w14:paraId="1290329D" w14:textId="06713C2B"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S</w:t>
            </w:r>
          </w:p>
        </w:tc>
      </w:tr>
      <w:tr w:rsidR="00D92E7D" w14:paraId="0AAB136A" w14:textId="77777777" w:rsidTr="00A52F00">
        <w:trPr>
          <w:trHeight w:val="300"/>
        </w:trPr>
        <w:tc>
          <w:tcPr>
            <w:tcW w:w="2378" w:type="dxa"/>
            <w:tcMar>
              <w:top w:w="60" w:type="dxa"/>
              <w:left w:w="70" w:type="dxa"/>
              <w:bottom w:w="60" w:type="dxa"/>
              <w:right w:w="70" w:type="dxa"/>
            </w:tcMar>
            <w:vAlign w:val="center"/>
          </w:tcPr>
          <w:p w14:paraId="66967A50" w14:textId="3255B92C"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Poslovna cona nacionalnega pomena Turjak - Okroglica</w:t>
            </w:r>
          </w:p>
        </w:tc>
        <w:tc>
          <w:tcPr>
            <w:tcW w:w="4115" w:type="dxa"/>
            <w:tcMar>
              <w:top w:w="60" w:type="dxa"/>
              <w:left w:w="70" w:type="dxa"/>
              <w:bottom w:w="60" w:type="dxa"/>
              <w:right w:w="70" w:type="dxa"/>
            </w:tcMar>
            <w:vAlign w:val="center"/>
          </w:tcPr>
          <w:p w14:paraId="51076D16" w14:textId="28870E1B"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Vzpostavitev poslovne cone nacionalnega pomena za privabljanje razvojno usmerjenih podjetij, ustvarjanje kakovostnih delovnih mest in dopolnjevanje mreže gospodarskih območij Goriške.</w:t>
            </w:r>
          </w:p>
        </w:tc>
        <w:tc>
          <w:tcPr>
            <w:tcW w:w="2497" w:type="dxa"/>
            <w:tcMar>
              <w:top w:w="60" w:type="dxa"/>
              <w:left w:w="70" w:type="dxa"/>
              <w:bottom w:w="60" w:type="dxa"/>
              <w:right w:w="70" w:type="dxa"/>
            </w:tcMar>
            <w:vAlign w:val="center"/>
          </w:tcPr>
          <w:p w14:paraId="5EC6A7EF" w14:textId="66711CFB"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A2</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A1</w:t>
            </w:r>
          </w:p>
        </w:tc>
        <w:tc>
          <w:tcPr>
            <w:tcW w:w="1268" w:type="dxa"/>
            <w:tcMar>
              <w:top w:w="60" w:type="dxa"/>
              <w:left w:w="70" w:type="dxa"/>
              <w:bottom w:w="60" w:type="dxa"/>
              <w:right w:w="70" w:type="dxa"/>
            </w:tcMar>
            <w:vAlign w:val="center"/>
          </w:tcPr>
          <w:p w14:paraId="58282FAC" w14:textId="535077C2"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D</w:t>
            </w:r>
          </w:p>
        </w:tc>
      </w:tr>
      <w:tr w:rsidR="00D92E7D" w14:paraId="419AEFD0" w14:textId="77777777" w:rsidTr="00A52F00">
        <w:trPr>
          <w:trHeight w:val="300"/>
        </w:trPr>
        <w:tc>
          <w:tcPr>
            <w:tcW w:w="2378" w:type="dxa"/>
            <w:tcMar>
              <w:top w:w="60" w:type="dxa"/>
              <w:left w:w="70" w:type="dxa"/>
              <w:bottom w:w="60" w:type="dxa"/>
              <w:right w:w="70" w:type="dxa"/>
            </w:tcMar>
            <w:vAlign w:val="center"/>
          </w:tcPr>
          <w:p w14:paraId="78665F35" w14:textId="4EB19118"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Rekreacijsko-turistična infrastruktura - atrakcije</w:t>
            </w:r>
          </w:p>
        </w:tc>
        <w:tc>
          <w:tcPr>
            <w:tcW w:w="4115" w:type="dxa"/>
            <w:tcMar>
              <w:top w:w="60" w:type="dxa"/>
              <w:left w:w="70" w:type="dxa"/>
              <w:bottom w:w="60" w:type="dxa"/>
              <w:right w:w="70" w:type="dxa"/>
            </w:tcMar>
            <w:vAlign w:val="center"/>
          </w:tcPr>
          <w:p w14:paraId="5892942F" w14:textId="74879FB3"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 xml:space="preserve">Aktivacija prostorskih potencialov, razširitev turistične ponudbe, </w:t>
            </w:r>
            <w:proofErr w:type="spellStart"/>
            <w:r w:rsidRPr="002A64A0">
              <w:rPr>
                <w:rFonts w:eastAsia="Times New Roman" w:cs="Arial"/>
                <w:color w:val="000000"/>
                <w:kern w:val="0"/>
                <w:sz w:val="16"/>
                <w:szCs w:val="16"/>
                <w:lang w:eastAsia="sl-SI"/>
                <w14:ligatures w14:val="none"/>
              </w:rPr>
              <w:t>outdoor</w:t>
            </w:r>
            <w:proofErr w:type="spellEnd"/>
            <w:r w:rsidRPr="002A64A0">
              <w:rPr>
                <w:rFonts w:eastAsia="Times New Roman" w:cs="Arial"/>
                <w:color w:val="000000"/>
                <w:kern w:val="0"/>
                <w:sz w:val="16"/>
                <w:szCs w:val="16"/>
                <w:lang w:eastAsia="sl-SI"/>
                <w14:ligatures w14:val="none"/>
              </w:rPr>
              <w:t>.</w:t>
            </w:r>
          </w:p>
        </w:tc>
        <w:tc>
          <w:tcPr>
            <w:tcW w:w="2497" w:type="dxa"/>
            <w:tcMar>
              <w:top w:w="60" w:type="dxa"/>
              <w:left w:w="70" w:type="dxa"/>
              <w:bottom w:w="60" w:type="dxa"/>
              <w:right w:w="70" w:type="dxa"/>
            </w:tcMar>
            <w:vAlign w:val="center"/>
          </w:tcPr>
          <w:p w14:paraId="317A59F5" w14:textId="21A72838"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A3</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D3</w:t>
            </w:r>
          </w:p>
        </w:tc>
        <w:tc>
          <w:tcPr>
            <w:tcW w:w="1268" w:type="dxa"/>
            <w:tcMar>
              <w:top w:w="60" w:type="dxa"/>
              <w:left w:w="70" w:type="dxa"/>
              <w:bottom w:w="60" w:type="dxa"/>
              <w:right w:w="70" w:type="dxa"/>
            </w:tcMar>
            <w:vAlign w:val="center"/>
          </w:tcPr>
          <w:p w14:paraId="1EF7EDD7" w14:textId="40312B05"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S</w:t>
            </w:r>
          </w:p>
        </w:tc>
      </w:tr>
      <w:tr w:rsidR="00D92E7D" w14:paraId="6B43F0A0" w14:textId="77777777" w:rsidTr="00A52F00">
        <w:trPr>
          <w:trHeight w:val="300"/>
        </w:trPr>
        <w:tc>
          <w:tcPr>
            <w:tcW w:w="2378" w:type="dxa"/>
            <w:tcMar>
              <w:top w:w="60" w:type="dxa"/>
              <w:left w:w="70" w:type="dxa"/>
              <w:bottom w:w="60" w:type="dxa"/>
              <w:right w:w="70" w:type="dxa"/>
            </w:tcMar>
            <w:vAlign w:val="center"/>
          </w:tcPr>
          <w:p w14:paraId="13FFAE30" w14:textId="3E511DBE"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Rekreacijsko-turistična infrastruktura - mobilnost</w:t>
            </w:r>
          </w:p>
        </w:tc>
        <w:tc>
          <w:tcPr>
            <w:tcW w:w="4115" w:type="dxa"/>
            <w:tcMar>
              <w:top w:w="60" w:type="dxa"/>
              <w:left w:w="70" w:type="dxa"/>
              <w:bottom w:w="60" w:type="dxa"/>
              <w:right w:w="70" w:type="dxa"/>
            </w:tcMar>
            <w:vAlign w:val="center"/>
          </w:tcPr>
          <w:p w14:paraId="1D3A745A" w14:textId="0FEE0E05"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Izboljšanje dostopnosti rekreacijskih in turističnih območij z razvojem trajnostnih prevoznih rešitev ter preveritvijo možnosti žičniške povezave med dolinskim in višinskim delom občine.</w:t>
            </w:r>
          </w:p>
        </w:tc>
        <w:tc>
          <w:tcPr>
            <w:tcW w:w="2497" w:type="dxa"/>
            <w:tcMar>
              <w:top w:w="60" w:type="dxa"/>
              <w:left w:w="70" w:type="dxa"/>
              <w:bottom w:w="60" w:type="dxa"/>
              <w:right w:w="70" w:type="dxa"/>
            </w:tcMar>
            <w:vAlign w:val="center"/>
          </w:tcPr>
          <w:p w14:paraId="5AF4887A" w14:textId="21D0397B"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A3</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D3</w:t>
            </w:r>
          </w:p>
        </w:tc>
        <w:tc>
          <w:tcPr>
            <w:tcW w:w="1268" w:type="dxa"/>
            <w:tcMar>
              <w:top w:w="60" w:type="dxa"/>
              <w:left w:w="70" w:type="dxa"/>
              <w:bottom w:w="60" w:type="dxa"/>
              <w:right w:w="70" w:type="dxa"/>
            </w:tcMar>
            <w:vAlign w:val="center"/>
          </w:tcPr>
          <w:p w14:paraId="40CD2789" w14:textId="657E0958"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D</w:t>
            </w:r>
          </w:p>
        </w:tc>
      </w:tr>
      <w:tr w:rsidR="00D92E7D" w14:paraId="4170D359" w14:textId="77777777" w:rsidTr="00A52F00">
        <w:trPr>
          <w:trHeight w:val="300"/>
        </w:trPr>
        <w:tc>
          <w:tcPr>
            <w:tcW w:w="2378" w:type="dxa"/>
            <w:tcMar>
              <w:top w:w="60" w:type="dxa"/>
              <w:left w:w="70" w:type="dxa"/>
              <w:bottom w:w="60" w:type="dxa"/>
              <w:right w:w="70" w:type="dxa"/>
            </w:tcMar>
            <w:vAlign w:val="center"/>
          </w:tcPr>
          <w:p w14:paraId="69CAA8E1" w14:textId="47E6E676"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Dom vseh generacij Solkan</w:t>
            </w:r>
          </w:p>
        </w:tc>
        <w:tc>
          <w:tcPr>
            <w:tcW w:w="4115" w:type="dxa"/>
            <w:tcMar>
              <w:top w:w="60" w:type="dxa"/>
              <w:left w:w="70" w:type="dxa"/>
              <w:bottom w:w="60" w:type="dxa"/>
              <w:right w:w="70" w:type="dxa"/>
            </w:tcMar>
            <w:vAlign w:val="center"/>
          </w:tcPr>
          <w:p w14:paraId="6A9424B4" w14:textId="040389DE"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Vzpostavitev medgeneracijskega in skupnostnega središča, ki povezuje storitve, programe nevladnih organizacij, druženje ter podporo različnim generacijam prebivalcev.</w:t>
            </w:r>
          </w:p>
        </w:tc>
        <w:tc>
          <w:tcPr>
            <w:tcW w:w="2497" w:type="dxa"/>
            <w:tcMar>
              <w:top w:w="60" w:type="dxa"/>
              <w:left w:w="70" w:type="dxa"/>
              <w:bottom w:w="60" w:type="dxa"/>
              <w:right w:w="70" w:type="dxa"/>
            </w:tcMar>
            <w:vAlign w:val="center"/>
          </w:tcPr>
          <w:p w14:paraId="768FBE9F" w14:textId="499F9C3A"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B1</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B2</w:t>
            </w:r>
          </w:p>
        </w:tc>
        <w:tc>
          <w:tcPr>
            <w:tcW w:w="1268" w:type="dxa"/>
            <w:tcMar>
              <w:top w:w="60" w:type="dxa"/>
              <w:left w:w="70" w:type="dxa"/>
              <w:bottom w:w="60" w:type="dxa"/>
              <w:right w:w="70" w:type="dxa"/>
            </w:tcMar>
            <w:vAlign w:val="center"/>
          </w:tcPr>
          <w:p w14:paraId="5667C537" w14:textId="2CC72CBF"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K</w:t>
            </w:r>
          </w:p>
        </w:tc>
      </w:tr>
      <w:tr w:rsidR="00D92E7D" w14:paraId="06215D43" w14:textId="77777777" w:rsidTr="00A52F00">
        <w:trPr>
          <w:trHeight w:val="300"/>
        </w:trPr>
        <w:tc>
          <w:tcPr>
            <w:tcW w:w="2378" w:type="dxa"/>
            <w:tcMar>
              <w:top w:w="60" w:type="dxa"/>
              <w:left w:w="70" w:type="dxa"/>
              <w:bottom w:w="60" w:type="dxa"/>
              <w:right w:w="70" w:type="dxa"/>
            </w:tcMar>
            <w:vAlign w:val="center"/>
          </w:tcPr>
          <w:p w14:paraId="6D7EB152" w14:textId="295BBF59"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 xml:space="preserve">Rezidenca ob </w:t>
            </w:r>
            <w:proofErr w:type="spellStart"/>
            <w:r w:rsidRPr="002A64A0">
              <w:rPr>
                <w:rFonts w:eastAsia="Times New Roman" w:cs="Arial"/>
                <w:color w:val="000000"/>
                <w:kern w:val="0"/>
                <w:sz w:val="16"/>
                <w:szCs w:val="16"/>
                <w:lang w:eastAsia="sl-SI"/>
                <w14:ligatures w14:val="none"/>
              </w:rPr>
              <w:t>Kornu</w:t>
            </w:r>
            <w:proofErr w:type="spellEnd"/>
          </w:p>
        </w:tc>
        <w:tc>
          <w:tcPr>
            <w:tcW w:w="4115" w:type="dxa"/>
            <w:tcMar>
              <w:top w:w="60" w:type="dxa"/>
              <w:left w:w="70" w:type="dxa"/>
              <w:bottom w:w="60" w:type="dxa"/>
              <w:right w:w="70" w:type="dxa"/>
            </w:tcMar>
            <w:vAlign w:val="center"/>
          </w:tcPr>
          <w:p w14:paraId="28865DD9" w14:textId="08F17CA1"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Vzpostavitev najemnih oskrbovanih stanovanj s podpornimi prostori, ki izboljšujejo stanovanjsko varnost in pogoje za samostojno bivanje starejših.</w:t>
            </w:r>
          </w:p>
        </w:tc>
        <w:tc>
          <w:tcPr>
            <w:tcW w:w="2497" w:type="dxa"/>
            <w:tcMar>
              <w:top w:w="60" w:type="dxa"/>
              <w:left w:w="70" w:type="dxa"/>
              <w:bottom w:w="60" w:type="dxa"/>
              <w:right w:w="70" w:type="dxa"/>
            </w:tcMar>
            <w:vAlign w:val="center"/>
          </w:tcPr>
          <w:p w14:paraId="16A5183C" w14:textId="43FBF685"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B1</w:t>
            </w:r>
            <w:r w:rsidRPr="002A64A0">
              <w:rPr>
                <w:rFonts w:eastAsia="Times New Roman" w:cs="Arial"/>
                <w:b/>
                <w:bCs/>
                <w:color w:val="000000"/>
                <w:kern w:val="0"/>
                <w:sz w:val="16"/>
                <w:szCs w:val="16"/>
                <w:lang w:eastAsia="sl-SI"/>
                <w14:ligatures w14:val="none"/>
              </w:rPr>
              <w:br/>
              <w:t xml:space="preserve">Prispeva tudi k: </w:t>
            </w:r>
            <w:r w:rsidRPr="008465CE">
              <w:rPr>
                <w:rFonts w:eastAsia="Times New Roman" w:cs="Arial"/>
                <w:color w:val="000000"/>
                <w:kern w:val="0"/>
                <w:sz w:val="16"/>
                <w:szCs w:val="16"/>
                <w:highlight w:val="yellow"/>
                <w:lang w:eastAsia="sl-SI"/>
                <w14:ligatures w14:val="none"/>
              </w:rPr>
              <w:t>C1, B2</w:t>
            </w:r>
          </w:p>
        </w:tc>
        <w:tc>
          <w:tcPr>
            <w:tcW w:w="1268" w:type="dxa"/>
            <w:tcMar>
              <w:top w:w="60" w:type="dxa"/>
              <w:left w:w="70" w:type="dxa"/>
              <w:bottom w:w="60" w:type="dxa"/>
              <w:right w:w="70" w:type="dxa"/>
            </w:tcMar>
            <w:vAlign w:val="center"/>
          </w:tcPr>
          <w:p w14:paraId="5ED4764F" w14:textId="4237A88D"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K</w:t>
            </w:r>
          </w:p>
        </w:tc>
      </w:tr>
      <w:tr w:rsidR="00D92E7D" w14:paraId="0FEA8026" w14:textId="77777777" w:rsidTr="00A52F00">
        <w:trPr>
          <w:trHeight w:val="300"/>
        </w:trPr>
        <w:tc>
          <w:tcPr>
            <w:tcW w:w="2378" w:type="dxa"/>
            <w:tcMar>
              <w:top w:w="60" w:type="dxa"/>
              <w:left w:w="70" w:type="dxa"/>
              <w:bottom w:w="60" w:type="dxa"/>
              <w:right w:w="70" w:type="dxa"/>
            </w:tcMar>
            <w:vAlign w:val="center"/>
          </w:tcPr>
          <w:p w14:paraId="3613575B" w14:textId="6BFD2A28"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 xml:space="preserve">Izgradnja kompleksa </w:t>
            </w:r>
            <w:proofErr w:type="spellStart"/>
            <w:r w:rsidRPr="002A64A0">
              <w:rPr>
                <w:rFonts w:eastAsia="Times New Roman" w:cs="Arial"/>
                <w:color w:val="000000"/>
                <w:kern w:val="0"/>
                <w:sz w:val="16"/>
                <w:szCs w:val="16"/>
                <w:lang w:eastAsia="sl-SI"/>
                <w14:ligatures w14:val="none"/>
              </w:rPr>
              <w:t>nizkonajemnih</w:t>
            </w:r>
            <w:proofErr w:type="spellEnd"/>
            <w:r w:rsidRPr="002A64A0">
              <w:rPr>
                <w:rFonts w:eastAsia="Times New Roman" w:cs="Arial"/>
                <w:color w:val="000000"/>
                <w:kern w:val="0"/>
                <w:sz w:val="16"/>
                <w:szCs w:val="16"/>
                <w:lang w:eastAsia="sl-SI"/>
                <w14:ligatures w14:val="none"/>
              </w:rPr>
              <w:t xml:space="preserve"> stanovanj Majske poljane</w:t>
            </w:r>
          </w:p>
        </w:tc>
        <w:tc>
          <w:tcPr>
            <w:tcW w:w="4115" w:type="dxa"/>
            <w:tcMar>
              <w:top w:w="60" w:type="dxa"/>
              <w:left w:w="70" w:type="dxa"/>
              <w:bottom w:w="60" w:type="dxa"/>
              <w:right w:w="70" w:type="dxa"/>
            </w:tcMar>
            <w:vAlign w:val="center"/>
          </w:tcPr>
          <w:p w14:paraId="40CCAB21" w14:textId="4A68BF98"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Vzpostavitev novega fonda javnih najemnih stanovanj za izboljšanje dostopnosti bivanja in uravnavanje razmer na stanovanjskem trgu.</w:t>
            </w:r>
          </w:p>
        </w:tc>
        <w:tc>
          <w:tcPr>
            <w:tcW w:w="2497" w:type="dxa"/>
            <w:tcMar>
              <w:top w:w="60" w:type="dxa"/>
              <w:left w:w="70" w:type="dxa"/>
              <w:bottom w:w="60" w:type="dxa"/>
              <w:right w:w="70" w:type="dxa"/>
            </w:tcMar>
            <w:vAlign w:val="center"/>
          </w:tcPr>
          <w:p w14:paraId="73B2688D" w14:textId="05CB06BC"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B1</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C1</w:t>
            </w:r>
          </w:p>
        </w:tc>
        <w:tc>
          <w:tcPr>
            <w:tcW w:w="1268" w:type="dxa"/>
            <w:tcMar>
              <w:top w:w="60" w:type="dxa"/>
              <w:left w:w="70" w:type="dxa"/>
              <w:bottom w:w="60" w:type="dxa"/>
              <w:right w:w="70" w:type="dxa"/>
            </w:tcMar>
            <w:vAlign w:val="center"/>
          </w:tcPr>
          <w:p w14:paraId="779C9CC0" w14:textId="727AA78A"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K</w:t>
            </w:r>
          </w:p>
        </w:tc>
      </w:tr>
      <w:tr w:rsidR="00D92E7D" w14:paraId="28FD6220" w14:textId="77777777" w:rsidTr="00A52F00">
        <w:trPr>
          <w:trHeight w:val="300"/>
        </w:trPr>
        <w:tc>
          <w:tcPr>
            <w:tcW w:w="2378" w:type="dxa"/>
            <w:tcMar>
              <w:top w:w="60" w:type="dxa"/>
              <w:left w:w="70" w:type="dxa"/>
              <w:bottom w:w="60" w:type="dxa"/>
              <w:right w:w="70" w:type="dxa"/>
            </w:tcMar>
            <w:vAlign w:val="center"/>
          </w:tcPr>
          <w:p w14:paraId="58A82076" w14:textId="7F1B260D" w:rsidR="00D92E7D" w:rsidRPr="009A1DEE" w:rsidRDefault="00D92E7D" w:rsidP="00D92E7D">
            <w:pPr>
              <w:spacing w:after="0" w:line="240" w:lineRule="auto"/>
              <w:rPr>
                <w:rFonts w:ascii="Arial" w:eastAsia="Arial" w:hAnsi="Arial" w:cs="Arial"/>
                <w:sz w:val="16"/>
                <w:szCs w:val="16"/>
                <w:highlight w:val="yellow"/>
              </w:rPr>
            </w:pPr>
            <w:r w:rsidRPr="009A1DEE">
              <w:rPr>
                <w:rFonts w:eastAsia="Times New Roman" w:cs="Arial"/>
                <w:color w:val="000000"/>
                <w:kern w:val="0"/>
                <w:sz w:val="16"/>
                <w:szCs w:val="16"/>
                <w:highlight w:val="yellow"/>
                <w:lang w:eastAsia="sl-SI"/>
                <w14:ligatures w14:val="none"/>
              </w:rPr>
              <w:t>Priprava in izvajanje ukrepov za duševno in fizično odpornost otrok in mladih</w:t>
            </w:r>
          </w:p>
        </w:tc>
        <w:tc>
          <w:tcPr>
            <w:tcW w:w="4115" w:type="dxa"/>
            <w:tcMar>
              <w:top w:w="60" w:type="dxa"/>
              <w:left w:w="70" w:type="dxa"/>
              <w:bottom w:w="60" w:type="dxa"/>
              <w:right w:w="70" w:type="dxa"/>
            </w:tcMar>
            <w:vAlign w:val="center"/>
          </w:tcPr>
          <w:p w14:paraId="1582921F" w14:textId="5908B47F" w:rsidR="00D92E7D" w:rsidRPr="009A1DEE" w:rsidRDefault="00D92E7D" w:rsidP="00D92E7D">
            <w:pPr>
              <w:spacing w:after="0" w:line="240" w:lineRule="auto"/>
              <w:rPr>
                <w:rFonts w:ascii="Arial" w:eastAsia="Arial" w:hAnsi="Arial" w:cs="Arial"/>
                <w:sz w:val="16"/>
                <w:szCs w:val="16"/>
                <w:highlight w:val="yellow"/>
              </w:rPr>
            </w:pPr>
            <w:r w:rsidRPr="009A1DEE">
              <w:rPr>
                <w:rFonts w:eastAsia="Times New Roman" w:cs="Arial"/>
                <w:color w:val="000000"/>
                <w:kern w:val="0"/>
                <w:sz w:val="16"/>
                <w:szCs w:val="16"/>
                <w:highlight w:val="yellow"/>
                <w:lang w:eastAsia="sl-SI"/>
                <w14:ligatures w14:val="none"/>
              </w:rPr>
              <w:t>Razvoj in uveljavitev sodobnih vzgojno-izobraževalnih programov in strokovnih pristopov, ki omogočajo razvoj različnih vrst inteligenc, ustvarjalnosti in talentov otrok in mladih, tudi s primernim vlaganjem v pedagoške kadre in pogoje.</w:t>
            </w:r>
          </w:p>
        </w:tc>
        <w:tc>
          <w:tcPr>
            <w:tcW w:w="2497" w:type="dxa"/>
            <w:tcMar>
              <w:top w:w="60" w:type="dxa"/>
              <w:left w:w="70" w:type="dxa"/>
              <w:bottom w:w="60" w:type="dxa"/>
              <w:right w:w="70" w:type="dxa"/>
            </w:tcMar>
            <w:vAlign w:val="center"/>
          </w:tcPr>
          <w:p w14:paraId="52E06E3D" w14:textId="77777777" w:rsidR="00D92E7D" w:rsidRPr="009A1DEE" w:rsidRDefault="00D92E7D" w:rsidP="00D92E7D">
            <w:pPr>
              <w:spacing w:after="0" w:line="240" w:lineRule="auto"/>
              <w:rPr>
                <w:rFonts w:eastAsia="Times New Roman" w:cs="Arial"/>
                <w:b/>
                <w:bCs/>
                <w:color w:val="000000"/>
                <w:kern w:val="0"/>
                <w:sz w:val="16"/>
                <w:szCs w:val="16"/>
                <w:highlight w:val="yellow"/>
                <w:lang w:eastAsia="sl-SI"/>
                <w14:ligatures w14:val="none"/>
              </w:rPr>
            </w:pPr>
            <w:r w:rsidRPr="009A1DEE">
              <w:rPr>
                <w:rFonts w:eastAsia="Times New Roman" w:cs="Arial"/>
                <w:b/>
                <w:bCs/>
                <w:color w:val="000000"/>
                <w:kern w:val="0"/>
                <w:sz w:val="16"/>
                <w:szCs w:val="16"/>
                <w:highlight w:val="yellow"/>
                <w:lang w:eastAsia="sl-SI"/>
                <w14:ligatures w14:val="none"/>
              </w:rPr>
              <w:t xml:space="preserve">Neposredno podpira: </w:t>
            </w:r>
            <w:r w:rsidRPr="009A1DEE">
              <w:rPr>
                <w:rFonts w:eastAsia="Times New Roman" w:cs="Arial"/>
                <w:color w:val="000000"/>
                <w:kern w:val="0"/>
                <w:sz w:val="16"/>
                <w:szCs w:val="16"/>
                <w:highlight w:val="yellow"/>
                <w:lang w:eastAsia="sl-SI"/>
                <w14:ligatures w14:val="none"/>
              </w:rPr>
              <w:t>B1</w:t>
            </w:r>
          </w:p>
          <w:p w14:paraId="1AAC1250" w14:textId="06F20CA8" w:rsidR="00D92E7D" w:rsidRPr="009A1DEE" w:rsidRDefault="00D92E7D" w:rsidP="00D92E7D">
            <w:pPr>
              <w:spacing w:after="0" w:line="240" w:lineRule="auto"/>
              <w:rPr>
                <w:rFonts w:ascii="Arial" w:eastAsia="Arial" w:hAnsi="Arial" w:cs="Arial"/>
                <w:sz w:val="16"/>
                <w:szCs w:val="16"/>
                <w:highlight w:val="yellow"/>
              </w:rPr>
            </w:pPr>
            <w:r w:rsidRPr="009A1DEE">
              <w:rPr>
                <w:rFonts w:eastAsia="Times New Roman" w:cs="Arial"/>
                <w:b/>
                <w:bCs/>
                <w:color w:val="000000"/>
                <w:kern w:val="0"/>
                <w:sz w:val="16"/>
                <w:szCs w:val="16"/>
                <w:highlight w:val="yellow"/>
                <w:lang w:eastAsia="sl-SI"/>
                <w14:ligatures w14:val="none"/>
              </w:rPr>
              <w:t xml:space="preserve">Prispeva tudi k: </w:t>
            </w:r>
            <w:r w:rsidRPr="009A1DEE">
              <w:rPr>
                <w:rFonts w:eastAsia="Times New Roman" w:cs="Arial"/>
                <w:color w:val="000000"/>
                <w:kern w:val="0"/>
                <w:sz w:val="16"/>
                <w:szCs w:val="16"/>
                <w:highlight w:val="yellow"/>
                <w:lang w:eastAsia="sl-SI"/>
                <w14:ligatures w14:val="none"/>
              </w:rPr>
              <w:t>A1, C2</w:t>
            </w:r>
          </w:p>
        </w:tc>
        <w:tc>
          <w:tcPr>
            <w:tcW w:w="1268" w:type="dxa"/>
            <w:tcMar>
              <w:top w:w="60" w:type="dxa"/>
              <w:left w:w="70" w:type="dxa"/>
              <w:bottom w:w="60" w:type="dxa"/>
              <w:right w:w="70" w:type="dxa"/>
            </w:tcMar>
            <w:vAlign w:val="center"/>
          </w:tcPr>
          <w:p w14:paraId="5E874CB9" w14:textId="2F6F36E7" w:rsidR="00D92E7D" w:rsidRDefault="00D92E7D" w:rsidP="00D92E7D">
            <w:pPr>
              <w:spacing w:after="0" w:line="240" w:lineRule="auto"/>
              <w:rPr>
                <w:rFonts w:ascii="Arial" w:eastAsia="Arial" w:hAnsi="Arial" w:cs="Arial"/>
                <w:sz w:val="16"/>
                <w:szCs w:val="16"/>
              </w:rPr>
            </w:pPr>
            <w:r w:rsidRPr="009A1DEE">
              <w:rPr>
                <w:rFonts w:eastAsia="Times New Roman" w:cs="Arial"/>
                <w:color w:val="000000"/>
                <w:kern w:val="0"/>
                <w:sz w:val="16"/>
                <w:szCs w:val="16"/>
                <w:highlight w:val="yellow"/>
                <w:lang w:eastAsia="sl-SI"/>
                <w14:ligatures w14:val="none"/>
              </w:rPr>
              <w:t>K</w:t>
            </w:r>
          </w:p>
        </w:tc>
      </w:tr>
      <w:tr w:rsidR="00D92E7D" w14:paraId="6A727A0A" w14:textId="77777777" w:rsidTr="00A52F00">
        <w:trPr>
          <w:trHeight w:val="300"/>
        </w:trPr>
        <w:tc>
          <w:tcPr>
            <w:tcW w:w="2378" w:type="dxa"/>
            <w:tcMar>
              <w:top w:w="60" w:type="dxa"/>
              <w:left w:w="70" w:type="dxa"/>
              <w:bottom w:w="60" w:type="dxa"/>
              <w:right w:w="70" w:type="dxa"/>
            </w:tcMar>
            <w:vAlign w:val="center"/>
          </w:tcPr>
          <w:p w14:paraId="356EBE5E" w14:textId="29BD4B19" w:rsidR="00D92E7D" w:rsidRPr="00915281" w:rsidRDefault="00D92E7D" w:rsidP="00D92E7D">
            <w:pPr>
              <w:spacing w:after="0" w:line="240" w:lineRule="auto"/>
              <w:rPr>
                <w:rFonts w:ascii="Arial" w:eastAsia="Arial" w:hAnsi="Arial" w:cs="Arial"/>
                <w:sz w:val="16"/>
                <w:szCs w:val="16"/>
                <w:highlight w:val="yellow"/>
              </w:rPr>
            </w:pPr>
            <w:r w:rsidRPr="00915281">
              <w:rPr>
                <w:rFonts w:eastAsia="Times New Roman" w:cs="Arial"/>
                <w:color w:val="000000"/>
                <w:kern w:val="0"/>
                <w:sz w:val="16"/>
                <w:szCs w:val="16"/>
                <w:highlight w:val="yellow"/>
                <w:lang w:eastAsia="sl-SI"/>
                <w14:ligatures w14:val="none"/>
              </w:rPr>
              <w:t>Vzpostavitev Paliativne mreže Severne Primorske in razvoj Hospic hiše</w:t>
            </w:r>
          </w:p>
        </w:tc>
        <w:tc>
          <w:tcPr>
            <w:tcW w:w="4115" w:type="dxa"/>
            <w:tcMar>
              <w:top w:w="60" w:type="dxa"/>
              <w:left w:w="70" w:type="dxa"/>
              <w:bottom w:w="60" w:type="dxa"/>
              <w:right w:w="70" w:type="dxa"/>
            </w:tcMar>
            <w:vAlign w:val="center"/>
          </w:tcPr>
          <w:p w14:paraId="3C47570F" w14:textId="615ECF0F" w:rsidR="00D92E7D" w:rsidRPr="00915281" w:rsidRDefault="00D92E7D" w:rsidP="00D92E7D">
            <w:pPr>
              <w:spacing w:after="0" w:line="240" w:lineRule="auto"/>
              <w:rPr>
                <w:rFonts w:ascii="Arial" w:eastAsia="Arial" w:hAnsi="Arial" w:cs="Arial"/>
                <w:sz w:val="16"/>
                <w:szCs w:val="16"/>
                <w:highlight w:val="yellow"/>
              </w:rPr>
            </w:pPr>
            <w:r w:rsidRPr="00915281">
              <w:rPr>
                <w:rFonts w:eastAsia="Times New Roman" w:cs="Arial"/>
                <w:color w:val="000000"/>
                <w:kern w:val="0"/>
                <w:sz w:val="16"/>
                <w:szCs w:val="16"/>
                <w:highlight w:val="yellow"/>
                <w:lang w:eastAsia="sl-SI"/>
                <w14:ligatures w14:val="none"/>
              </w:rPr>
              <w:t>Vzpostavitev regionalno povezane mreže izvajalcev paliativne oskrbe, hospic dejavnosti ter podpore bolnikom, svojcem in žalujočim. Projekt vključuje povezovanje zdravstvenih, socialnovarstvenih, nevladnih, prostovoljskih in drugih organizacij, izobraževanje strokovnih delavcev in prostovoljcev, ozaveščanje javnosti ter razvoj Hospic hiše na Sveti Gori kot pomembnega dela regionalne paliativne mreže.</w:t>
            </w:r>
          </w:p>
        </w:tc>
        <w:tc>
          <w:tcPr>
            <w:tcW w:w="2497" w:type="dxa"/>
            <w:tcMar>
              <w:top w:w="60" w:type="dxa"/>
              <w:left w:w="70" w:type="dxa"/>
              <w:bottom w:w="60" w:type="dxa"/>
              <w:right w:w="70" w:type="dxa"/>
            </w:tcMar>
            <w:vAlign w:val="center"/>
          </w:tcPr>
          <w:p w14:paraId="15788BEA" w14:textId="77777777" w:rsidR="00D92E7D" w:rsidRPr="00915281" w:rsidRDefault="00D92E7D" w:rsidP="00D92E7D">
            <w:pPr>
              <w:spacing w:after="0" w:line="240" w:lineRule="auto"/>
              <w:rPr>
                <w:rFonts w:eastAsia="Times New Roman" w:cs="Arial"/>
                <w:b/>
                <w:bCs/>
                <w:color w:val="000000"/>
                <w:kern w:val="0"/>
                <w:sz w:val="16"/>
                <w:szCs w:val="16"/>
                <w:highlight w:val="yellow"/>
                <w:lang w:eastAsia="sl-SI"/>
                <w14:ligatures w14:val="none"/>
              </w:rPr>
            </w:pPr>
            <w:r w:rsidRPr="00915281">
              <w:rPr>
                <w:rFonts w:eastAsia="Times New Roman" w:cs="Arial"/>
                <w:b/>
                <w:bCs/>
                <w:color w:val="000000"/>
                <w:kern w:val="0"/>
                <w:sz w:val="16"/>
                <w:szCs w:val="16"/>
                <w:highlight w:val="yellow"/>
                <w:lang w:eastAsia="sl-SI"/>
                <w14:ligatures w14:val="none"/>
              </w:rPr>
              <w:t xml:space="preserve">Neposredno podpira: </w:t>
            </w:r>
            <w:r w:rsidRPr="00915281">
              <w:rPr>
                <w:rFonts w:eastAsia="Times New Roman" w:cs="Arial"/>
                <w:color w:val="000000"/>
                <w:kern w:val="0"/>
                <w:sz w:val="16"/>
                <w:szCs w:val="16"/>
                <w:highlight w:val="yellow"/>
                <w:lang w:eastAsia="sl-SI"/>
                <w14:ligatures w14:val="none"/>
              </w:rPr>
              <w:t>B1</w:t>
            </w:r>
          </w:p>
          <w:p w14:paraId="0E859B14" w14:textId="4C9C4116" w:rsidR="00D92E7D" w:rsidRPr="00915281" w:rsidRDefault="00D92E7D" w:rsidP="00D92E7D">
            <w:pPr>
              <w:spacing w:after="0" w:line="240" w:lineRule="auto"/>
              <w:rPr>
                <w:rFonts w:ascii="Arial" w:eastAsia="Arial" w:hAnsi="Arial" w:cs="Arial"/>
                <w:sz w:val="16"/>
                <w:szCs w:val="16"/>
                <w:highlight w:val="yellow"/>
              </w:rPr>
            </w:pPr>
            <w:r w:rsidRPr="00915281">
              <w:rPr>
                <w:rFonts w:eastAsia="Times New Roman" w:cs="Arial"/>
                <w:b/>
                <w:bCs/>
                <w:color w:val="000000"/>
                <w:kern w:val="0"/>
                <w:sz w:val="16"/>
                <w:szCs w:val="16"/>
                <w:highlight w:val="yellow"/>
                <w:lang w:eastAsia="sl-SI"/>
                <w14:ligatures w14:val="none"/>
              </w:rPr>
              <w:t xml:space="preserve">Prispeva tudi k: </w:t>
            </w:r>
            <w:r w:rsidRPr="00915281">
              <w:rPr>
                <w:rFonts w:eastAsia="Times New Roman" w:cs="Arial"/>
                <w:color w:val="000000"/>
                <w:kern w:val="0"/>
                <w:sz w:val="16"/>
                <w:szCs w:val="16"/>
                <w:highlight w:val="yellow"/>
                <w:lang w:eastAsia="sl-SI"/>
                <w14:ligatures w14:val="none"/>
              </w:rPr>
              <w:t>D2, C2</w:t>
            </w:r>
          </w:p>
        </w:tc>
        <w:tc>
          <w:tcPr>
            <w:tcW w:w="1268" w:type="dxa"/>
            <w:tcMar>
              <w:top w:w="60" w:type="dxa"/>
              <w:left w:w="70" w:type="dxa"/>
              <w:bottom w:w="60" w:type="dxa"/>
              <w:right w:w="70" w:type="dxa"/>
            </w:tcMar>
            <w:vAlign w:val="center"/>
          </w:tcPr>
          <w:p w14:paraId="7B808DF2" w14:textId="570ED8BB" w:rsidR="00D92E7D" w:rsidRDefault="00D92E7D" w:rsidP="00D92E7D">
            <w:pPr>
              <w:spacing w:after="0" w:line="240" w:lineRule="auto"/>
              <w:rPr>
                <w:rFonts w:ascii="Arial" w:eastAsia="Arial" w:hAnsi="Arial" w:cs="Arial"/>
                <w:sz w:val="16"/>
                <w:szCs w:val="16"/>
              </w:rPr>
            </w:pPr>
            <w:r w:rsidRPr="00915281">
              <w:rPr>
                <w:rFonts w:eastAsia="Times New Roman" w:cs="Arial"/>
                <w:color w:val="000000"/>
                <w:kern w:val="0"/>
                <w:sz w:val="16"/>
                <w:szCs w:val="16"/>
                <w:highlight w:val="yellow"/>
                <w:lang w:eastAsia="sl-SI"/>
                <w14:ligatures w14:val="none"/>
              </w:rPr>
              <w:t>K</w:t>
            </w:r>
          </w:p>
        </w:tc>
      </w:tr>
      <w:tr w:rsidR="00D92E7D" w14:paraId="117BAB70" w14:textId="77777777" w:rsidTr="00A52F00">
        <w:trPr>
          <w:trHeight w:val="300"/>
        </w:trPr>
        <w:tc>
          <w:tcPr>
            <w:tcW w:w="2378" w:type="dxa"/>
            <w:tcMar>
              <w:top w:w="60" w:type="dxa"/>
              <w:left w:w="70" w:type="dxa"/>
              <w:bottom w:w="60" w:type="dxa"/>
              <w:right w:w="70" w:type="dxa"/>
            </w:tcMar>
            <w:vAlign w:val="center"/>
          </w:tcPr>
          <w:p w14:paraId="4975159B" w14:textId="04735F21" w:rsidR="00D92E7D" w:rsidRPr="009A1DEE" w:rsidRDefault="00D92E7D" w:rsidP="00D92E7D">
            <w:pPr>
              <w:spacing w:after="0" w:line="240" w:lineRule="auto"/>
              <w:rPr>
                <w:rFonts w:ascii="Arial" w:eastAsia="Arial" w:hAnsi="Arial" w:cs="Arial"/>
                <w:sz w:val="16"/>
                <w:szCs w:val="16"/>
                <w:highlight w:val="yellow"/>
              </w:rPr>
            </w:pPr>
            <w:r w:rsidRPr="009A1DEE">
              <w:rPr>
                <w:rFonts w:eastAsia="Times New Roman" w:cs="Arial"/>
                <w:color w:val="000000"/>
                <w:kern w:val="0"/>
                <w:sz w:val="16"/>
                <w:szCs w:val="16"/>
                <w:highlight w:val="yellow"/>
                <w:lang w:eastAsia="sl-SI"/>
                <w14:ligatures w14:val="none"/>
              </w:rPr>
              <w:t>Priprava in izvajanje ukrepov za duševno in fizično odporno skupnost ter dobro počutje vseh prebivalcev</w:t>
            </w:r>
          </w:p>
        </w:tc>
        <w:tc>
          <w:tcPr>
            <w:tcW w:w="4115" w:type="dxa"/>
            <w:tcMar>
              <w:top w:w="60" w:type="dxa"/>
              <w:left w:w="70" w:type="dxa"/>
              <w:bottom w:w="60" w:type="dxa"/>
              <w:right w:w="70" w:type="dxa"/>
            </w:tcMar>
            <w:vAlign w:val="center"/>
          </w:tcPr>
          <w:p w14:paraId="360B119C" w14:textId="1AC13A49" w:rsidR="00D92E7D" w:rsidRPr="009A1DEE" w:rsidRDefault="00D92E7D" w:rsidP="00D92E7D">
            <w:pPr>
              <w:spacing w:after="0" w:line="240" w:lineRule="auto"/>
              <w:rPr>
                <w:rFonts w:ascii="Arial" w:eastAsia="Arial" w:hAnsi="Arial" w:cs="Arial"/>
                <w:sz w:val="16"/>
                <w:szCs w:val="16"/>
                <w:highlight w:val="yellow"/>
              </w:rPr>
            </w:pPr>
            <w:r w:rsidRPr="009A1DEE">
              <w:rPr>
                <w:rFonts w:eastAsia="Times New Roman" w:cs="Arial"/>
                <w:color w:val="000000"/>
                <w:kern w:val="0"/>
                <w:sz w:val="16"/>
                <w:szCs w:val="16"/>
                <w:highlight w:val="yellow"/>
                <w:lang w:eastAsia="sl-SI"/>
                <w14:ligatures w14:val="none"/>
              </w:rPr>
              <w:t>Razvoj in uveljavitev sodobnih programov socialnega, medgeneracijskega in medkulturnega vključevanja za blaginjo in dobro počutje vseh prebivalcev.</w:t>
            </w:r>
          </w:p>
        </w:tc>
        <w:tc>
          <w:tcPr>
            <w:tcW w:w="2497" w:type="dxa"/>
            <w:tcMar>
              <w:top w:w="60" w:type="dxa"/>
              <w:left w:w="70" w:type="dxa"/>
              <w:bottom w:w="60" w:type="dxa"/>
              <w:right w:w="70" w:type="dxa"/>
            </w:tcMar>
            <w:vAlign w:val="center"/>
          </w:tcPr>
          <w:p w14:paraId="670D6C14" w14:textId="77777777" w:rsidR="00D92E7D" w:rsidRPr="009A1DEE" w:rsidRDefault="00D92E7D" w:rsidP="00D92E7D">
            <w:pPr>
              <w:spacing w:after="0" w:line="240" w:lineRule="auto"/>
              <w:rPr>
                <w:rFonts w:eastAsia="Times New Roman" w:cs="Arial"/>
                <w:b/>
                <w:bCs/>
                <w:color w:val="000000"/>
                <w:kern w:val="0"/>
                <w:sz w:val="16"/>
                <w:szCs w:val="16"/>
                <w:highlight w:val="yellow"/>
                <w:lang w:eastAsia="sl-SI"/>
                <w14:ligatures w14:val="none"/>
              </w:rPr>
            </w:pPr>
            <w:r w:rsidRPr="009A1DEE">
              <w:rPr>
                <w:rFonts w:eastAsia="Times New Roman" w:cs="Arial"/>
                <w:b/>
                <w:bCs/>
                <w:color w:val="000000"/>
                <w:kern w:val="0"/>
                <w:sz w:val="16"/>
                <w:szCs w:val="16"/>
                <w:highlight w:val="yellow"/>
                <w:lang w:eastAsia="sl-SI"/>
                <w14:ligatures w14:val="none"/>
              </w:rPr>
              <w:t xml:space="preserve">Neposredno podpira: </w:t>
            </w:r>
            <w:r w:rsidRPr="009A1DEE">
              <w:rPr>
                <w:rFonts w:eastAsia="Times New Roman" w:cs="Arial"/>
                <w:color w:val="000000"/>
                <w:kern w:val="0"/>
                <w:sz w:val="16"/>
                <w:szCs w:val="16"/>
                <w:highlight w:val="yellow"/>
                <w:lang w:eastAsia="sl-SI"/>
                <w14:ligatures w14:val="none"/>
              </w:rPr>
              <w:t>B2</w:t>
            </w:r>
          </w:p>
          <w:p w14:paraId="13B0BC12" w14:textId="08F83062" w:rsidR="00D92E7D" w:rsidRPr="009A1DEE" w:rsidRDefault="00D92E7D" w:rsidP="00D92E7D">
            <w:pPr>
              <w:spacing w:after="0" w:line="240" w:lineRule="auto"/>
              <w:rPr>
                <w:rFonts w:ascii="Arial" w:eastAsia="Arial" w:hAnsi="Arial" w:cs="Arial"/>
                <w:sz w:val="16"/>
                <w:szCs w:val="16"/>
                <w:highlight w:val="yellow"/>
              </w:rPr>
            </w:pPr>
            <w:r w:rsidRPr="009A1DEE">
              <w:rPr>
                <w:rFonts w:eastAsia="Times New Roman" w:cs="Arial"/>
                <w:b/>
                <w:bCs/>
                <w:color w:val="000000"/>
                <w:kern w:val="0"/>
                <w:sz w:val="16"/>
                <w:szCs w:val="16"/>
                <w:highlight w:val="yellow"/>
                <w:lang w:eastAsia="sl-SI"/>
                <w14:ligatures w14:val="none"/>
              </w:rPr>
              <w:t xml:space="preserve">Prispeva tudi k: </w:t>
            </w:r>
            <w:r w:rsidRPr="009A1DEE">
              <w:rPr>
                <w:rFonts w:eastAsia="Times New Roman" w:cs="Arial"/>
                <w:color w:val="000000"/>
                <w:kern w:val="0"/>
                <w:sz w:val="16"/>
                <w:szCs w:val="16"/>
                <w:highlight w:val="yellow"/>
                <w:lang w:eastAsia="sl-SI"/>
                <w14:ligatures w14:val="none"/>
              </w:rPr>
              <w:t>B1, C2, D1</w:t>
            </w:r>
          </w:p>
        </w:tc>
        <w:tc>
          <w:tcPr>
            <w:tcW w:w="1268" w:type="dxa"/>
            <w:tcMar>
              <w:top w:w="60" w:type="dxa"/>
              <w:left w:w="70" w:type="dxa"/>
              <w:bottom w:w="60" w:type="dxa"/>
              <w:right w:w="70" w:type="dxa"/>
            </w:tcMar>
            <w:vAlign w:val="center"/>
          </w:tcPr>
          <w:p w14:paraId="0476A46D" w14:textId="1DE81693" w:rsidR="00D92E7D" w:rsidRDefault="00D92E7D" w:rsidP="00D92E7D">
            <w:pPr>
              <w:spacing w:after="0" w:line="240" w:lineRule="auto"/>
              <w:rPr>
                <w:rFonts w:ascii="Arial" w:eastAsia="Arial" w:hAnsi="Arial" w:cs="Arial"/>
                <w:sz w:val="16"/>
                <w:szCs w:val="16"/>
              </w:rPr>
            </w:pPr>
            <w:r w:rsidRPr="009A1DEE">
              <w:rPr>
                <w:rFonts w:eastAsia="Times New Roman" w:cs="Arial"/>
                <w:color w:val="000000"/>
                <w:kern w:val="0"/>
                <w:sz w:val="16"/>
                <w:szCs w:val="16"/>
                <w:highlight w:val="yellow"/>
                <w:lang w:eastAsia="sl-SI"/>
                <w14:ligatures w14:val="none"/>
              </w:rPr>
              <w:t>K</w:t>
            </w:r>
          </w:p>
        </w:tc>
      </w:tr>
      <w:tr w:rsidR="00D92E7D" w14:paraId="21DCDAB7" w14:textId="77777777" w:rsidTr="00A52F00">
        <w:trPr>
          <w:trHeight w:val="300"/>
        </w:trPr>
        <w:tc>
          <w:tcPr>
            <w:tcW w:w="2378" w:type="dxa"/>
            <w:tcMar>
              <w:top w:w="60" w:type="dxa"/>
              <w:left w:w="70" w:type="dxa"/>
              <w:bottom w:w="60" w:type="dxa"/>
              <w:right w:w="70" w:type="dxa"/>
            </w:tcMar>
            <w:vAlign w:val="center"/>
          </w:tcPr>
          <w:p w14:paraId="2CDBAF44" w14:textId="5D71CF4E"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Letni festival identitete prostora</w:t>
            </w:r>
          </w:p>
        </w:tc>
        <w:tc>
          <w:tcPr>
            <w:tcW w:w="4115" w:type="dxa"/>
            <w:tcMar>
              <w:top w:w="60" w:type="dxa"/>
              <w:left w:w="70" w:type="dxa"/>
              <w:bottom w:w="60" w:type="dxa"/>
              <w:right w:w="70" w:type="dxa"/>
            </w:tcMar>
            <w:vAlign w:val="center"/>
          </w:tcPr>
          <w:p w14:paraId="44778173" w14:textId="6C633C1F"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Razvoj osrednjega letnega dogodka, ki povezuje kulturne, ustvarjalne, kulinarične ali druge vsebine ter krepi identiteto in prepoznavnost Nove Gorice.</w:t>
            </w:r>
          </w:p>
        </w:tc>
        <w:tc>
          <w:tcPr>
            <w:tcW w:w="2497" w:type="dxa"/>
            <w:tcMar>
              <w:top w:w="60" w:type="dxa"/>
              <w:left w:w="70" w:type="dxa"/>
              <w:bottom w:w="60" w:type="dxa"/>
              <w:right w:w="70" w:type="dxa"/>
            </w:tcMar>
            <w:vAlign w:val="center"/>
          </w:tcPr>
          <w:p w14:paraId="749B9872" w14:textId="2DC3506E"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B2</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A3, C2, E2</w:t>
            </w:r>
          </w:p>
        </w:tc>
        <w:tc>
          <w:tcPr>
            <w:tcW w:w="1268" w:type="dxa"/>
            <w:tcMar>
              <w:top w:w="60" w:type="dxa"/>
              <w:left w:w="70" w:type="dxa"/>
              <w:bottom w:w="60" w:type="dxa"/>
              <w:right w:w="70" w:type="dxa"/>
            </w:tcMar>
            <w:vAlign w:val="center"/>
          </w:tcPr>
          <w:p w14:paraId="79925DEE" w14:textId="1EB8E835"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K</w:t>
            </w:r>
          </w:p>
        </w:tc>
      </w:tr>
      <w:tr w:rsidR="00D92E7D" w14:paraId="1CBB7F29" w14:textId="77777777" w:rsidTr="00A52F00">
        <w:trPr>
          <w:trHeight w:val="300"/>
        </w:trPr>
        <w:tc>
          <w:tcPr>
            <w:tcW w:w="2378" w:type="dxa"/>
            <w:tcMar>
              <w:top w:w="60" w:type="dxa"/>
              <w:left w:w="70" w:type="dxa"/>
              <w:bottom w:w="60" w:type="dxa"/>
              <w:right w:w="70" w:type="dxa"/>
            </w:tcMar>
            <w:vAlign w:val="center"/>
          </w:tcPr>
          <w:p w14:paraId="4524DC22" w14:textId="4147BC20"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Program čezmejnega jezikovnega opismenjevanja in kulturnega dialoga</w:t>
            </w:r>
          </w:p>
        </w:tc>
        <w:tc>
          <w:tcPr>
            <w:tcW w:w="4115" w:type="dxa"/>
            <w:tcMar>
              <w:top w:w="60" w:type="dxa"/>
              <w:left w:w="70" w:type="dxa"/>
              <w:bottom w:w="60" w:type="dxa"/>
              <w:right w:w="70" w:type="dxa"/>
            </w:tcMar>
            <w:vAlign w:val="center"/>
          </w:tcPr>
          <w:p w14:paraId="5BE80608" w14:textId="09975A3E"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Podpora učenju slovenskega in italijanskega jezika, dvojezičnim programom ter samozavestnemu in enakovrednemu dialogu med skupnostmi.</w:t>
            </w:r>
          </w:p>
        </w:tc>
        <w:tc>
          <w:tcPr>
            <w:tcW w:w="2497" w:type="dxa"/>
            <w:tcMar>
              <w:top w:w="60" w:type="dxa"/>
              <w:left w:w="70" w:type="dxa"/>
              <w:bottom w:w="60" w:type="dxa"/>
              <w:right w:w="70" w:type="dxa"/>
            </w:tcMar>
            <w:vAlign w:val="center"/>
          </w:tcPr>
          <w:p w14:paraId="071F16D4" w14:textId="227B70DD"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B2</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E2</w:t>
            </w:r>
          </w:p>
        </w:tc>
        <w:tc>
          <w:tcPr>
            <w:tcW w:w="1268" w:type="dxa"/>
            <w:tcMar>
              <w:top w:w="60" w:type="dxa"/>
              <w:left w:w="70" w:type="dxa"/>
              <w:bottom w:w="60" w:type="dxa"/>
              <w:right w:w="70" w:type="dxa"/>
            </w:tcMar>
            <w:vAlign w:val="center"/>
          </w:tcPr>
          <w:p w14:paraId="6D72853A" w14:textId="0C9265F7"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K</w:t>
            </w:r>
          </w:p>
        </w:tc>
      </w:tr>
      <w:tr w:rsidR="00D92E7D" w14:paraId="662FDD75" w14:textId="77777777" w:rsidTr="00A52F00">
        <w:trPr>
          <w:trHeight w:val="300"/>
        </w:trPr>
        <w:tc>
          <w:tcPr>
            <w:tcW w:w="2378" w:type="dxa"/>
            <w:tcMar>
              <w:top w:w="60" w:type="dxa"/>
              <w:left w:w="70" w:type="dxa"/>
              <w:bottom w:w="60" w:type="dxa"/>
              <w:right w:w="70" w:type="dxa"/>
            </w:tcMar>
            <w:vAlign w:val="center"/>
          </w:tcPr>
          <w:p w14:paraId="664D18D9" w14:textId="2A1B9E96" w:rsidR="00D92E7D" w:rsidRPr="000D26D0" w:rsidRDefault="00D92E7D" w:rsidP="00D92E7D">
            <w:pPr>
              <w:spacing w:after="0" w:line="240" w:lineRule="auto"/>
              <w:rPr>
                <w:rFonts w:ascii="Arial" w:eastAsia="Arial" w:hAnsi="Arial" w:cs="Arial"/>
                <w:sz w:val="16"/>
                <w:szCs w:val="16"/>
                <w:highlight w:val="yellow"/>
              </w:rPr>
            </w:pPr>
            <w:r w:rsidRPr="000D26D0">
              <w:rPr>
                <w:rFonts w:eastAsia="Times New Roman" w:cs="Arial"/>
                <w:color w:val="000000"/>
                <w:kern w:val="0"/>
                <w:sz w:val="16"/>
                <w:szCs w:val="16"/>
                <w:highlight w:val="yellow"/>
                <w:lang w:eastAsia="sl-SI"/>
                <w14:ligatures w14:val="none"/>
              </w:rPr>
              <w:t>Nadgradnja regijskega sistema zaščite in reševanja</w:t>
            </w:r>
          </w:p>
        </w:tc>
        <w:tc>
          <w:tcPr>
            <w:tcW w:w="4115" w:type="dxa"/>
            <w:tcMar>
              <w:top w:w="60" w:type="dxa"/>
              <w:left w:w="70" w:type="dxa"/>
              <w:bottom w:w="60" w:type="dxa"/>
              <w:right w:w="70" w:type="dxa"/>
            </w:tcMar>
            <w:vAlign w:val="center"/>
          </w:tcPr>
          <w:p w14:paraId="280C3029" w14:textId="06CE0DD2" w:rsidR="00D92E7D" w:rsidRPr="000D26D0" w:rsidRDefault="00D92E7D" w:rsidP="00D92E7D">
            <w:pPr>
              <w:spacing w:after="0" w:line="240" w:lineRule="auto"/>
              <w:rPr>
                <w:rFonts w:ascii="Arial" w:eastAsia="Arial" w:hAnsi="Arial" w:cs="Arial"/>
                <w:sz w:val="16"/>
                <w:szCs w:val="16"/>
                <w:highlight w:val="yellow"/>
              </w:rPr>
            </w:pPr>
            <w:r w:rsidRPr="000D26D0">
              <w:rPr>
                <w:rFonts w:eastAsia="Times New Roman" w:cs="Arial"/>
                <w:color w:val="000000"/>
                <w:kern w:val="0"/>
                <w:sz w:val="16"/>
                <w:szCs w:val="16"/>
                <w:highlight w:val="yellow"/>
                <w:lang w:eastAsia="sl-SI"/>
                <w14:ligatures w14:val="none"/>
              </w:rPr>
              <w:t>Nadgradnja sedeža regijske izpostave URSZR s ključnimi podpornimi službami, centralno skladišče CZ MONG, čezmejni izobraževalni center pripadnikov enot za zaščito in reševanje</w:t>
            </w:r>
          </w:p>
        </w:tc>
        <w:tc>
          <w:tcPr>
            <w:tcW w:w="2497" w:type="dxa"/>
            <w:tcMar>
              <w:top w:w="60" w:type="dxa"/>
              <w:left w:w="70" w:type="dxa"/>
              <w:bottom w:w="60" w:type="dxa"/>
              <w:right w:w="70" w:type="dxa"/>
            </w:tcMar>
            <w:vAlign w:val="center"/>
          </w:tcPr>
          <w:p w14:paraId="3097ABCB" w14:textId="77777777" w:rsidR="00D92E7D" w:rsidRPr="000D26D0" w:rsidRDefault="00D92E7D" w:rsidP="00D92E7D">
            <w:pPr>
              <w:spacing w:after="0" w:line="240" w:lineRule="auto"/>
              <w:rPr>
                <w:rFonts w:eastAsia="Times New Roman" w:cs="Arial"/>
                <w:b/>
                <w:bCs/>
                <w:color w:val="000000"/>
                <w:kern w:val="0"/>
                <w:sz w:val="16"/>
                <w:szCs w:val="16"/>
                <w:highlight w:val="yellow"/>
                <w:lang w:eastAsia="sl-SI"/>
                <w14:ligatures w14:val="none"/>
              </w:rPr>
            </w:pPr>
            <w:r w:rsidRPr="000D26D0">
              <w:rPr>
                <w:rFonts w:eastAsia="Times New Roman" w:cs="Arial"/>
                <w:b/>
                <w:bCs/>
                <w:color w:val="000000"/>
                <w:kern w:val="0"/>
                <w:sz w:val="16"/>
                <w:szCs w:val="16"/>
                <w:highlight w:val="yellow"/>
                <w:lang w:eastAsia="sl-SI"/>
                <w14:ligatures w14:val="none"/>
              </w:rPr>
              <w:t xml:space="preserve">Neposredno podpira: </w:t>
            </w:r>
            <w:r w:rsidRPr="000D26D0">
              <w:rPr>
                <w:rFonts w:eastAsia="Times New Roman" w:cs="Arial"/>
                <w:color w:val="000000"/>
                <w:kern w:val="0"/>
                <w:sz w:val="16"/>
                <w:szCs w:val="16"/>
                <w:highlight w:val="yellow"/>
                <w:lang w:eastAsia="sl-SI"/>
                <w14:ligatures w14:val="none"/>
              </w:rPr>
              <w:t>C1</w:t>
            </w:r>
          </w:p>
          <w:p w14:paraId="6453B3D3" w14:textId="45A66A18" w:rsidR="00D92E7D" w:rsidRPr="000D26D0" w:rsidRDefault="00D92E7D" w:rsidP="00D92E7D">
            <w:pPr>
              <w:spacing w:after="0" w:line="240" w:lineRule="auto"/>
              <w:rPr>
                <w:rFonts w:ascii="Arial" w:eastAsia="Arial" w:hAnsi="Arial" w:cs="Arial"/>
                <w:sz w:val="16"/>
                <w:szCs w:val="16"/>
                <w:highlight w:val="yellow"/>
              </w:rPr>
            </w:pPr>
            <w:r w:rsidRPr="000D26D0">
              <w:rPr>
                <w:rFonts w:eastAsia="Times New Roman" w:cs="Arial"/>
                <w:b/>
                <w:bCs/>
                <w:color w:val="000000"/>
                <w:kern w:val="0"/>
                <w:sz w:val="16"/>
                <w:szCs w:val="16"/>
                <w:highlight w:val="yellow"/>
                <w:lang w:eastAsia="sl-SI"/>
                <w14:ligatures w14:val="none"/>
              </w:rPr>
              <w:t xml:space="preserve">Prispeva tudi k: </w:t>
            </w:r>
            <w:r w:rsidRPr="000D26D0">
              <w:rPr>
                <w:rFonts w:eastAsia="Times New Roman" w:cs="Arial"/>
                <w:color w:val="000000"/>
                <w:kern w:val="0"/>
                <w:sz w:val="16"/>
                <w:szCs w:val="16"/>
                <w:highlight w:val="yellow"/>
                <w:lang w:eastAsia="sl-SI"/>
                <w14:ligatures w14:val="none"/>
              </w:rPr>
              <w:t>B1, E1</w:t>
            </w:r>
          </w:p>
        </w:tc>
        <w:tc>
          <w:tcPr>
            <w:tcW w:w="1268" w:type="dxa"/>
            <w:tcMar>
              <w:top w:w="60" w:type="dxa"/>
              <w:left w:w="70" w:type="dxa"/>
              <w:bottom w:w="60" w:type="dxa"/>
              <w:right w:w="70" w:type="dxa"/>
            </w:tcMar>
            <w:vAlign w:val="center"/>
          </w:tcPr>
          <w:p w14:paraId="444174B7" w14:textId="00DDAB94" w:rsidR="00D92E7D" w:rsidRDefault="00D92E7D" w:rsidP="00D92E7D">
            <w:pPr>
              <w:spacing w:after="0" w:line="240" w:lineRule="auto"/>
              <w:rPr>
                <w:rFonts w:ascii="Arial" w:eastAsia="Arial" w:hAnsi="Arial" w:cs="Arial"/>
                <w:sz w:val="16"/>
                <w:szCs w:val="16"/>
              </w:rPr>
            </w:pPr>
            <w:r w:rsidRPr="000D26D0">
              <w:rPr>
                <w:rFonts w:eastAsia="Times New Roman" w:cs="Arial"/>
                <w:color w:val="000000"/>
                <w:kern w:val="0"/>
                <w:sz w:val="16"/>
                <w:szCs w:val="16"/>
                <w:highlight w:val="yellow"/>
                <w:lang w:eastAsia="sl-SI"/>
                <w14:ligatures w14:val="none"/>
              </w:rPr>
              <w:t>K</w:t>
            </w:r>
          </w:p>
        </w:tc>
      </w:tr>
      <w:tr w:rsidR="00D92E7D" w14:paraId="5CEA0423" w14:textId="77777777" w:rsidTr="00A52F00">
        <w:trPr>
          <w:trHeight w:val="300"/>
        </w:trPr>
        <w:tc>
          <w:tcPr>
            <w:tcW w:w="2378" w:type="dxa"/>
            <w:tcMar>
              <w:top w:w="60" w:type="dxa"/>
              <w:left w:w="70" w:type="dxa"/>
              <w:bottom w:w="60" w:type="dxa"/>
              <w:right w:w="70" w:type="dxa"/>
            </w:tcMar>
            <w:vAlign w:val="center"/>
          </w:tcPr>
          <w:p w14:paraId="6422A532" w14:textId="0D6F67D7" w:rsidR="00D92E7D" w:rsidRPr="00915281" w:rsidRDefault="00D92E7D" w:rsidP="00D92E7D">
            <w:pPr>
              <w:spacing w:after="0" w:line="240" w:lineRule="auto"/>
              <w:rPr>
                <w:rFonts w:ascii="Arial" w:eastAsia="Arial" w:hAnsi="Arial" w:cs="Arial"/>
                <w:sz w:val="16"/>
                <w:szCs w:val="16"/>
                <w:highlight w:val="yellow"/>
              </w:rPr>
            </w:pPr>
            <w:r w:rsidRPr="00915281">
              <w:rPr>
                <w:rFonts w:eastAsia="Times New Roman" w:cs="Arial"/>
                <w:color w:val="000000"/>
                <w:kern w:val="0"/>
                <w:sz w:val="16"/>
                <w:szCs w:val="16"/>
                <w:highlight w:val="yellow"/>
                <w:lang w:eastAsia="sl-SI"/>
                <w14:ligatures w14:val="none"/>
              </w:rPr>
              <w:t>Ukrepi za učinkovito upravljanje in varovanje vodnih virov</w:t>
            </w:r>
          </w:p>
        </w:tc>
        <w:tc>
          <w:tcPr>
            <w:tcW w:w="4115" w:type="dxa"/>
            <w:tcMar>
              <w:top w:w="60" w:type="dxa"/>
              <w:left w:w="70" w:type="dxa"/>
              <w:bottom w:w="60" w:type="dxa"/>
              <w:right w:w="70" w:type="dxa"/>
            </w:tcMar>
            <w:vAlign w:val="center"/>
          </w:tcPr>
          <w:p w14:paraId="1282F927" w14:textId="499746C6" w:rsidR="00D92E7D" w:rsidRPr="00915281" w:rsidRDefault="00D92E7D" w:rsidP="00D92E7D">
            <w:pPr>
              <w:spacing w:after="0" w:line="240" w:lineRule="auto"/>
              <w:rPr>
                <w:rFonts w:ascii="Arial" w:eastAsia="Arial" w:hAnsi="Arial" w:cs="Arial"/>
                <w:sz w:val="16"/>
                <w:szCs w:val="16"/>
                <w:highlight w:val="yellow"/>
              </w:rPr>
            </w:pPr>
            <w:r w:rsidRPr="00915281">
              <w:rPr>
                <w:rFonts w:eastAsia="Times New Roman" w:cs="Arial"/>
                <w:color w:val="000000"/>
                <w:kern w:val="0"/>
                <w:sz w:val="16"/>
                <w:szCs w:val="16"/>
                <w:highlight w:val="yellow"/>
                <w:lang w:eastAsia="sl-SI"/>
                <w14:ligatures w14:val="none"/>
              </w:rPr>
              <w:t xml:space="preserve">Projektni sklop zajema aktivnosti ki vključujejo zlasti posodobitev in nadgradnjo magistralnega vodovoda </w:t>
            </w:r>
            <w:proofErr w:type="spellStart"/>
            <w:r w:rsidRPr="00915281">
              <w:rPr>
                <w:rFonts w:eastAsia="Times New Roman" w:cs="Arial"/>
                <w:color w:val="000000"/>
                <w:kern w:val="0"/>
                <w:sz w:val="16"/>
                <w:szCs w:val="16"/>
                <w:highlight w:val="yellow"/>
                <w:lang w:eastAsia="sl-SI"/>
                <w14:ligatures w14:val="none"/>
              </w:rPr>
              <w:t>Mrzlek</w:t>
            </w:r>
            <w:proofErr w:type="spellEnd"/>
            <w:r w:rsidRPr="00915281">
              <w:rPr>
                <w:rFonts w:eastAsia="Times New Roman" w:cs="Arial"/>
                <w:color w:val="000000"/>
                <w:kern w:val="0"/>
                <w:sz w:val="16"/>
                <w:szCs w:val="16"/>
                <w:highlight w:val="yellow"/>
                <w:lang w:eastAsia="sl-SI"/>
                <w14:ligatures w14:val="none"/>
              </w:rPr>
              <w:t xml:space="preserve"> ter druge ukrepe za učinkovito upravljanje in varovanje vodnih virov.</w:t>
            </w:r>
          </w:p>
        </w:tc>
        <w:tc>
          <w:tcPr>
            <w:tcW w:w="2497" w:type="dxa"/>
            <w:tcMar>
              <w:top w:w="60" w:type="dxa"/>
              <w:left w:w="70" w:type="dxa"/>
              <w:bottom w:w="60" w:type="dxa"/>
              <w:right w:w="70" w:type="dxa"/>
            </w:tcMar>
            <w:vAlign w:val="center"/>
          </w:tcPr>
          <w:p w14:paraId="7C721FD8" w14:textId="77777777" w:rsidR="00D92E7D" w:rsidRPr="00915281" w:rsidRDefault="00D92E7D" w:rsidP="00D92E7D">
            <w:pPr>
              <w:spacing w:after="0" w:line="240" w:lineRule="auto"/>
              <w:rPr>
                <w:rFonts w:eastAsia="Times New Roman" w:cs="Arial"/>
                <w:b/>
                <w:bCs/>
                <w:color w:val="000000"/>
                <w:kern w:val="0"/>
                <w:sz w:val="16"/>
                <w:szCs w:val="16"/>
                <w:highlight w:val="yellow"/>
                <w:lang w:eastAsia="sl-SI"/>
                <w14:ligatures w14:val="none"/>
              </w:rPr>
            </w:pPr>
            <w:r w:rsidRPr="00915281">
              <w:rPr>
                <w:rFonts w:eastAsia="Times New Roman" w:cs="Arial"/>
                <w:b/>
                <w:bCs/>
                <w:color w:val="000000"/>
                <w:kern w:val="0"/>
                <w:sz w:val="16"/>
                <w:szCs w:val="16"/>
                <w:highlight w:val="yellow"/>
                <w:lang w:eastAsia="sl-SI"/>
                <w14:ligatures w14:val="none"/>
              </w:rPr>
              <w:t xml:space="preserve">Neposredno podpira: </w:t>
            </w:r>
            <w:r w:rsidRPr="00915281">
              <w:rPr>
                <w:rFonts w:eastAsia="Times New Roman" w:cs="Arial"/>
                <w:color w:val="000000"/>
                <w:kern w:val="0"/>
                <w:sz w:val="16"/>
                <w:szCs w:val="16"/>
                <w:highlight w:val="yellow"/>
                <w:lang w:eastAsia="sl-SI"/>
                <w14:ligatures w14:val="none"/>
              </w:rPr>
              <w:t>C1</w:t>
            </w:r>
          </w:p>
          <w:p w14:paraId="5E277587" w14:textId="413C97DB" w:rsidR="00D92E7D" w:rsidRPr="00915281" w:rsidRDefault="00D92E7D" w:rsidP="00D92E7D">
            <w:pPr>
              <w:spacing w:after="0" w:line="240" w:lineRule="auto"/>
              <w:rPr>
                <w:rFonts w:ascii="Arial" w:eastAsia="Arial" w:hAnsi="Arial" w:cs="Arial"/>
                <w:sz w:val="16"/>
                <w:szCs w:val="16"/>
                <w:highlight w:val="yellow"/>
              </w:rPr>
            </w:pPr>
            <w:r w:rsidRPr="00915281">
              <w:rPr>
                <w:rFonts w:eastAsia="Times New Roman" w:cs="Arial"/>
                <w:b/>
                <w:bCs/>
                <w:color w:val="000000"/>
                <w:kern w:val="0"/>
                <w:sz w:val="16"/>
                <w:szCs w:val="16"/>
                <w:highlight w:val="yellow"/>
                <w:lang w:eastAsia="sl-SI"/>
                <w14:ligatures w14:val="none"/>
              </w:rPr>
              <w:t xml:space="preserve">Prispeva tudi k: </w:t>
            </w:r>
            <w:r w:rsidRPr="00915281">
              <w:rPr>
                <w:rFonts w:eastAsia="Times New Roman" w:cs="Arial"/>
                <w:color w:val="000000"/>
                <w:kern w:val="0"/>
                <w:sz w:val="16"/>
                <w:szCs w:val="16"/>
                <w:highlight w:val="yellow"/>
                <w:lang w:eastAsia="sl-SI"/>
                <w14:ligatures w14:val="none"/>
              </w:rPr>
              <w:t>D1, E2</w:t>
            </w:r>
          </w:p>
        </w:tc>
        <w:tc>
          <w:tcPr>
            <w:tcW w:w="1268" w:type="dxa"/>
            <w:tcMar>
              <w:top w:w="60" w:type="dxa"/>
              <w:left w:w="70" w:type="dxa"/>
              <w:bottom w:w="60" w:type="dxa"/>
              <w:right w:w="70" w:type="dxa"/>
            </w:tcMar>
            <w:vAlign w:val="center"/>
          </w:tcPr>
          <w:p w14:paraId="71E30553" w14:textId="5F17493E" w:rsidR="00D92E7D" w:rsidRDefault="00D92E7D" w:rsidP="00D92E7D">
            <w:pPr>
              <w:spacing w:after="0" w:line="240" w:lineRule="auto"/>
              <w:rPr>
                <w:rFonts w:ascii="Arial" w:eastAsia="Arial" w:hAnsi="Arial" w:cs="Arial"/>
                <w:sz w:val="16"/>
                <w:szCs w:val="16"/>
              </w:rPr>
            </w:pPr>
            <w:r w:rsidRPr="00915281">
              <w:rPr>
                <w:rFonts w:eastAsia="Times New Roman" w:cs="Arial"/>
                <w:color w:val="000000"/>
                <w:kern w:val="0"/>
                <w:sz w:val="16"/>
                <w:szCs w:val="16"/>
                <w:highlight w:val="yellow"/>
                <w:lang w:eastAsia="sl-SI"/>
                <w14:ligatures w14:val="none"/>
              </w:rPr>
              <w:t>K</w:t>
            </w:r>
          </w:p>
        </w:tc>
      </w:tr>
      <w:tr w:rsidR="00D92E7D" w14:paraId="336149E6" w14:textId="77777777" w:rsidTr="00A52F00">
        <w:trPr>
          <w:trHeight w:val="300"/>
        </w:trPr>
        <w:tc>
          <w:tcPr>
            <w:tcW w:w="2378" w:type="dxa"/>
            <w:tcMar>
              <w:top w:w="60" w:type="dxa"/>
              <w:left w:w="70" w:type="dxa"/>
              <w:bottom w:w="60" w:type="dxa"/>
              <w:right w:w="70" w:type="dxa"/>
            </w:tcMar>
            <w:vAlign w:val="center"/>
          </w:tcPr>
          <w:p w14:paraId="573452EE" w14:textId="0F124AC9"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lastRenderedPageBreak/>
              <w:t>Nadgradnja sistema daljinskega ogrevanja Nove Gorice</w:t>
            </w:r>
          </w:p>
        </w:tc>
        <w:tc>
          <w:tcPr>
            <w:tcW w:w="4115" w:type="dxa"/>
            <w:tcMar>
              <w:top w:w="60" w:type="dxa"/>
              <w:left w:w="70" w:type="dxa"/>
              <w:bottom w:w="60" w:type="dxa"/>
              <w:right w:w="70" w:type="dxa"/>
            </w:tcMar>
            <w:vAlign w:val="center"/>
          </w:tcPr>
          <w:p w14:paraId="051B9B04" w14:textId="60D83DCF"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Posodobitev kotlovnice in omrežja daljinskega ogrevanja, večja uporaba lokalnih obnovljivih virov, zmanjševanje emisij ter preveritev možnosti čezmejne širitve sistema.</w:t>
            </w:r>
          </w:p>
        </w:tc>
        <w:tc>
          <w:tcPr>
            <w:tcW w:w="2497" w:type="dxa"/>
            <w:tcMar>
              <w:top w:w="60" w:type="dxa"/>
              <w:left w:w="70" w:type="dxa"/>
              <w:bottom w:w="60" w:type="dxa"/>
              <w:right w:w="70" w:type="dxa"/>
            </w:tcMar>
            <w:vAlign w:val="center"/>
          </w:tcPr>
          <w:p w14:paraId="5C8BED43" w14:textId="2ED7FA15"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C1</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E1</w:t>
            </w:r>
          </w:p>
        </w:tc>
        <w:tc>
          <w:tcPr>
            <w:tcW w:w="1268" w:type="dxa"/>
            <w:tcMar>
              <w:top w:w="60" w:type="dxa"/>
              <w:left w:w="70" w:type="dxa"/>
              <w:bottom w:w="60" w:type="dxa"/>
              <w:right w:w="70" w:type="dxa"/>
            </w:tcMar>
            <w:vAlign w:val="center"/>
          </w:tcPr>
          <w:p w14:paraId="0A860154" w14:textId="0ED15295"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S</w:t>
            </w:r>
          </w:p>
        </w:tc>
      </w:tr>
      <w:tr w:rsidR="00D92E7D" w14:paraId="47D62A41" w14:textId="77777777" w:rsidTr="00A52F00">
        <w:trPr>
          <w:trHeight w:val="300"/>
        </w:trPr>
        <w:tc>
          <w:tcPr>
            <w:tcW w:w="2378" w:type="dxa"/>
            <w:tcMar>
              <w:top w:w="60" w:type="dxa"/>
              <w:left w:w="70" w:type="dxa"/>
              <w:bottom w:w="60" w:type="dxa"/>
              <w:right w:w="70" w:type="dxa"/>
            </w:tcMar>
            <w:vAlign w:val="center"/>
          </w:tcPr>
          <w:p w14:paraId="68F60722" w14:textId="04D92CD4"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Aktivacija stavbnih zemljišč za večstanovanjsko gradnjo</w:t>
            </w:r>
          </w:p>
        </w:tc>
        <w:tc>
          <w:tcPr>
            <w:tcW w:w="4115" w:type="dxa"/>
            <w:tcMar>
              <w:top w:w="60" w:type="dxa"/>
              <w:left w:w="70" w:type="dxa"/>
              <w:bottom w:w="60" w:type="dxa"/>
              <w:right w:w="70" w:type="dxa"/>
            </w:tcMar>
            <w:vAlign w:val="center"/>
          </w:tcPr>
          <w:p w14:paraId="496CBE0E" w14:textId="0B75DEB1"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Prostorska in komunalna priprava območja za prihodnje stanovanjske ali druge mestne vsebine. Prednostna namembnost se določi na podlagi strokovnih podlag.</w:t>
            </w:r>
          </w:p>
        </w:tc>
        <w:tc>
          <w:tcPr>
            <w:tcW w:w="2497" w:type="dxa"/>
            <w:tcMar>
              <w:top w:w="60" w:type="dxa"/>
              <w:left w:w="70" w:type="dxa"/>
              <w:bottom w:w="60" w:type="dxa"/>
              <w:right w:w="70" w:type="dxa"/>
            </w:tcMar>
            <w:vAlign w:val="center"/>
          </w:tcPr>
          <w:p w14:paraId="137141D7" w14:textId="715766B4"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C1</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B1</w:t>
            </w:r>
          </w:p>
        </w:tc>
        <w:tc>
          <w:tcPr>
            <w:tcW w:w="1268" w:type="dxa"/>
            <w:tcMar>
              <w:top w:w="60" w:type="dxa"/>
              <w:left w:w="70" w:type="dxa"/>
              <w:bottom w:w="60" w:type="dxa"/>
              <w:right w:w="70" w:type="dxa"/>
            </w:tcMar>
            <w:vAlign w:val="center"/>
          </w:tcPr>
          <w:p w14:paraId="1E2ED22A" w14:textId="043EB2F9"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S</w:t>
            </w:r>
          </w:p>
        </w:tc>
      </w:tr>
      <w:tr w:rsidR="00D92E7D" w14:paraId="03605557" w14:textId="77777777" w:rsidTr="00A52F00">
        <w:trPr>
          <w:trHeight w:val="300"/>
        </w:trPr>
        <w:tc>
          <w:tcPr>
            <w:tcW w:w="2378" w:type="dxa"/>
            <w:tcMar>
              <w:top w:w="60" w:type="dxa"/>
              <w:left w:w="70" w:type="dxa"/>
              <w:bottom w:w="60" w:type="dxa"/>
              <w:right w:w="70" w:type="dxa"/>
            </w:tcMar>
            <w:vAlign w:val="center"/>
          </w:tcPr>
          <w:p w14:paraId="16D9F753" w14:textId="535233F0"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Revitalizacija severnega železniškega območja v Novi Gorici</w:t>
            </w:r>
          </w:p>
        </w:tc>
        <w:tc>
          <w:tcPr>
            <w:tcW w:w="4115" w:type="dxa"/>
            <w:tcMar>
              <w:top w:w="60" w:type="dxa"/>
              <w:left w:w="70" w:type="dxa"/>
              <w:bottom w:w="60" w:type="dxa"/>
              <w:right w:w="70" w:type="dxa"/>
            </w:tcMar>
            <w:vAlign w:val="center"/>
          </w:tcPr>
          <w:p w14:paraId="4ACB0957" w14:textId="64B002D0"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 xml:space="preserve">Prestrukturiranje degradiranega območja za nove izobraževalne, gospodarske, javne in druge </w:t>
            </w:r>
            <w:proofErr w:type="spellStart"/>
            <w:r w:rsidRPr="002A64A0">
              <w:rPr>
                <w:rFonts w:eastAsia="Times New Roman" w:cs="Arial"/>
                <w:color w:val="000000"/>
                <w:kern w:val="0"/>
                <w:sz w:val="16"/>
                <w:szCs w:val="16"/>
                <w:lang w:eastAsia="sl-SI"/>
                <w14:ligatures w14:val="none"/>
              </w:rPr>
              <w:t>mestotvorne</w:t>
            </w:r>
            <w:proofErr w:type="spellEnd"/>
            <w:r w:rsidRPr="002A64A0">
              <w:rPr>
                <w:rFonts w:eastAsia="Times New Roman" w:cs="Arial"/>
                <w:color w:val="000000"/>
                <w:kern w:val="0"/>
                <w:sz w:val="16"/>
                <w:szCs w:val="16"/>
                <w:lang w:eastAsia="sl-SI"/>
                <w14:ligatures w14:val="none"/>
              </w:rPr>
              <w:t xml:space="preserve"> vsebine ter boljše povezave prek železniškega prostora.</w:t>
            </w:r>
          </w:p>
        </w:tc>
        <w:tc>
          <w:tcPr>
            <w:tcW w:w="2497" w:type="dxa"/>
            <w:tcMar>
              <w:top w:w="60" w:type="dxa"/>
              <w:left w:w="70" w:type="dxa"/>
              <w:bottom w:w="60" w:type="dxa"/>
              <w:right w:w="70" w:type="dxa"/>
            </w:tcMar>
            <w:vAlign w:val="center"/>
          </w:tcPr>
          <w:p w14:paraId="17B4670B" w14:textId="058B6A28"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C1</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A1, A2, C2</w:t>
            </w:r>
          </w:p>
        </w:tc>
        <w:tc>
          <w:tcPr>
            <w:tcW w:w="1268" w:type="dxa"/>
            <w:tcMar>
              <w:top w:w="60" w:type="dxa"/>
              <w:left w:w="70" w:type="dxa"/>
              <w:bottom w:w="60" w:type="dxa"/>
              <w:right w:w="70" w:type="dxa"/>
            </w:tcMar>
            <w:vAlign w:val="center"/>
          </w:tcPr>
          <w:p w14:paraId="79102262" w14:textId="1432CB74"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S</w:t>
            </w:r>
          </w:p>
        </w:tc>
      </w:tr>
      <w:tr w:rsidR="00D92E7D" w14:paraId="1B00D8D1" w14:textId="77777777" w:rsidTr="00A52F00">
        <w:trPr>
          <w:trHeight w:val="300"/>
        </w:trPr>
        <w:tc>
          <w:tcPr>
            <w:tcW w:w="2378" w:type="dxa"/>
            <w:tcMar>
              <w:top w:w="60" w:type="dxa"/>
              <w:left w:w="70" w:type="dxa"/>
              <w:bottom w:w="60" w:type="dxa"/>
              <w:right w:w="70" w:type="dxa"/>
            </w:tcMar>
            <w:vAlign w:val="center"/>
          </w:tcPr>
          <w:p w14:paraId="5A6C633F" w14:textId="3FDBE172" w:rsidR="00D92E7D" w:rsidRDefault="00D92E7D" w:rsidP="00D92E7D">
            <w:pPr>
              <w:spacing w:after="0" w:line="240" w:lineRule="auto"/>
            </w:pPr>
            <w:r w:rsidRPr="002A64A0">
              <w:rPr>
                <w:rFonts w:eastAsia="Times New Roman" w:cs="Arial"/>
                <w:color w:val="000000"/>
                <w:kern w:val="0"/>
                <w:sz w:val="16"/>
                <w:szCs w:val="16"/>
                <w:lang w:eastAsia="sl-SI"/>
                <w14:ligatures w14:val="none"/>
              </w:rPr>
              <w:t>Program energetske trajnosti in lokalnih obnovljivih virov</w:t>
            </w:r>
          </w:p>
        </w:tc>
        <w:tc>
          <w:tcPr>
            <w:tcW w:w="4115" w:type="dxa"/>
            <w:tcMar>
              <w:top w:w="60" w:type="dxa"/>
              <w:left w:w="70" w:type="dxa"/>
              <w:bottom w:w="60" w:type="dxa"/>
              <w:right w:w="70" w:type="dxa"/>
            </w:tcMar>
            <w:vAlign w:val="center"/>
          </w:tcPr>
          <w:p w14:paraId="3CB9BD5D" w14:textId="3E8D0726"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Razvoj energetskih skupnosti, lokalne proizvodnje in shranjevanja energije ter potrebne infrastrukture za večjo energetsko odpornost prostora.</w:t>
            </w:r>
          </w:p>
        </w:tc>
        <w:tc>
          <w:tcPr>
            <w:tcW w:w="2497" w:type="dxa"/>
            <w:tcMar>
              <w:top w:w="60" w:type="dxa"/>
              <w:left w:w="70" w:type="dxa"/>
              <w:bottom w:w="60" w:type="dxa"/>
              <w:right w:w="70" w:type="dxa"/>
            </w:tcMar>
            <w:vAlign w:val="center"/>
          </w:tcPr>
          <w:p w14:paraId="57BBC1CA" w14:textId="22DA271A"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C1</w:t>
            </w:r>
            <w:r w:rsidRPr="002A64A0">
              <w:rPr>
                <w:rFonts w:eastAsia="Times New Roman" w:cs="Arial"/>
                <w:b/>
                <w:bCs/>
                <w:color w:val="000000"/>
                <w:kern w:val="0"/>
                <w:sz w:val="16"/>
                <w:szCs w:val="16"/>
                <w:lang w:eastAsia="sl-SI"/>
                <w14:ligatures w14:val="none"/>
              </w:rPr>
              <w:t xml:space="preserve"> </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A2</w:t>
            </w:r>
          </w:p>
        </w:tc>
        <w:tc>
          <w:tcPr>
            <w:tcW w:w="1268" w:type="dxa"/>
            <w:tcMar>
              <w:top w:w="60" w:type="dxa"/>
              <w:left w:w="70" w:type="dxa"/>
              <w:bottom w:w="60" w:type="dxa"/>
              <w:right w:w="70" w:type="dxa"/>
            </w:tcMar>
            <w:vAlign w:val="center"/>
          </w:tcPr>
          <w:p w14:paraId="234508CD" w14:textId="6E9E2697"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D</w:t>
            </w:r>
          </w:p>
        </w:tc>
      </w:tr>
      <w:tr w:rsidR="00D92E7D" w14:paraId="428F4D0A" w14:textId="77777777" w:rsidTr="00A52F00">
        <w:trPr>
          <w:trHeight w:val="300"/>
        </w:trPr>
        <w:tc>
          <w:tcPr>
            <w:tcW w:w="2378" w:type="dxa"/>
            <w:tcMar>
              <w:top w:w="60" w:type="dxa"/>
              <w:left w:w="70" w:type="dxa"/>
              <w:bottom w:w="60" w:type="dxa"/>
              <w:right w:w="70" w:type="dxa"/>
            </w:tcMar>
            <w:vAlign w:val="center"/>
          </w:tcPr>
          <w:p w14:paraId="71FC9041" w14:textId="349C812A"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Izgradnja vzhodne obvoznice HC-Soška dolina</w:t>
            </w:r>
          </w:p>
        </w:tc>
        <w:tc>
          <w:tcPr>
            <w:tcW w:w="4115" w:type="dxa"/>
            <w:tcMar>
              <w:top w:w="60" w:type="dxa"/>
              <w:left w:w="70" w:type="dxa"/>
              <w:bottom w:w="60" w:type="dxa"/>
              <w:right w:w="70" w:type="dxa"/>
            </w:tcMar>
            <w:vAlign w:val="center"/>
          </w:tcPr>
          <w:p w14:paraId="0BA8D0B8" w14:textId="62F75B5D"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Vzpostavitev nove cestne povezave med hitro cesto in Soško dolino za razbremenitev regijskega središča Nova Gorica v mestnem jedru, na območju Vojkove ceste, izboljšanje dostopnosti ter učinkovitejše povezovanje gospodarskih in podeželskih območij.</w:t>
            </w:r>
          </w:p>
        </w:tc>
        <w:tc>
          <w:tcPr>
            <w:tcW w:w="2497" w:type="dxa"/>
            <w:tcMar>
              <w:top w:w="60" w:type="dxa"/>
              <w:left w:w="70" w:type="dxa"/>
              <w:bottom w:w="60" w:type="dxa"/>
              <w:right w:w="70" w:type="dxa"/>
            </w:tcMar>
            <w:vAlign w:val="center"/>
          </w:tcPr>
          <w:p w14:paraId="68532B11" w14:textId="264BF617"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C1</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D1, A2</w:t>
            </w:r>
          </w:p>
        </w:tc>
        <w:tc>
          <w:tcPr>
            <w:tcW w:w="1268" w:type="dxa"/>
            <w:tcMar>
              <w:top w:w="60" w:type="dxa"/>
              <w:left w:w="70" w:type="dxa"/>
              <w:bottom w:w="60" w:type="dxa"/>
              <w:right w:w="70" w:type="dxa"/>
            </w:tcMar>
            <w:vAlign w:val="center"/>
          </w:tcPr>
          <w:p w14:paraId="781D9690" w14:textId="093FAC39"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D</w:t>
            </w:r>
          </w:p>
        </w:tc>
      </w:tr>
      <w:tr w:rsidR="00D92E7D" w14:paraId="3FE137B0" w14:textId="77777777" w:rsidTr="00A52F00">
        <w:trPr>
          <w:trHeight w:val="300"/>
        </w:trPr>
        <w:tc>
          <w:tcPr>
            <w:tcW w:w="2378" w:type="dxa"/>
            <w:tcMar>
              <w:top w:w="60" w:type="dxa"/>
              <w:left w:w="70" w:type="dxa"/>
              <w:bottom w:w="60" w:type="dxa"/>
              <w:right w:w="70" w:type="dxa"/>
            </w:tcMar>
            <w:vAlign w:val="center"/>
          </w:tcPr>
          <w:p w14:paraId="3F0F475B" w14:textId="3169B537"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EPIC – nadgradnja vsebin razstave Mesto na meji</w:t>
            </w:r>
          </w:p>
        </w:tc>
        <w:tc>
          <w:tcPr>
            <w:tcW w:w="4115" w:type="dxa"/>
            <w:tcMar>
              <w:top w:w="60" w:type="dxa"/>
              <w:left w:w="70" w:type="dxa"/>
              <w:bottom w:w="60" w:type="dxa"/>
              <w:right w:w="70" w:type="dxa"/>
            </w:tcMar>
            <w:vAlign w:val="center"/>
          </w:tcPr>
          <w:p w14:paraId="654F6634" w14:textId="7130EC61"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Razvoj razstavnih, izobraževalnih in zunanjih vsebin o zgodovini meje, sobivanju in prihodnosti čezmejnega prostora ter povezovanje z dediščino programa GO! 2025.</w:t>
            </w:r>
          </w:p>
        </w:tc>
        <w:tc>
          <w:tcPr>
            <w:tcW w:w="2497" w:type="dxa"/>
            <w:tcMar>
              <w:top w:w="60" w:type="dxa"/>
              <w:left w:w="70" w:type="dxa"/>
              <w:bottom w:w="60" w:type="dxa"/>
              <w:right w:w="70" w:type="dxa"/>
            </w:tcMar>
            <w:vAlign w:val="center"/>
          </w:tcPr>
          <w:p w14:paraId="4D210A79" w14:textId="17A1C546"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C2</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A3, E2</w:t>
            </w:r>
          </w:p>
        </w:tc>
        <w:tc>
          <w:tcPr>
            <w:tcW w:w="1268" w:type="dxa"/>
            <w:tcMar>
              <w:top w:w="60" w:type="dxa"/>
              <w:left w:w="70" w:type="dxa"/>
              <w:bottom w:w="60" w:type="dxa"/>
              <w:right w:w="70" w:type="dxa"/>
            </w:tcMar>
            <w:vAlign w:val="center"/>
          </w:tcPr>
          <w:p w14:paraId="308DCC31" w14:textId="5AC377DE"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K</w:t>
            </w:r>
          </w:p>
        </w:tc>
      </w:tr>
      <w:tr w:rsidR="00D92E7D" w14:paraId="78334380" w14:textId="77777777" w:rsidTr="00A52F00">
        <w:trPr>
          <w:trHeight w:val="300"/>
        </w:trPr>
        <w:tc>
          <w:tcPr>
            <w:tcW w:w="2378" w:type="dxa"/>
            <w:tcMar>
              <w:top w:w="60" w:type="dxa"/>
              <w:left w:w="70" w:type="dxa"/>
              <w:bottom w:w="60" w:type="dxa"/>
              <w:right w:w="70" w:type="dxa"/>
            </w:tcMar>
            <w:vAlign w:val="center"/>
          </w:tcPr>
          <w:p w14:paraId="09B380EF" w14:textId="2F0F5D6D"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Regijski športni center Ajševica</w:t>
            </w:r>
          </w:p>
        </w:tc>
        <w:tc>
          <w:tcPr>
            <w:tcW w:w="4115" w:type="dxa"/>
            <w:tcMar>
              <w:top w:w="60" w:type="dxa"/>
              <w:left w:w="70" w:type="dxa"/>
              <w:bottom w:w="60" w:type="dxa"/>
              <w:right w:w="70" w:type="dxa"/>
            </w:tcMar>
            <w:vAlign w:val="center"/>
          </w:tcPr>
          <w:p w14:paraId="6DBB3BF7" w14:textId="781CEA57"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Razvoj regijskega športnega središča z infrastrukturo za šport, trening, rekreacijo in povezovanje športnih programov.</w:t>
            </w:r>
          </w:p>
        </w:tc>
        <w:tc>
          <w:tcPr>
            <w:tcW w:w="2497" w:type="dxa"/>
            <w:tcMar>
              <w:top w:w="60" w:type="dxa"/>
              <w:left w:w="70" w:type="dxa"/>
              <w:bottom w:w="60" w:type="dxa"/>
              <w:right w:w="70" w:type="dxa"/>
            </w:tcMar>
            <w:vAlign w:val="center"/>
          </w:tcPr>
          <w:p w14:paraId="04871A53" w14:textId="0A900270"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C2</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A3, B1</w:t>
            </w:r>
          </w:p>
        </w:tc>
        <w:tc>
          <w:tcPr>
            <w:tcW w:w="1268" w:type="dxa"/>
            <w:tcMar>
              <w:top w:w="60" w:type="dxa"/>
              <w:left w:w="70" w:type="dxa"/>
              <w:bottom w:w="60" w:type="dxa"/>
              <w:right w:w="70" w:type="dxa"/>
            </w:tcMar>
            <w:vAlign w:val="center"/>
          </w:tcPr>
          <w:p w14:paraId="69ED559B" w14:textId="7071D2C8"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S</w:t>
            </w:r>
          </w:p>
        </w:tc>
      </w:tr>
      <w:tr w:rsidR="00D92E7D" w14:paraId="5032C239" w14:textId="77777777" w:rsidTr="00A52F00">
        <w:trPr>
          <w:trHeight w:val="300"/>
        </w:trPr>
        <w:tc>
          <w:tcPr>
            <w:tcW w:w="2378" w:type="dxa"/>
            <w:tcMar>
              <w:top w:w="60" w:type="dxa"/>
              <w:left w:w="70" w:type="dxa"/>
              <w:bottom w:w="60" w:type="dxa"/>
              <w:right w:w="70" w:type="dxa"/>
            </w:tcMar>
            <w:vAlign w:val="center"/>
          </w:tcPr>
          <w:p w14:paraId="540DA7DE" w14:textId="5586D732"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Nadgradnja namakalnih sistemov in upravljanje vode za kmetijstvo</w:t>
            </w:r>
          </w:p>
        </w:tc>
        <w:tc>
          <w:tcPr>
            <w:tcW w:w="4115" w:type="dxa"/>
            <w:tcMar>
              <w:top w:w="60" w:type="dxa"/>
              <w:left w:w="70" w:type="dxa"/>
              <w:bottom w:w="60" w:type="dxa"/>
              <w:right w:w="70" w:type="dxa"/>
            </w:tcMar>
            <w:vAlign w:val="center"/>
          </w:tcPr>
          <w:p w14:paraId="17853540" w14:textId="123D68FF"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Razširitev in učinkovitejše upravljanje namakalne infrastrukture za večjo odpornost kmetijstva, aktivno rabo zemljišč in krepitev lokalne samooskrbe.</w:t>
            </w:r>
          </w:p>
        </w:tc>
        <w:tc>
          <w:tcPr>
            <w:tcW w:w="2497" w:type="dxa"/>
            <w:tcMar>
              <w:top w:w="60" w:type="dxa"/>
              <w:left w:w="70" w:type="dxa"/>
              <w:bottom w:w="60" w:type="dxa"/>
              <w:right w:w="70" w:type="dxa"/>
            </w:tcMar>
            <w:vAlign w:val="center"/>
          </w:tcPr>
          <w:p w14:paraId="4C5713A9" w14:textId="4CC92302"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D1</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D2, D3</w:t>
            </w:r>
          </w:p>
        </w:tc>
        <w:tc>
          <w:tcPr>
            <w:tcW w:w="1268" w:type="dxa"/>
            <w:tcMar>
              <w:top w:w="60" w:type="dxa"/>
              <w:left w:w="70" w:type="dxa"/>
              <w:bottom w:w="60" w:type="dxa"/>
              <w:right w:w="70" w:type="dxa"/>
            </w:tcMar>
            <w:vAlign w:val="center"/>
          </w:tcPr>
          <w:p w14:paraId="42AD2310" w14:textId="46990922"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K</w:t>
            </w:r>
          </w:p>
        </w:tc>
      </w:tr>
      <w:tr w:rsidR="00D92E7D" w14:paraId="1761FF6B" w14:textId="77777777" w:rsidTr="00A52F00">
        <w:trPr>
          <w:trHeight w:val="300"/>
        </w:trPr>
        <w:tc>
          <w:tcPr>
            <w:tcW w:w="2378" w:type="dxa"/>
            <w:tcMar>
              <w:top w:w="60" w:type="dxa"/>
              <w:left w:w="70" w:type="dxa"/>
              <w:bottom w:w="60" w:type="dxa"/>
              <w:right w:w="70" w:type="dxa"/>
            </w:tcMar>
            <w:vAlign w:val="center"/>
          </w:tcPr>
          <w:p w14:paraId="7C53E847" w14:textId="3DC1E869"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Primestna železniška povezava Most na Soči–Nova Gorica–Ajdovščina</w:t>
            </w:r>
          </w:p>
        </w:tc>
        <w:tc>
          <w:tcPr>
            <w:tcW w:w="4115" w:type="dxa"/>
            <w:tcMar>
              <w:top w:w="60" w:type="dxa"/>
              <w:left w:w="70" w:type="dxa"/>
              <w:bottom w:w="60" w:type="dxa"/>
              <w:right w:w="70" w:type="dxa"/>
            </w:tcMar>
            <w:vAlign w:val="center"/>
          </w:tcPr>
          <w:p w14:paraId="78D46140" w14:textId="6E62736D"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Razvoj pogostejše in za vsakodnevne uporabnike primernejše železniške povezave, usklajene z mestnim in primestnim javnim potniškim prometom.</w:t>
            </w:r>
          </w:p>
        </w:tc>
        <w:tc>
          <w:tcPr>
            <w:tcW w:w="2497" w:type="dxa"/>
            <w:tcMar>
              <w:top w:w="60" w:type="dxa"/>
              <w:left w:w="70" w:type="dxa"/>
              <w:bottom w:w="60" w:type="dxa"/>
              <w:right w:w="70" w:type="dxa"/>
            </w:tcMar>
            <w:vAlign w:val="center"/>
          </w:tcPr>
          <w:p w14:paraId="1B98B9C2" w14:textId="74601057"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D2</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A2, C1</w:t>
            </w:r>
          </w:p>
        </w:tc>
        <w:tc>
          <w:tcPr>
            <w:tcW w:w="1268" w:type="dxa"/>
            <w:tcMar>
              <w:top w:w="60" w:type="dxa"/>
              <w:left w:w="70" w:type="dxa"/>
              <w:bottom w:w="60" w:type="dxa"/>
              <w:right w:w="70" w:type="dxa"/>
            </w:tcMar>
            <w:vAlign w:val="center"/>
          </w:tcPr>
          <w:p w14:paraId="787CC1F0" w14:textId="0B73148A"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K</w:t>
            </w:r>
          </w:p>
        </w:tc>
      </w:tr>
      <w:tr w:rsidR="00D92E7D" w14:paraId="6B919857" w14:textId="77777777" w:rsidTr="00A52F00">
        <w:trPr>
          <w:trHeight w:val="300"/>
        </w:trPr>
        <w:tc>
          <w:tcPr>
            <w:tcW w:w="2378" w:type="dxa"/>
            <w:tcMar>
              <w:top w:w="60" w:type="dxa"/>
              <w:left w:w="70" w:type="dxa"/>
              <w:bottom w:w="60" w:type="dxa"/>
              <w:right w:w="70" w:type="dxa"/>
            </w:tcMar>
            <w:vAlign w:val="center"/>
          </w:tcPr>
          <w:p w14:paraId="7F564E43" w14:textId="4ADA370F"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Program revitalizacije lokalnih središč</w:t>
            </w:r>
          </w:p>
        </w:tc>
        <w:tc>
          <w:tcPr>
            <w:tcW w:w="4115" w:type="dxa"/>
            <w:tcMar>
              <w:top w:w="60" w:type="dxa"/>
              <w:left w:w="70" w:type="dxa"/>
              <w:bottom w:w="60" w:type="dxa"/>
              <w:right w:w="70" w:type="dxa"/>
            </w:tcMar>
            <w:vAlign w:val="center"/>
          </w:tcPr>
          <w:p w14:paraId="1285AEF4" w14:textId="14FB1AEA"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Celovita prenova javnih prostorov, osnovnih storitev, prometne varnosti, javnih objektov in skupnostnih vsebin v pomembnejših lokalnih središčih.</w:t>
            </w:r>
          </w:p>
        </w:tc>
        <w:tc>
          <w:tcPr>
            <w:tcW w:w="2497" w:type="dxa"/>
            <w:tcMar>
              <w:top w:w="60" w:type="dxa"/>
              <w:left w:w="70" w:type="dxa"/>
              <w:bottom w:w="60" w:type="dxa"/>
              <w:right w:w="70" w:type="dxa"/>
            </w:tcMar>
            <w:vAlign w:val="center"/>
          </w:tcPr>
          <w:p w14:paraId="1666D5EF" w14:textId="5369AA8A"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D2</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B1</w:t>
            </w:r>
          </w:p>
        </w:tc>
        <w:tc>
          <w:tcPr>
            <w:tcW w:w="1268" w:type="dxa"/>
            <w:tcMar>
              <w:top w:w="60" w:type="dxa"/>
              <w:left w:w="70" w:type="dxa"/>
              <w:bottom w:w="60" w:type="dxa"/>
              <w:right w:w="70" w:type="dxa"/>
            </w:tcMar>
            <w:vAlign w:val="center"/>
          </w:tcPr>
          <w:p w14:paraId="71386999" w14:textId="45DD2149"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K</w:t>
            </w:r>
          </w:p>
        </w:tc>
      </w:tr>
      <w:tr w:rsidR="00D92E7D" w14:paraId="0737941E" w14:textId="77777777" w:rsidTr="00A52F00">
        <w:trPr>
          <w:trHeight w:val="300"/>
        </w:trPr>
        <w:tc>
          <w:tcPr>
            <w:tcW w:w="2378" w:type="dxa"/>
            <w:tcMar>
              <w:top w:w="60" w:type="dxa"/>
              <w:left w:w="70" w:type="dxa"/>
              <w:bottom w:w="60" w:type="dxa"/>
              <w:right w:w="70" w:type="dxa"/>
            </w:tcMar>
            <w:vAlign w:val="center"/>
          </w:tcPr>
          <w:p w14:paraId="5FD945D4" w14:textId="33A31E05"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Rekreacijski center Lokve</w:t>
            </w:r>
          </w:p>
        </w:tc>
        <w:tc>
          <w:tcPr>
            <w:tcW w:w="4115" w:type="dxa"/>
            <w:tcMar>
              <w:top w:w="60" w:type="dxa"/>
              <w:left w:w="70" w:type="dxa"/>
              <w:bottom w:w="60" w:type="dxa"/>
              <w:right w:w="70" w:type="dxa"/>
            </w:tcMar>
            <w:vAlign w:val="center"/>
          </w:tcPr>
          <w:p w14:paraId="725EE81F" w14:textId="4D390AE2"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Celovit razvoj Lokev kot celoletnega rekreacijskega in turističnega središča s športom v naravi, nastanitvami, doživetji in programi dobrega počutja.</w:t>
            </w:r>
          </w:p>
        </w:tc>
        <w:tc>
          <w:tcPr>
            <w:tcW w:w="2497" w:type="dxa"/>
            <w:tcMar>
              <w:top w:w="60" w:type="dxa"/>
              <w:left w:w="70" w:type="dxa"/>
              <w:bottom w:w="60" w:type="dxa"/>
              <w:right w:w="70" w:type="dxa"/>
            </w:tcMar>
            <w:vAlign w:val="center"/>
          </w:tcPr>
          <w:p w14:paraId="359189AB" w14:textId="2207BB7D"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D3</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A3, B1</w:t>
            </w:r>
          </w:p>
        </w:tc>
        <w:tc>
          <w:tcPr>
            <w:tcW w:w="1268" w:type="dxa"/>
            <w:tcMar>
              <w:top w:w="60" w:type="dxa"/>
              <w:left w:w="70" w:type="dxa"/>
              <w:bottom w:w="60" w:type="dxa"/>
              <w:right w:w="70" w:type="dxa"/>
            </w:tcMar>
            <w:vAlign w:val="center"/>
          </w:tcPr>
          <w:p w14:paraId="103E31F1" w14:textId="12EBF52F"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K</w:t>
            </w:r>
          </w:p>
        </w:tc>
      </w:tr>
      <w:tr w:rsidR="00D92E7D" w14:paraId="0F7176C0" w14:textId="77777777" w:rsidTr="00A52F00">
        <w:trPr>
          <w:trHeight w:val="300"/>
        </w:trPr>
        <w:tc>
          <w:tcPr>
            <w:tcW w:w="2378" w:type="dxa"/>
            <w:tcMar>
              <w:top w:w="60" w:type="dxa"/>
              <w:left w:w="70" w:type="dxa"/>
              <w:bottom w:w="60" w:type="dxa"/>
              <w:right w:w="70" w:type="dxa"/>
            </w:tcMar>
            <w:vAlign w:val="center"/>
          </w:tcPr>
          <w:p w14:paraId="5FF84C43" w14:textId="380588A6"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 xml:space="preserve">Turistični-rekreacijski razvoj območja ob </w:t>
            </w:r>
            <w:proofErr w:type="spellStart"/>
            <w:r w:rsidRPr="002A64A0">
              <w:rPr>
                <w:rFonts w:eastAsia="Times New Roman" w:cs="Arial"/>
                <w:color w:val="000000"/>
                <w:kern w:val="0"/>
                <w:sz w:val="16"/>
                <w:szCs w:val="16"/>
                <w:lang w:eastAsia="sl-SI"/>
                <w14:ligatures w14:val="none"/>
              </w:rPr>
              <w:t>Vogrščku</w:t>
            </w:r>
            <w:proofErr w:type="spellEnd"/>
          </w:p>
        </w:tc>
        <w:tc>
          <w:tcPr>
            <w:tcW w:w="4115" w:type="dxa"/>
            <w:tcMar>
              <w:top w:w="60" w:type="dxa"/>
              <w:left w:w="70" w:type="dxa"/>
              <w:bottom w:w="60" w:type="dxa"/>
              <w:right w:w="70" w:type="dxa"/>
            </w:tcMar>
            <w:vAlign w:val="center"/>
          </w:tcPr>
          <w:p w14:paraId="1997CF76" w14:textId="18A1BF6B"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 xml:space="preserve">Ureditev upravljanja ter razvoj trajnostne rekreacijske, turistične in doživljajske ponudbe ob zadrževalniku ob upoštevanju </w:t>
            </w:r>
            <w:proofErr w:type="spellStart"/>
            <w:r w:rsidRPr="002A64A0">
              <w:rPr>
                <w:rFonts w:eastAsia="Times New Roman" w:cs="Arial"/>
                <w:color w:val="000000"/>
                <w:kern w:val="0"/>
                <w:sz w:val="16"/>
                <w:szCs w:val="16"/>
                <w:lang w:eastAsia="sl-SI"/>
                <w14:ligatures w14:val="none"/>
              </w:rPr>
              <w:t>okoljskih</w:t>
            </w:r>
            <w:proofErr w:type="spellEnd"/>
            <w:r w:rsidRPr="002A64A0">
              <w:rPr>
                <w:rFonts w:eastAsia="Times New Roman" w:cs="Arial"/>
                <w:color w:val="000000"/>
                <w:kern w:val="0"/>
                <w:sz w:val="16"/>
                <w:szCs w:val="16"/>
                <w:lang w:eastAsia="sl-SI"/>
                <w14:ligatures w14:val="none"/>
              </w:rPr>
              <w:t xml:space="preserve"> in vodnogospodarskih omejitev.</w:t>
            </w:r>
          </w:p>
        </w:tc>
        <w:tc>
          <w:tcPr>
            <w:tcW w:w="2497" w:type="dxa"/>
            <w:tcMar>
              <w:top w:w="60" w:type="dxa"/>
              <w:left w:w="70" w:type="dxa"/>
              <w:bottom w:w="60" w:type="dxa"/>
              <w:right w:w="70" w:type="dxa"/>
            </w:tcMar>
            <w:vAlign w:val="center"/>
          </w:tcPr>
          <w:p w14:paraId="7D2A7CDE" w14:textId="7EAD3A60"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D3</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A3, D1</w:t>
            </w:r>
          </w:p>
        </w:tc>
        <w:tc>
          <w:tcPr>
            <w:tcW w:w="1268" w:type="dxa"/>
            <w:tcMar>
              <w:top w:w="60" w:type="dxa"/>
              <w:left w:w="70" w:type="dxa"/>
              <w:bottom w:w="60" w:type="dxa"/>
              <w:right w:w="70" w:type="dxa"/>
            </w:tcMar>
            <w:vAlign w:val="center"/>
          </w:tcPr>
          <w:p w14:paraId="256DC37A" w14:textId="22392CA8"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K</w:t>
            </w:r>
          </w:p>
        </w:tc>
      </w:tr>
      <w:tr w:rsidR="00D92E7D" w14:paraId="171103E8" w14:textId="77777777" w:rsidTr="00A52F00">
        <w:trPr>
          <w:trHeight w:val="300"/>
        </w:trPr>
        <w:tc>
          <w:tcPr>
            <w:tcW w:w="2378" w:type="dxa"/>
            <w:tcMar>
              <w:top w:w="60" w:type="dxa"/>
              <w:left w:w="70" w:type="dxa"/>
              <w:bottom w:w="60" w:type="dxa"/>
              <w:right w:w="70" w:type="dxa"/>
            </w:tcMar>
            <w:vAlign w:val="center"/>
          </w:tcPr>
          <w:p w14:paraId="2F415501" w14:textId="013A051E"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 xml:space="preserve">Grad </w:t>
            </w:r>
            <w:proofErr w:type="spellStart"/>
            <w:r w:rsidRPr="002A64A0">
              <w:rPr>
                <w:rFonts w:eastAsia="Times New Roman" w:cs="Arial"/>
                <w:color w:val="000000"/>
                <w:kern w:val="0"/>
                <w:sz w:val="16"/>
                <w:szCs w:val="16"/>
                <w:lang w:eastAsia="sl-SI"/>
                <w14:ligatures w14:val="none"/>
              </w:rPr>
              <w:t>Rihemberk</w:t>
            </w:r>
            <w:proofErr w:type="spellEnd"/>
            <w:r w:rsidRPr="002A64A0">
              <w:rPr>
                <w:rFonts w:eastAsia="Times New Roman" w:cs="Arial"/>
                <w:color w:val="000000"/>
                <w:kern w:val="0"/>
                <w:sz w:val="16"/>
                <w:szCs w:val="16"/>
                <w:lang w:eastAsia="sl-SI"/>
                <w14:ligatures w14:val="none"/>
              </w:rPr>
              <w:t xml:space="preserve"> - središče dediščine in ustvarjalnih praks</w:t>
            </w:r>
          </w:p>
        </w:tc>
        <w:tc>
          <w:tcPr>
            <w:tcW w:w="4115" w:type="dxa"/>
            <w:tcMar>
              <w:top w:w="60" w:type="dxa"/>
              <w:left w:w="70" w:type="dxa"/>
              <w:bottom w:w="60" w:type="dxa"/>
              <w:right w:w="70" w:type="dxa"/>
            </w:tcMar>
            <w:vAlign w:val="center"/>
          </w:tcPr>
          <w:p w14:paraId="74974812" w14:textId="0273092B"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Dokončanje obnove ter razvoj programov, ki povezujejo kulturno dediščino, ustvarjalnost, izobraževanje, lokalno skupnost in turizem.</w:t>
            </w:r>
          </w:p>
        </w:tc>
        <w:tc>
          <w:tcPr>
            <w:tcW w:w="2497" w:type="dxa"/>
            <w:tcMar>
              <w:top w:w="60" w:type="dxa"/>
              <w:left w:w="70" w:type="dxa"/>
              <w:bottom w:w="60" w:type="dxa"/>
              <w:right w:w="70" w:type="dxa"/>
            </w:tcMar>
            <w:vAlign w:val="center"/>
          </w:tcPr>
          <w:p w14:paraId="206F8005" w14:textId="58D4CA31"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D3</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A3, D1</w:t>
            </w:r>
          </w:p>
        </w:tc>
        <w:tc>
          <w:tcPr>
            <w:tcW w:w="1268" w:type="dxa"/>
            <w:tcMar>
              <w:top w:w="60" w:type="dxa"/>
              <w:left w:w="70" w:type="dxa"/>
              <w:bottom w:w="60" w:type="dxa"/>
              <w:right w:w="70" w:type="dxa"/>
            </w:tcMar>
            <w:vAlign w:val="center"/>
          </w:tcPr>
          <w:p w14:paraId="09D8463B" w14:textId="007B4AC5"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K</w:t>
            </w:r>
          </w:p>
        </w:tc>
      </w:tr>
      <w:tr w:rsidR="00D92E7D" w14:paraId="27DF3E77" w14:textId="77777777" w:rsidTr="00A52F00">
        <w:trPr>
          <w:trHeight w:val="300"/>
        </w:trPr>
        <w:tc>
          <w:tcPr>
            <w:tcW w:w="2378" w:type="dxa"/>
            <w:tcMar>
              <w:top w:w="60" w:type="dxa"/>
              <w:left w:w="70" w:type="dxa"/>
              <w:bottom w:w="60" w:type="dxa"/>
              <w:right w:w="70" w:type="dxa"/>
            </w:tcMar>
            <w:vAlign w:val="center"/>
          </w:tcPr>
          <w:p w14:paraId="794F08D0" w14:textId="578CE639"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Destinacija za športe v naravi</w:t>
            </w:r>
          </w:p>
        </w:tc>
        <w:tc>
          <w:tcPr>
            <w:tcW w:w="4115" w:type="dxa"/>
            <w:tcMar>
              <w:top w:w="60" w:type="dxa"/>
              <w:left w:w="70" w:type="dxa"/>
              <w:bottom w:w="60" w:type="dxa"/>
              <w:right w:w="70" w:type="dxa"/>
            </w:tcMar>
            <w:vAlign w:val="center"/>
          </w:tcPr>
          <w:p w14:paraId="03C58495" w14:textId="7F0C2586"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Ureditev upravljanja ter razvoj trajnostne rekreacijsko-športne, turistične in doživljajske ponudbe.</w:t>
            </w:r>
          </w:p>
        </w:tc>
        <w:tc>
          <w:tcPr>
            <w:tcW w:w="2497" w:type="dxa"/>
            <w:tcMar>
              <w:top w:w="60" w:type="dxa"/>
              <w:left w:w="70" w:type="dxa"/>
              <w:bottom w:w="60" w:type="dxa"/>
              <w:right w:w="70" w:type="dxa"/>
            </w:tcMar>
            <w:vAlign w:val="center"/>
          </w:tcPr>
          <w:p w14:paraId="7ED520B9" w14:textId="2FE8992A"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D3</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A3, D1</w:t>
            </w:r>
          </w:p>
        </w:tc>
        <w:tc>
          <w:tcPr>
            <w:tcW w:w="1268" w:type="dxa"/>
            <w:tcMar>
              <w:top w:w="60" w:type="dxa"/>
              <w:left w:w="70" w:type="dxa"/>
              <w:bottom w:w="60" w:type="dxa"/>
              <w:right w:w="70" w:type="dxa"/>
            </w:tcMar>
            <w:vAlign w:val="center"/>
          </w:tcPr>
          <w:p w14:paraId="4B5D6159" w14:textId="4271ECC9"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K</w:t>
            </w:r>
          </w:p>
        </w:tc>
      </w:tr>
      <w:tr w:rsidR="00D92E7D" w14:paraId="520739D7" w14:textId="77777777" w:rsidTr="00A52F00">
        <w:trPr>
          <w:trHeight w:val="300"/>
        </w:trPr>
        <w:tc>
          <w:tcPr>
            <w:tcW w:w="2378" w:type="dxa"/>
            <w:tcMar>
              <w:top w:w="60" w:type="dxa"/>
              <w:left w:w="70" w:type="dxa"/>
              <w:bottom w:w="60" w:type="dxa"/>
              <w:right w:w="70" w:type="dxa"/>
            </w:tcMar>
            <w:vAlign w:val="center"/>
          </w:tcPr>
          <w:p w14:paraId="0FE78D8B" w14:textId="34B59431" w:rsidR="00D92E7D" w:rsidRPr="003E7274" w:rsidRDefault="00D92E7D" w:rsidP="00D92E7D">
            <w:pPr>
              <w:spacing w:after="0" w:line="240" w:lineRule="auto"/>
              <w:rPr>
                <w:rFonts w:ascii="Arial" w:eastAsia="Arial" w:hAnsi="Arial" w:cs="Arial"/>
                <w:sz w:val="16"/>
                <w:szCs w:val="16"/>
                <w:highlight w:val="yellow"/>
              </w:rPr>
            </w:pPr>
            <w:r w:rsidRPr="002A64A0">
              <w:rPr>
                <w:rFonts w:eastAsia="Times New Roman" w:cs="Arial"/>
                <w:color w:val="000000"/>
                <w:kern w:val="0"/>
                <w:sz w:val="16"/>
                <w:szCs w:val="16"/>
                <w:lang w:eastAsia="sl-SI"/>
                <w14:ligatures w14:val="none"/>
              </w:rPr>
              <w:t>Čezmejni zeleni sistem</w:t>
            </w:r>
          </w:p>
        </w:tc>
        <w:tc>
          <w:tcPr>
            <w:tcW w:w="4115" w:type="dxa"/>
            <w:tcMar>
              <w:top w:w="60" w:type="dxa"/>
              <w:left w:w="70" w:type="dxa"/>
              <w:bottom w:w="60" w:type="dxa"/>
              <w:right w:w="70" w:type="dxa"/>
            </w:tcMar>
            <w:vAlign w:val="center"/>
          </w:tcPr>
          <w:p w14:paraId="412DC2C5" w14:textId="4A85A98E" w:rsidR="00D92E7D" w:rsidRPr="003E7274" w:rsidRDefault="00D92E7D" w:rsidP="00D92E7D">
            <w:pPr>
              <w:spacing w:after="0" w:line="240" w:lineRule="auto"/>
              <w:rPr>
                <w:rFonts w:ascii="Arial" w:eastAsia="Arial" w:hAnsi="Arial" w:cs="Arial"/>
                <w:sz w:val="16"/>
                <w:szCs w:val="16"/>
                <w:highlight w:val="yellow"/>
              </w:rPr>
            </w:pPr>
            <w:r w:rsidRPr="002A64A0">
              <w:rPr>
                <w:rFonts w:eastAsia="Times New Roman" w:cs="Arial"/>
                <w:color w:val="000000"/>
                <w:kern w:val="0"/>
                <w:sz w:val="16"/>
                <w:szCs w:val="16"/>
                <w:lang w:eastAsia="sl-SI"/>
                <w14:ligatures w14:val="none"/>
              </w:rPr>
              <w:t>Vzpostavitev povezane mreže zelenih površin, poti in naravnih območij med Novo Gorico, Gorico in Šempetrom za rekreacijo, varovanje narave, podnebno odpornost in kakovost javnega prostora.</w:t>
            </w:r>
          </w:p>
        </w:tc>
        <w:tc>
          <w:tcPr>
            <w:tcW w:w="2497" w:type="dxa"/>
            <w:tcMar>
              <w:top w:w="60" w:type="dxa"/>
              <w:left w:w="70" w:type="dxa"/>
              <w:bottom w:w="60" w:type="dxa"/>
              <w:right w:w="70" w:type="dxa"/>
            </w:tcMar>
            <w:vAlign w:val="center"/>
          </w:tcPr>
          <w:p w14:paraId="7799D2C0" w14:textId="50EEA073" w:rsidR="00D92E7D" w:rsidRPr="003E7274" w:rsidRDefault="00D92E7D" w:rsidP="00D92E7D">
            <w:pPr>
              <w:spacing w:after="0" w:line="240" w:lineRule="auto"/>
              <w:rPr>
                <w:rFonts w:ascii="Arial" w:eastAsia="Arial" w:hAnsi="Arial" w:cs="Arial"/>
                <w:b/>
                <w:bCs/>
                <w:sz w:val="16"/>
                <w:szCs w:val="16"/>
                <w:highlight w:val="yellow"/>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E1</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C1, C2, E2</w:t>
            </w:r>
          </w:p>
        </w:tc>
        <w:tc>
          <w:tcPr>
            <w:tcW w:w="1268" w:type="dxa"/>
            <w:tcMar>
              <w:top w:w="60" w:type="dxa"/>
              <w:left w:w="70" w:type="dxa"/>
              <w:bottom w:w="60" w:type="dxa"/>
              <w:right w:w="70" w:type="dxa"/>
            </w:tcMar>
            <w:vAlign w:val="center"/>
          </w:tcPr>
          <w:p w14:paraId="63370D54" w14:textId="01E87461" w:rsidR="00D92E7D" w:rsidRPr="003E7274" w:rsidRDefault="00D92E7D" w:rsidP="00D92E7D">
            <w:pPr>
              <w:spacing w:after="0" w:line="240" w:lineRule="auto"/>
              <w:rPr>
                <w:rFonts w:ascii="Arial" w:eastAsia="Arial" w:hAnsi="Arial" w:cs="Arial"/>
                <w:sz w:val="16"/>
                <w:szCs w:val="16"/>
                <w:highlight w:val="yellow"/>
              </w:rPr>
            </w:pPr>
            <w:r w:rsidRPr="002A64A0">
              <w:rPr>
                <w:rFonts w:eastAsia="Times New Roman" w:cs="Arial"/>
                <w:color w:val="000000"/>
                <w:kern w:val="0"/>
                <w:sz w:val="16"/>
                <w:szCs w:val="16"/>
                <w:lang w:eastAsia="sl-SI"/>
                <w14:ligatures w14:val="none"/>
              </w:rPr>
              <w:t>K</w:t>
            </w:r>
          </w:p>
        </w:tc>
      </w:tr>
      <w:tr w:rsidR="00D92E7D" w:rsidRPr="00AF3D53" w14:paraId="05C4DB98" w14:textId="77777777" w:rsidTr="00A52F00">
        <w:trPr>
          <w:trHeight w:val="300"/>
        </w:trPr>
        <w:tc>
          <w:tcPr>
            <w:tcW w:w="2378" w:type="dxa"/>
            <w:tcMar>
              <w:top w:w="60" w:type="dxa"/>
              <w:left w:w="70" w:type="dxa"/>
              <w:bottom w:w="60" w:type="dxa"/>
              <w:right w:w="70" w:type="dxa"/>
            </w:tcMar>
            <w:vAlign w:val="center"/>
          </w:tcPr>
          <w:p w14:paraId="2E078614" w14:textId="274767BA" w:rsidR="00D92E7D" w:rsidRPr="003E7274" w:rsidRDefault="00D92E7D" w:rsidP="00D92E7D">
            <w:pPr>
              <w:spacing w:after="0" w:line="240" w:lineRule="auto"/>
              <w:rPr>
                <w:rFonts w:ascii="Arial" w:eastAsia="Arial" w:hAnsi="Arial" w:cs="Arial"/>
                <w:sz w:val="16"/>
                <w:szCs w:val="16"/>
                <w:highlight w:val="yellow"/>
              </w:rPr>
            </w:pPr>
            <w:r w:rsidRPr="002A64A0">
              <w:rPr>
                <w:rFonts w:eastAsia="Times New Roman" w:cs="Arial"/>
                <w:color w:val="000000"/>
                <w:kern w:val="0"/>
                <w:sz w:val="16"/>
                <w:szCs w:val="16"/>
                <w:lang w:eastAsia="sl-SI"/>
                <w14:ligatures w14:val="none"/>
              </w:rPr>
              <w:t>Program odpravljanja čezmejnih administrativnih ovir</w:t>
            </w:r>
          </w:p>
        </w:tc>
        <w:tc>
          <w:tcPr>
            <w:tcW w:w="4115" w:type="dxa"/>
            <w:tcMar>
              <w:top w:w="60" w:type="dxa"/>
              <w:left w:w="70" w:type="dxa"/>
              <w:bottom w:w="60" w:type="dxa"/>
              <w:right w:w="70" w:type="dxa"/>
            </w:tcMar>
            <w:vAlign w:val="center"/>
          </w:tcPr>
          <w:p w14:paraId="71AF7113" w14:textId="68CF6077" w:rsidR="00D92E7D" w:rsidRPr="003E7274" w:rsidRDefault="00D92E7D" w:rsidP="00D92E7D">
            <w:pPr>
              <w:spacing w:after="0" w:line="240" w:lineRule="auto"/>
              <w:rPr>
                <w:rFonts w:ascii="Arial" w:eastAsia="Arial" w:hAnsi="Arial" w:cs="Arial"/>
                <w:sz w:val="16"/>
                <w:szCs w:val="16"/>
                <w:highlight w:val="yellow"/>
              </w:rPr>
            </w:pPr>
            <w:r w:rsidRPr="002A64A0">
              <w:rPr>
                <w:rFonts w:eastAsia="Times New Roman" w:cs="Arial"/>
                <w:color w:val="000000"/>
                <w:kern w:val="0"/>
                <w:sz w:val="16"/>
                <w:szCs w:val="16"/>
                <w:lang w:eastAsia="sl-SI"/>
                <w14:ligatures w14:val="none"/>
              </w:rPr>
              <w:t>Sistematično prepoznavanje in reševanje ovir pri delu, študiju, podjetništvu, zdravstvu, mobilnosti in uporabi javnih storitev na obeh straneh meje.</w:t>
            </w:r>
          </w:p>
        </w:tc>
        <w:tc>
          <w:tcPr>
            <w:tcW w:w="2497" w:type="dxa"/>
            <w:tcMar>
              <w:top w:w="60" w:type="dxa"/>
              <w:left w:w="70" w:type="dxa"/>
              <w:bottom w:w="60" w:type="dxa"/>
              <w:right w:w="70" w:type="dxa"/>
            </w:tcMar>
            <w:vAlign w:val="center"/>
          </w:tcPr>
          <w:p w14:paraId="7291CE80" w14:textId="0A769978" w:rsidR="00D92E7D" w:rsidRPr="003E7274" w:rsidRDefault="00D92E7D" w:rsidP="00D92E7D">
            <w:pPr>
              <w:spacing w:after="0" w:line="240" w:lineRule="auto"/>
              <w:rPr>
                <w:rFonts w:ascii="Arial" w:eastAsia="Arial" w:hAnsi="Arial" w:cs="Arial"/>
                <w:b/>
                <w:bCs/>
                <w:sz w:val="16"/>
                <w:szCs w:val="16"/>
                <w:highlight w:val="yellow"/>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E1</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A2, B1, E2</w:t>
            </w:r>
          </w:p>
        </w:tc>
        <w:tc>
          <w:tcPr>
            <w:tcW w:w="1268" w:type="dxa"/>
            <w:tcMar>
              <w:top w:w="60" w:type="dxa"/>
              <w:left w:w="70" w:type="dxa"/>
              <w:bottom w:w="60" w:type="dxa"/>
              <w:right w:w="70" w:type="dxa"/>
            </w:tcMar>
            <w:vAlign w:val="center"/>
          </w:tcPr>
          <w:p w14:paraId="5EABF437" w14:textId="71E02596" w:rsidR="00D92E7D" w:rsidRPr="003E7274" w:rsidRDefault="00D92E7D" w:rsidP="00D92E7D">
            <w:pPr>
              <w:spacing w:after="0" w:line="240" w:lineRule="auto"/>
              <w:rPr>
                <w:rFonts w:ascii="Arial" w:eastAsia="Arial" w:hAnsi="Arial" w:cs="Arial"/>
                <w:sz w:val="16"/>
                <w:szCs w:val="16"/>
                <w:highlight w:val="yellow"/>
              </w:rPr>
            </w:pPr>
            <w:r w:rsidRPr="002A64A0">
              <w:rPr>
                <w:rFonts w:eastAsia="Times New Roman" w:cs="Arial"/>
                <w:color w:val="000000"/>
                <w:kern w:val="0"/>
                <w:sz w:val="16"/>
                <w:szCs w:val="16"/>
                <w:lang w:eastAsia="sl-SI"/>
                <w14:ligatures w14:val="none"/>
              </w:rPr>
              <w:t>K-S</w:t>
            </w:r>
          </w:p>
        </w:tc>
      </w:tr>
      <w:tr w:rsidR="00D92E7D" w14:paraId="2D2B106E" w14:textId="77777777" w:rsidTr="00A52F00">
        <w:trPr>
          <w:trHeight w:val="300"/>
        </w:trPr>
        <w:tc>
          <w:tcPr>
            <w:tcW w:w="2378" w:type="dxa"/>
            <w:tcMar>
              <w:top w:w="60" w:type="dxa"/>
              <w:left w:w="70" w:type="dxa"/>
              <w:bottom w:w="60" w:type="dxa"/>
              <w:right w:w="70" w:type="dxa"/>
            </w:tcMar>
            <w:vAlign w:val="center"/>
          </w:tcPr>
          <w:p w14:paraId="3152A37E" w14:textId="37B1D427"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Čezmejni razvoj območja reke Soče: Soča-</w:t>
            </w:r>
            <w:proofErr w:type="spellStart"/>
            <w:r w:rsidRPr="002A64A0">
              <w:rPr>
                <w:rFonts w:eastAsia="Times New Roman" w:cs="Arial"/>
                <w:color w:val="000000"/>
                <w:kern w:val="0"/>
                <w:sz w:val="16"/>
                <w:szCs w:val="16"/>
                <w:lang w:eastAsia="sl-SI"/>
                <w14:ligatures w14:val="none"/>
              </w:rPr>
              <w:t>Isonzo</w:t>
            </w:r>
            <w:proofErr w:type="spellEnd"/>
            <w:r w:rsidRPr="002A64A0">
              <w:rPr>
                <w:rFonts w:eastAsia="Times New Roman" w:cs="Arial"/>
                <w:color w:val="000000"/>
                <w:kern w:val="0"/>
                <w:sz w:val="16"/>
                <w:szCs w:val="16"/>
                <w:lang w:eastAsia="sl-SI"/>
                <w14:ligatures w14:val="none"/>
              </w:rPr>
              <w:t xml:space="preserve"> II</w:t>
            </w:r>
          </w:p>
        </w:tc>
        <w:tc>
          <w:tcPr>
            <w:tcW w:w="4115" w:type="dxa"/>
            <w:tcMar>
              <w:top w:w="60" w:type="dxa"/>
              <w:left w:w="70" w:type="dxa"/>
              <w:bottom w:w="60" w:type="dxa"/>
              <w:right w:w="70" w:type="dxa"/>
            </w:tcMar>
            <w:vAlign w:val="center"/>
          </w:tcPr>
          <w:p w14:paraId="39FF82E3" w14:textId="686CD0A1"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Skupno urejanje in programski razvoj čezmejnega območja ob Soči za šport, rekreacijo, turizem, varnost, dostopnost ter varovanje rečnega prostora.</w:t>
            </w:r>
          </w:p>
        </w:tc>
        <w:tc>
          <w:tcPr>
            <w:tcW w:w="2497" w:type="dxa"/>
            <w:tcMar>
              <w:top w:w="60" w:type="dxa"/>
              <w:left w:w="70" w:type="dxa"/>
              <w:bottom w:w="60" w:type="dxa"/>
              <w:right w:w="70" w:type="dxa"/>
            </w:tcMar>
            <w:vAlign w:val="center"/>
          </w:tcPr>
          <w:p w14:paraId="67B61EF7" w14:textId="78DCDC16"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E1</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A3, C2, E2</w:t>
            </w:r>
          </w:p>
        </w:tc>
        <w:tc>
          <w:tcPr>
            <w:tcW w:w="1268" w:type="dxa"/>
            <w:tcMar>
              <w:top w:w="60" w:type="dxa"/>
              <w:left w:w="70" w:type="dxa"/>
              <w:bottom w:w="60" w:type="dxa"/>
              <w:right w:w="70" w:type="dxa"/>
            </w:tcMar>
            <w:vAlign w:val="center"/>
          </w:tcPr>
          <w:p w14:paraId="6D4D91B3" w14:textId="74B7B57D"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S</w:t>
            </w:r>
          </w:p>
        </w:tc>
      </w:tr>
      <w:tr w:rsidR="00D92E7D" w14:paraId="40EB6C1D" w14:textId="77777777" w:rsidTr="00A52F00">
        <w:trPr>
          <w:trHeight w:val="300"/>
        </w:trPr>
        <w:tc>
          <w:tcPr>
            <w:tcW w:w="2378" w:type="dxa"/>
            <w:tcMar>
              <w:top w:w="60" w:type="dxa"/>
              <w:left w:w="70" w:type="dxa"/>
              <w:bottom w:w="60" w:type="dxa"/>
              <w:right w:w="70" w:type="dxa"/>
            </w:tcMar>
            <w:vAlign w:val="center"/>
          </w:tcPr>
          <w:p w14:paraId="7AB911CA" w14:textId="7B3D0580"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lastRenderedPageBreak/>
              <w:t>Čezmejno prometno vozlišče Nova Gorica–Gorica–Šempeter pri Gorici</w:t>
            </w:r>
          </w:p>
        </w:tc>
        <w:tc>
          <w:tcPr>
            <w:tcW w:w="4115" w:type="dxa"/>
            <w:tcMar>
              <w:top w:w="60" w:type="dxa"/>
              <w:left w:w="70" w:type="dxa"/>
              <w:bottom w:w="60" w:type="dxa"/>
              <w:right w:w="70" w:type="dxa"/>
            </w:tcMar>
            <w:vAlign w:val="center"/>
          </w:tcPr>
          <w:p w14:paraId="0DBE8ED2" w14:textId="46A29595"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 xml:space="preserve">Usklajen razvoj železniških, avtobusnih, kolesarskih in peš povezav ter prestopnih točk v čezmejnem </w:t>
            </w:r>
            <w:proofErr w:type="spellStart"/>
            <w:r w:rsidRPr="002A64A0">
              <w:rPr>
                <w:rFonts w:eastAsia="Times New Roman" w:cs="Arial"/>
                <w:color w:val="000000"/>
                <w:kern w:val="0"/>
                <w:sz w:val="16"/>
                <w:szCs w:val="16"/>
                <w:lang w:eastAsia="sl-SI"/>
                <w14:ligatures w14:val="none"/>
              </w:rPr>
              <w:t>somestju</w:t>
            </w:r>
            <w:proofErr w:type="spellEnd"/>
            <w:r w:rsidRPr="002A64A0">
              <w:rPr>
                <w:rFonts w:eastAsia="Times New Roman" w:cs="Arial"/>
                <w:color w:val="000000"/>
                <w:kern w:val="0"/>
                <w:sz w:val="16"/>
                <w:szCs w:val="16"/>
                <w:lang w:eastAsia="sl-SI"/>
                <w14:ligatures w14:val="none"/>
              </w:rPr>
              <w:t>.</w:t>
            </w:r>
          </w:p>
        </w:tc>
        <w:tc>
          <w:tcPr>
            <w:tcW w:w="2497" w:type="dxa"/>
            <w:tcMar>
              <w:top w:w="60" w:type="dxa"/>
              <w:left w:w="70" w:type="dxa"/>
              <w:bottom w:w="60" w:type="dxa"/>
              <w:right w:w="70" w:type="dxa"/>
            </w:tcMar>
            <w:vAlign w:val="center"/>
          </w:tcPr>
          <w:p w14:paraId="5159EDFE" w14:textId="5B0CB235" w:rsidR="00D92E7D" w:rsidRDefault="00D92E7D" w:rsidP="00D92E7D">
            <w:pPr>
              <w:spacing w:after="0" w:line="240" w:lineRule="auto"/>
              <w:rPr>
                <w:rFonts w:ascii="Arial" w:eastAsia="Arial" w:hAnsi="Arial" w:cs="Arial"/>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E1</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A2, B1, C1</w:t>
            </w:r>
          </w:p>
        </w:tc>
        <w:tc>
          <w:tcPr>
            <w:tcW w:w="1268" w:type="dxa"/>
            <w:tcMar>
              <w:top w:w="60" w:type="dxa"/>
              <w:left w:w="70" w:type="dxa"/>
              <w:bottom w:w="60" w:type="dxa"/>
              <w:right w:w="70" w:type="dxa"/>
            </w:tcMar>
            <w:vAlign w:val="center"/>
          </w:tcPr>
          <w:p w14:paraId="40314CFE" w14:textId="3699F7EB" w:rsidR="00D92E7D"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S</w:t>
            </w:r>
          </w:p>
        </w:tc>
      </w:tr>
      <w:tr w:rsidR="00D92E7D" w14:paraId="138D7982" w14:textId="77777777" w:rsidTr="00A52F00">
        <w:trPr>
          <w:trHeight w:val="300"/>
        </w:trPr>
        <w:tc>
          <w:tcPr>
            <w:tcW w:w="2378" w:type="dxa"/>
            <w:tcMar>
              <w:top w:w="60" w:type="dxa"/>
              <w:left w:w="70" w:type="dxa"/>
              <w:bottom w:w="60" w:type="dxa"/>
              <w:right w:w="70" w:type="dxa"/>
            </w:tcMar>
            <w:vAlign w:val="center"/>
          </w:tcPr>
          <w:p w14:paraId="576B5C1B" w14:textId="4BC8D533" w:rsidR="00D92E7D" w:rsidRPr="1F30B503"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Čezmejni kongresno-kulturni center</w:t>
            </w:r>
          </w:p>
        </w:tc>
        <w:tc>
          <w:tcPr>
            <w:tcW w:w="4115" w:type="dxa"/>
            <w:tcMar>
              <w:top w:w="60" w:type="dxa"/>
              <w:left w:w="70" w:type="dxa"/>
              <w:bottom w:w="60" w:type="dxa"/>
              <w:right w:w="70" w:type="dxa"/>
            </w:tcMar>
            <w:vAlign w:val="center"/>
          </w:tcPr>
          <w:p w14:paraId="4CB95F82" w14:textId="72A7F5C4" w:rsidR="00D92E7D" w:rsidRPr="1706C59B"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Vzpostavitev usklajene mreže prostorov, storitev, organizacije in promocije za večje kongresne, kulturne in poslovne dogodke v Novi Gorici in Gorici.</w:t>
            </w:r>
          </w:p>
        </w:tc>
        <w:tc>
          <w:tcPr>
            <w:tcW w:w="2497" w:type="dxa"/>
            <w:tcMar>
              <w:top w:w="60" w:type="dxa"/>
              <w:left w:w="70" w:type="dxa"/>
              <w:bottom w:w="60" w:type="dxa"/>
              <w:right w:w="70" w:type="dxa"/>
            </w:tcMar>
            <w:vAlign w:val="center"/>
          </w:tcPr>
          <w:p w14:paraId="7E91E70C" w14:textId="308C6427" w:rsidR="00D92E7D" w:rsidRPr="1F30B503" w:rsidRDefault="00D92E7D" w:rsidP="00D92E7D">
            <w:pPr>
              <w:spacing w:after="0" w:line="240" w:lineRule="auto"/>
              <w:rPr>
                <w:rFonts w:ascii="Arial" w:eastAsia="Arial" w:hAnsi="Arial" w:cs="Arial"/>
                <w:b/>
                <w:bCs/>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E2</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A3, C2, E1</w:t>
            </w:r>
          </w:p>
        </w:tc>
        <w:tc>
          <w:tcPr>
            <w:tcW w:w="1268" w:type="dxa"/>
            <w:tcMar>
              <w:top w:w="60" w:type="dxa"/>
              <w:left w:w="70" w:type="dxa"/>
              <w:bottom w:w="60" w:type="dxa"/>
              <w:right w:w="70" w:type="dxa"/>
            </w:tcMar>
            <w:vAlign w:val="center"/>
          </w:tcPr>
          <w:p w14:paraId="3E59BBFC" w14:textId="14EB0111" w:rsidR="00D92E7D" w:rsidRPr="1F30B503"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K</w:t>
            </w:r>
          </w:p>
        </w:tc>
      </w:tr>
      <w:tr w:rsidR="00D92E7D" w14:paraId="56BA6136" w14:textId="77777777" w:rsidTr="00A52F00">
        <w:trPr>
          <w:trHeight w:val="300"/>
        </w:trPr>
        <w:tc>
          <w:tcPr>
            <w:tcW w:w="2378" w:type="dxa"/>
            <w:tcMar>
              <w:top w:w="60" w:type="dxa"/>
              <w:left w:w="70" w:type="dxa"/>
              <w:bottom w:w="60" w:type="dxa"/>
              <w:right w:w="70" w:type="dxa"/>
            </w:tcMar>
            <w:vAlign w:val="center"/>
          </w:tcPr>
          <w:p w14:paraId="341FC43C" w14:textId="169494F0" w:rsidR="00D92E7D" w:rsidRPr="1F30B503" w:rsidRDefault="00D92E7D" w:rsidP="00D92E7D">
            <w:pPr>
              <w:spacing w:after="0" w:line="240" w:lineRule="auto"/>
              <w:rPr>
                <w:rFonts w:ascii="Arial" w:eastAsia="Arial" w:hAnsi="Arial" w:cs="Arial"/>
                <w:sz w:val="16"/>
                <w:szCs w:val="16"/>
              </w:rPr>
            </w:pPr>
            <w:proofErr w:type="spellStart"/>
            <w:r w:rsidRPr="002A64A0">
              <w:rPr>
                <w:rFonts w:eastAsia="Times New Roman" w:cs="Arial"/>
                <w:color w:val="000000"/>
                <w:kern w:val="0"/>
                <w:sz w:val="16"/>
                <w:szCs w:val="16"/>
                <w:lang w:eastAsia="sl-SI"/>
                <w14:ligatures w14:val="none"/>
              </w:rPr>
              <w:t>Eurokampus</w:t>
            </w:r>
            <w:proofErr w:type="spellEnd"/>
          </w:p>
        </w:tc>
        <w:tc>
          <w:tcPr>
            <w:tcW w:w="4115" w:type="dxa"/>
            <w:tcMar>
              <w:top w:w="60" w:type="dxa"/>
              <w:left w:w="70" w:type="dxa"/>
              <w:bottom w:w="60" w:type="dxa"/>
              <w:right w:w="70" w:type="dxa"/>
            </w:tcMar>
            <w:vAlign w:val="center"/>
          </w:tcPr>
          <w:p w14:paraId="41B806FE" w14:textId="5D2271A9" w:rsidR="00D92E7D" w:rsidRPr="1706C59B"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 xml:space="preserve">Vzpostavitev povezanega čezmejnega univerzitetnega okolja, ki usklajuje delovanje univerz, spodbuja mobilnost študentov in krepi mednarodno privlačnost </w:t>
            </w:r>
            <w:proofErr w:type="spellStart"/>
            <w:r w:rsidRPr="002A64A0">
              <w:rPr>
                <w:rFonts w:eastAsia="Times New Roman" w:cs="Arial"/>
                <w:color w:val="000000"/>
                <w:kern w:val="0"/>
                <w:sz w:val="16"/>
                <w:szCs w:val="16"/>
                <w:lang w:eastAsia="sl-SI"/>
                <w14:ligatures w14:val="none"/>
              </w:rPr>
              <w:t>somestja</w:t>
            </w:r>
            <w:proofErr w:type="spellEnd"/>
            <w:r w:rsidRPr="002A64A0">
              <w:rPr>
                <w:rFonts w:eastAsia="Times New Roman" w:cs="Arial"/>
                <w:color w:val="000000"/>
                <w:kern w:val="0"/>
                <w:sz w:val="16"/>
                <w:szCs w:val="16"/>
                <w:lang w:eastAsia="sl-SI"/>
                <w14:ligatures w14:val="none"/>
              </w:rPr>
              <w:t xml:space="preserve"> za študij in raziskovanje.</w:t>
            </w:r>
          </w:p>
        </w:tc>
        <w:tc>
          <w:tcPr>
            <w:tcW w:w="2497" w:type="dxa"/>
            <w:tcMar>
              <w:top w:w="60" w:type="dxa"/>
              <w:left w:w="70" w:type="dxa"/>
              <w:bottom w:w="60" w:type="dxa"/>
              <w:right w:w="70" w:type="dxa"/>
            </w:tcMar>
            <w:vAlign w:val="center"/>
          </w:tcPr>
          <w:p w14:paraId="4BF105E8" w14:textId="0D6F3C43" w:rsidR="00D92E7D" w:rsidRPr="1F30B503" w:rsidRDefault="00D92E7D" w:rsidP="00D92E7D">
            <w:pPr>
              <w:spacing w:after="0" w:line="240" w:lineRule="auto"/>
              <w:rPr>
                <w:rFonts w:ascii="Arial" w:eastAsia="Arial" w:hAnsi="Arial" w:cs="Arial"/>
                <w:b/>
                <w:bCs/>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E2</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A1, C2</w:t>
            </w:r>
          </w:p>
        </w:tc>
        <w:tc>
          <w:tcPr>
            <w:tcW w:w="1268" w:type="dxa"/>
            <w:tcMar>
              <w:top w:w="60" w:type="dxa"/>
              <w:left w:w="70" w:type="dxa"/>
              <w:bottom w:w="60" w:type="dxa"/>
              <w:right w:w="70" w:type="dxa"/>
            </w:tcMar>
            <w:vAlign w:val="center"/>
          </w:tcPr>
          <w:p w14:paraId="787C61A1" w14:textId="7F677DF9" w:rsidR="00D92E7D" w:rsidRPr="1F30B503"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K</w:t>
            </w:r>
          </w:p>
        </w:tc>
      </w:tr>
      <w:tr w:rsidR="00D92E7D" w14:paraId="05BE35B3" w14:textId="77777777" w:rsidTr="00A52F00">
        <w:trPr>
          <w:trHeight w:val="300"/>
        </w:trPr>
        <w:tc>
          <w:tcPr>
            <w:tcW w:w="2378" w:type="dxa"/>
            <w:tcMar>
              <w:top w:w="60" w:type="dxa"/>
              <w:left w:w="70" w:type="dxa"/>
              <w:bottom w:w="60" w:type="dxa"/>
              <w:right w:w="70" w:type="dxa"/>
            </w:tcMar>
            <w:vAlign w:val="center"/>
          </w:tcPr>
          <w:p w14:paraId="7C08A535" w14:textId="4058BD08" w:rsidR="00D92E7D" w:rsidRPr="1F30B503"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Strateška pobuda za neposredno železniško povezavo Benetke–Gorica–Nova Gorica–Ljubljana</w:t>
            </w:r>
          </w:p>
        </w:tc>
        <w:tc>
          <w:tcPr>
            <w:tcW w:w="4115" w:type="dxa"/>
            <w:tcMar>
              <w:top w:w="60" w:type="dxa"/>
              <w:left w:w="70" w:type="dxa"/>
              <w:bottom w:w="60" w:type="dxa"/>
              <w:right w:w="70" w:type="dxa"/>
            </w:tcMar>
            <w:vAlign w:val="center"/>
          </w:tcPr>
          <w:p w14:paraId="72B6CB9A" w14:textId="2758B440" w:rsidR="00D92E7D" w:rsidRPr="1706C59B"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Pobuda za izboljšanje mednarodne in državne železniške povezljivosti Goriške, ki zahteva sodelovanje držav, železniških upravljavcev, občin in čezmejnih partnerjev.</w:t>
            </w:r>
          </w:p>
        </w:tc>
        <w:tc>
          <w:tcPr>
            <w:tcW w:w="2497" w:type="dxa"/>
            <w:tcMar>
              <w:top w:w="60" w:type="dxa"/>
              <w:left w:w="70" w:type="dxa"/>
              <w:bottom w:w="60" w:type="dxa"/>
              <w:right w:w="70" w:type="dxa"/>
            </w:tcMar>
            <w:vAlign w:val="center"/>
          </w:tcPr>
          <w:p w14:paraId="69ADBBC5" w14:textId="1107B4A6" w:rsidR="00D92E7D" w:rsidRPr="1F30B503" w:rsidRDefault="00D92E7D" w:rsidP="00D92E7D">
            <w:pPr>
              <w:spacing w:after="0" w:line="240" w:lineRule="auto"/>
              <w:rPr>
                <w:rFonts w:ascii="Arial" w:eastAsia="Arial" w:hAnsi="Arial" w:cs="Arial"/>
                <w:b/>
                <w:bCs/>
                <w:sz w:val="16"/>
                <w:szCs w:val="16"/>
              </w:rPr>
            </w:pPr>
            <w:r w:rsidRPr="002A64A0">
              <w:rPr>
                <w:rFonts w:eastAsia="Times New Roman" w:cs="Arial"/>
                <w:b/>
                <w:bCs/>
                <w:color w:val="000000"/>
                <w:kern w:val="0"/>
                <w:sz w:val="16"/>
                <w:szCs w:val="16"/>
                <w:lang w:eastAsia="sl-SI"/>
                <w14:ligatures w14:val="none"/>
              </w:rPr>
              <w:t xml:space="preserve">Neposredno podpira: </w:t>
            </w:r>
            <w:r w:rsidRPr="002A64A0">
              <w:rPr>
                <w:rFonts w:eastAsia="Times New Roman" w:cs="Arial"/>
                <w:color w:val="000000"/>
                <w:kern w:val="0"/>
                <w:sz w:val="16"/>
                <w:szCs w:val="16"/>
                <w:lang w:eastAsia="sl-SI"/>
                <w14:ligatures w14:val="none"/>
              </w:rPr>
              <w:t>E2</w:t>
            </w:r>
            <w:r w:rsidRPr="002A64A0">
              <w:rPr>
                <w:rFonts w:eastAsia="Times New Roman" w:cs="Arial"/>
                <w:b/>
                <w:bCs/>
                <w:color w:val="000000"/>
                <w:kern w:val="0"/>
                <w:sz w:val="16"/>
                <w:szCs w:val="16"/>
                <w:lang w:eastAsia="sl-SI"/>
                <w14:ligatures w14:val="none"/>
              </w:rPr>
              <w:br/>
              <w:t xml:space="preserve">Prispeva tudi k: </w:t>
            </w:r>
            <w:r w:rsidRPr="002A64A0">
              <w:rPr>
                <w:rFonts w:eastAsia="Times New Roman" w:cs="Arial"/>
                <w:color w:val="000000"/>
                <w:kern w:val="0"/>
                <w:sz w:val="16"/>
                <w:szCs w:val="16"/>
                <w:lang w:eastAsia="sl-SI"/>
                <w14:ligatures w14:val="none"/>
              </w:rPr>
              <w:t>A2, C1, E1</w:t>
            </w:r>
          </w:p>
        </w:tc>
        <w:tc>
          <w:tcPr>
            <w:tcW w:w="1268" w:type="dxa"/>
            <w:tcMar>
              <w:top w:w="60" w:type="dxa"/>
              <w:left w:w="70" w:type="dxa"/>
              <w:bottom w:w="60" w:type="dxa"/>
              <w:right w:w="70" w:type="dxa"/>
            </w:tcMar>
            <w:vAlign w:val="center"/>
          </w:tcPr>
          <w:p w14:paraId="490952E7" w14:textId="6FA9FD06" w:rsidR="00D92E7D" w:rsidRPr="1F30B503" w:rsidRDefault="00D92E7D" w:rsidP="00D92E7D">
            <w:pPr>
              <w:spacing w:after="0" w:line="240" w:lineRule="auto"/>
              <w:rPr>
                <w:rFonts w:ascii="Arial" w:eastAsia="Arial" w:hAnsi="Arial" w:cs="Arial"/>
                <w:sz w:val="16"/>
                <w:szCs w:val="16"/>
              </w:rPr>
            </w:pPr>
            <w:r w:rsidRPr="002A64A0">
              <w:rPr>
                <w:rFonts w:eastAsia="Times New Roman" w:cs="Arial"/>
                <w:color w:val="000000"/>
                <w:kern w:val="0"/>
                <w:sz w:val="16"/>
                <w:szCs w:val="16"/>
                <w:lang w:eastAsia="sl-SI"/>
                <w14:ligatures w14:val="none"/>
              </w:rPr>
              <w:t>D</w:t>
            </w:r>
          </w:p>
        </w:tc>
      </w:tr>
    </w:tbl>
    <w:p w14:paraId="78D5B557" w14:textId="6C73C427" w:rsidR="1F30B503" w:rsidRDefault="1F30B503" w:rsidP="1F30B503">
      <w:pPr>
        <w:jc w:val="both"/>
      </w:pPr>
    </w:p>
    <w:p w14:paraId="130E42D6" w14:textId="21272657" w:rsidR="4D6C6766" w:rsidRPr="000C5DF3" w:rsidRDefault="6AA23773" w:rsidP="004A1C14">
      <w:pPr>
        <w:pStyle w:val="Naslov1"/>
        <w:numPr>
          <w:ilvl w:val="0"/>
          <w:numId w:val="40"/>
        </w:numPr>
        <w:spacing w:before="240" w:after="120"/>
        <w:ind w:left="357" w:hanging="357"/>
      </w:pPr>
      <w:bookmarkStart w:id="62" w:name="_Toc920742932"/>
      <w:bookmarkStart w:id="63" w:name="_Toc339838874"/>
      <w:bookmarkStart w:id="64" w:name="_Toc239414912"/>
      <w:r>
        <w:t>Od strategije do izvedbe</w:t>
      </w:r>
      <w:bookmarkEnd w:id="62"/>
      <w:bookmarkEnd w:id="63"/>
      <w:bookmarkEnd w:id="64"/>
      <w:r w:rsidR="43F760FB">
        <w:t xml:space="preserve"> </w:t>
      </w:r>
    </w:p>
    <w:p w14:paraId="6F0C20F9" w14:textId="22CD8020" w:rsidR="00BE04E9" w:rsidRDefault="00BE04E9" w:rsidP="00BE04E9">
      <w:pPr>
        <w:jc w:val="both"/>
      </w:pPr>
      <w:r>
        <w:t>Strategija razvoja MONG 2045 določa dolgoročno razvojno smer občine. Uresničuje se z akcijskimi načrti, občinskim proračunom in načrtom razvojnih programov, sektorskimi dokumenti, konkretnimi projekti ter sodelovanjem z razvojnimi partnerji.</w:t>
      </w:r>
    </w:p>
    <w:p w14:paraId="76924AA9" w14:textId="5847A4DF" w:rsidR="00BE04E9" w:rsidRDefault="15143F34" w:rsidP="1F30B503">
      <w:pPr>
        <w:jc w:val="both"/>
      </w:pPr>
      <w:r>
        <w:t xml:space="preserve">Kot naslednji ključni strateški dokument je predvidena izdelava </w:t>
      </w:r>
      <w:r w:rsidR="4035F57A">
        <w:t>a</w:t>
      </w:r>
      <w:r w:rsidR="24A646FE">
        <w:t>kcijsk</w:t>
      </w:r>
      <w:r w:rsidR="4EFBD4BD">
        <w:t>ega</w:t>
      </w:r>
      <w:r w:rsidR="24A646FE">
        <w:t xml:space="preserve"> načrt</w:t>
      </w:r>
      <w:r w:rsidR="3FA49A0E">
        <w:t>a</w:t>
      </w:r>
      <w:r w:rsidR="24A646FE">
        <w:t xml:space="preserve"> </w:t>
      </w:r>
      <w:r w:rsidR="00BB0D4D">
        <w:t>za</w:t>
      </w:r>
      <w:r w:rsidR="4EBF281F">
        <w:t xml:space="preserve"> </w:t>
      </w:r>
      <w:r w:rsidR="082EDBB9">
        <w:t>kratkoročno</w:t>
      </w:r>
      <w:r w:rsidR="24A646FE">
        <w:t xml:space="preserve"> obdobje</w:t>
      </w:r>
      <w:r w:rsidR="1E9D44F6">
        <w:t xml:space="preserve"> </w:t>
      </w:r>
      <w:r w:rsidR="3477415D">
        <w:t>2027-2032</w:t>
      </w:r>
      <w:r w:rsidR="0B74BC53">
        <w:t>.</w:t>
      </w:r>
      <w:r w:rsidR="3477415D">
        <w:t xml:space="preserve"> </w:t>
      </w:r>
      <w:r w:rsidR="67C1F940">
        <w:t>V</w:t>
      </w:r>
      <w:r w:rsidR="1E9D44F6">
        <w:t xml:space="preserve"> </w:t>
      </w:r>
      <w:r w:rsidR="2B71AA99">
        <w:t>akcijskem načrtu bodo</w:t>
      </w:r>
      <w:r w:rsidR="24A646FE">
        <w:t xml:space="preserve"> določ</w:t>
      </w:r>
      <w:r w:rsidR="617B0D78">
        <w:t>eni</w:t>
      </w:r>
      <w:r w:rsidR="24A646FE">
        <w:t xml:space="preserve"> prednostn</w:t>
      </w:r>
      <w:r w:rsidR="15DC00A7">
        <w:t>i</w:t>
      </w:r>
      <w:r w:rsidR="24A646FE">
        <w:t xml:space="preserve"> projekt</w:t>
      </w:r>
      <w:r w:rsidR="51C6227C">
        <w:t>i</w:t>
      </w:r>
      <w:r w:rsidR="24A646FE">
        <w:t xml:space="preserve"> in programsk</w:t>
      </w:r>
      <w:r w:rsidR="276D51DE">
        <w:t>i</w:t>
      </w:r>
      <w:r w:rsidR="24A646FE">
        <w:t xml:space="preserve"> sklop</w:t>
      </w:r>
      <w:r w:rsidR="034A368B">
        <w:t>i</w:t>
      </w:r>
      <w:r w:rsidR="24A646FE">
        <w:t>, njihov</w:t>
      </w:r>
      <w:r w:rsidR="476154C3">
        <w:t>i</w:t>
      </w:r>
      <w:r w:rsidR="24A646FE">
        <w:t xml:space="preserve"> nosilc</w:t>
      </w:r>
      <w:r w:rsidR="1D19E9FC">
        <w:t>i</w:t>
      </w:r>
      <w:r w:rsidR="24A646FE">
        <w:t xml:space="preserve"> in partnerj</w:t>
      </w:r>
      <w:r w:rsidR="210E570E">
        <w:t>i</w:t>
      </w:r>
      <w:r w:rsidR="24A646FE">
        <w:t>, čas izvedbe, predviden</w:t>
      </w:r>
      <w:r w:rsidR="38271D9A">
        <w:t>i</w:t>
      </w:r>
      <w:r w:rsidR="24A646FE">
        <w:t xml:space="preserve"> finančn</w:t>
      </w:r>
      <w:r w:rsidR="00BB0D4D">
        <w:t>i</w:t>
      </w:r>
      <w:r w:rsidR="24A646FE">
        <w:t xml:space="preserve"> vi</w:t>
      </w:r>
      <w:r w:rsidR="39926D1B">
        <w:t>ri</w:t>
      </w:r>
      <w:r w:rsidR="24A646FE">
        <w:t xml:space="preserve"> ter izvedben</w:t>
      </w:r>
      <w:r w:rsidR="0967C768">
        <w:t>i</w:t>
      </w:r>
      <w:r w:rsidR="24A646FE">
        <w:t xml:space="preserve"> kazalnik</w:t>
      </w:r>
      <w:r w:rsidR="0D492505">
        <w:t>i</w:t>
      </w:r>
      <w:r w:rsidR="24A646FE">
        <w:t>. Nabor projektov v strategiji je izhodišče za nadaljnje načrtovanje in ni dokončen. V akcijskih načrtih se preverja in dopolnjuje glede na pripravljenost projektov, razvojne potrebe, razpoložljiva sredstva in spremenjene okoliščine.</w:t>
      </w:r>
    </w:p>
    <w:p w14:paraId="7775A530" w14:textId="36B31C94" w:rsidR="00BE04E9" w:rsidRDefault="00BE04E9" w:rsidP="00BE04E9">
      <w:pPr>
        <w:jc w:val="both"/>
      </w:pPr>
      <w:r>
        <w:t>Pri pripravi občinskega proračuna, načrta razvojnih programov in investicijskih odločitev se upoštevajo prispevek posameznega projekta k strateškim ciljem, njegovo razmerje do obeh horizontalnih načel, izvedljivost, finančna vzdržnost ter možnosti pridobivanja državnih, evropskih in drugih sredstev.</w:t>
      </w:r>
    </w:p>
    <w:p w14:paraId="2E110C05" w14:textId="6D9C979C" w:rsidR="00BE04E9" w:rsidRDefault="24A646FE" w:rsidP="00BE04E9">
      <w:pPr>
        <w:jc w:val="both"/>
      </w:pPr>
      <w:r>
        <w:t>Številni projekti presegajo neposredne pristojnosti MONG. Njihova izvedba bo odvisna od</w:t>
      </w:r>
      <w:r w:rsidR="79DD8DCE">
        <w:t xml:space="preserve"> uspešnosti</w:t>
      </w:r>
      <w:r>
        <w:t xml:space="preserve"> sodelovanja z državo, sosednjimi občinami, </w:t>
      </w:r>
      <w:r w:rsidR="5CBE0E32">
        <w:t xml:space="preserve">občino </w:t>
      </w:r>
      <w:r>
        <w:t>Goric</w:t>
      </w:r>
      <w:r w:rsidR="31CDC002">
        <w:t>a</w:t>
      </w:r>
      <w:r>
        <w:t xml:space="preserve"> in drugimi čezmejnimi partnerji, javnimi zavodi, gospodarstvom, univerzo, krajevnimi skupnostmi, nevladnimi organizacijami in drugimi nosilci razvoja. MONG lahko pri posameznem projektu nastopa kot nosilec, partner, koordinator, pobudnik ali zagovornik skupnega razvojnega interesa.</w:t>
      </w:r>
    </w:p>
    <w:p w14:paraId="25ACA681" w14:textId="39AB542F" w:rsidR="00BE04E9" w:rsidRDefault="00BE04E9" w:rsidP="00BE04E9">
      <w:pPr>
        <w:jc w:val="both"/>
      </w:pPr>
      <w:r>
        <w:t>MONG usklajuje pripravo akcijskih načrtov, povezuje nosilce projektov in spremlja njihovo izvajanje. Občinske službe, javni zavodi in drugi nosilci so odgovorni za naloge na svojih področjih ter za zagotavljanje podatkov o napredku. Način koordinacije, poročanja in delitve odgovornosti se podrobneje določi v akcijskih načrtih.</w:t>
      </w:r>
    </w:p>
    <w:p w14:paraId="4335D601" w14:textId="165DBF34" w:rsidR="29A8477B" w:rsidRDefault="00BE04E9" w:rsidP="00626267">
      <w:pPr>
        <w:jc w:val="both"/>
      </w:pPr>
      <w:r>
        <w:t>Novi projekti in pomembnejše razvojne odločitve se preverjajo glede na vizijo, strateške cilje in horizontalni načeli strategije. Tako se zagotavljata večja usklajenost občinskih politik in razvojna kontinuiteta tudi skozi daljše časovno obdobje.</w:t>
      </w:r>
    </w:p>
    <w:p w14:paraId="034D740D" w14:textId="2BCF2907" w:rsidR="003B1F7B" w:rsidRPr="000C5DF3" w:rsidRDefault="003B1F7B" w:rsidP="004A1C14">
      <w:pPr>
        <w:pStyle w:val="Naslov1"/>
        <w:numPr>
          <w:ilvl w:val="0"/>
          <w:numId w:val="40"/>
        </w:numPr>
        <w:spacing w:before="240" w:after="120"/>
        <w:ind w:left="357" w:hanging="357"/>
      </w:pPr>
      <w:bookmarkStart w:id="65" w:name="_Toc239414913"/>
      <w:r>
        <w:lastRenderedPageBreak/>
        <w:t>Spremljanje napredka</w:t>
      </w:r>
      <w:bookmarkEnd w:id="65"/>
    </w:p>
    <w:p w14:paraId="05C6AE20" w14:textId="08F69795" w:rsidR="007164C8" w:rsidRDefault="32405706" w:rsidP="007164C8">
      <w:pPr>
        <w:jc w:val="both"/>
      </w:pPr>
      <w:r>
        <w:t>Spremljanje napredka omogoča presojo, ali se strategija izvaja in ali se razvoj občine premika v smeri zastavljenih ciljev. Spremlja se izvedba akcijskih načrtov, napredek projektov in programskih sklopov ter gibanje strateških kazalnikov.</w:t>
      </w:r>
    </w:p>
    <w:p w14:paraId="13F0EA27" w14:textId="3B9A71EC" w:rsidR="007164C8" w:rsidRDefault="32405706" w:rsidP="1F30B503">
      <w:pPr>
        <w:jc w:val="both"/>
      </w:pPr>
      <w:r>
        <w:t xml:space="preserve"> Strateški kazalniki so namenjeni spremljanju širših razvojnih sprememb na ravni posameznih stebrov in občine kot celote. Njihova metodologija, viri podatkov in pogostost spremljanja so podrobneje določeni v Prilogi 2.</w:t>
      </w:r>
      <w:r w:rsidR="7210C244">
        <w:t xml:space="preserve"> Izvedbeni kazalniki se določijo v akcijskih načrtih. Prikazujejo izvedene aktivnosti, neposredne rezultate, porabo sredstev in napredek posameznih projektov.</w:t>
      </w:r>
    </w:p>
    <w:p w14:paraId="1C539C7B" w14:textId="79351089" w:rsidR="007164C8" w:rsidRDefault="32405706" w:rsidP="007164C8">
      <w:pPr>
        <w:jc w:val="both"/>
      </w:pPr>
      <w:r>
        <w:t xml:space="preserve">Posamezen projekt praviloma ne vpliva neposredno in takoj na strateški kazalnik. Njegovi učinki se lahko pokažejo šele po daljšem </w:t>
      </w:r>
      <w:r w:rsidR="1320DA1F">
        <w:t xml:space="preserve">časovnem </w:t>
      </w:r>
      <w:r>
        <w:t xml:space="preserve">obdobju, na razvojne trende pa vplivajo tudi gospodarske, demografske, družbene in </w:t>
      </w:r>
      <w:proofErr w:type="spellStart"/>
      <w:r>
        <w:t>okoljske</w:t>
      </w:r>
      <w:proofErr w:type="spellEnd"/>
      <w:r>
        <w:t xml:space="preserve"> razmere. Zato se pri strateških kazalnikih presoja predvsem njihovo gibanje skozi daljše </w:t>
      </w:r>
      <w:r w:rsidR="06696410">
        <w:t xml:space="preserve">časovno </w:t>
      </w:r>
      <w:r>
        <w:t>obdobje.</w:t>
      </w:r>
    </w:p>
    <w:p w14:paraId="327CEFF9" w14:textId="249909B2" w:rsidR="007164C8" w:rsidRDefault="7F89639F" w:rsidP="1F30B503">
      <w:pPr>
        <w:jc w:val="both"/>
      </w:pPr>
      <w:r>
        <w:t xml:space="preserve">Nosilci aktivnosti v sodelovanju z občinsko upravo </w:t>
      </w:r>
      <w:r w:rsidR="32405706">
        <w:t>MONG enkrat letno pripravi</w:t>
      </w:r>
      <w:r w:rsidR="1FFD1E36">
        <w:t>jo</w:t>
      </w:r>
      <w:r w:rsidR="32405706">
        <w:t xml:space="preserve"> pregled izvajanja veljavnega akcijskega načrta. Pregled vključuje stanje prednostnih projektov, izvedene aktivnosti, pomembnejša odstopanja ter razpoložljive podatke o kazalnikih. Strateški kazalnik se v pregled vključi, ko je na voljo nova primerljiva meritev.</w:t>
      </w:r>
    </w:p>
    <w:p w14:paraId="1CFEC1FA" w14:textId="30AC0539" w:rsidR="007164C8" w:rsidRDefault="32405706" w:rsidP="007164C8">
      <w:pPr>
        <w:jc w:val="both"/>
      </w:pPr>
      <w:r>
        <w:t>Ob zaključku posameznega akcijskega obdobja se pripravi celovit</w:t>
      </w:r>
      <w:r w:rsidR="7293C71C">
        <w:t>i</w:t>
      </w:r>
      <w:r>
        <w:t xml:space="preserve"> </w:t>
      </w:r>
      <w:r w:rsidR="2ED434BE">
        <w:t xml:space="preserve">pregled </w:t>
      </w:r>
      <w:r>
        <w:t>izvajanja strategije. Ugotovitve se uporabijo pri pripravi naslednjega akcijskega načrta, določanju projektnih in proračunskih prioritet ter prilagajanju projektnega portfelja, časovnih načrtov, partnerstev in načinov izvedbe.</w:t>
      </w:r>
    </w:p>
    <w:p w14:paraId="287AF379" w14:textId="74645FDF" w:rsidR="007164C8" w:rsidRPr="007164C8" w:rsidRDefault="007164C8" w:rsidP="007164C8">
      <w:pPr>
        <w:jc w:val="both"/>
      </w:pPr>
      <w:r>
        <w:t>Takšne prilagoditve ne pomenijo spremembe dolgoročne razvojne smeri. Vizija, razvojni stebri in strateški cilji ostajajo temelj strategije do leta 2045, razen če se strategija formalno posodobi.</w:t>
      </w:r>
    </w:p>
    <w:p w14:paraId="5E361C09" w14:textId="5A3A5C9D" w:rsidR="003B1F7B" w:rsidRPr="000C5DF3" w:rsidRDefault="003B1F7B" w:rsidP="004A1C14">
      <w:pPr>
        <w:pStyle w:val="Naslov1"/>
        <w:numPr>
          <w:ilvl w:val="0"/>
          <w:numId w:val="40"/>
        </w:numPr>
        <w:spacing w:before="240" w:after="120"/>
        <w:ind w:left="357" w:hanging="357"/>
      </w:pPr>
      <w:bookmarkStart w:id="66" w:name="_Toc239414914"/>
      <w:r>
        <w:t>Skupni razvojni dogovor do leta 2045</w:t>
      </w:r>
      <w:bookmarkEnd w:id="66"/>
    </w:p>
    <w:p w14:paraId="1C4C9C06" w14:textId="7F6EC65A" w:rsidR="5E932B58" w:rsidRDefault="1327C69C" w:rsidP="1706C59B">
      <w:pPr>
        <w:spacing w:line="257" w:lineRule="auto"/>
        <w:jc w:val="both"/>
      </w:pPr>
      <w:r w:rsidRPr="1706C59B">
        <w:rPr>
          <w:rFonts w:ascii="Aptos" w:eastAsia="Aptos" w:hAnsi="Aptos" w:cs="Aptos"/>
        </w:rPr>
        <w:t xml:space="preserve">Strategija razvoja MONG 2045 je usmerjena k skupnemu razvojnemu dogovoru različnih akterjev tako na območju občine, Severno Primorske (Goriške) razvojne regije, kot v čezmejnem širšem mestnem območju in Goriški </w:t>
      </w:r>
      <w:proofErr w:type="spellStart"/>
      <w:r w:rsidRPr="1706C59B">
        <w:rPr>
          <w:rFonts w:ascii="Aptos" w:eastAsia="Aptos" w:hAnsi="Aptos" w:cs="Aptos"/>
        </w:rPr>
        <w:t>evroregiji</w:t>
      </w:r>
      <w:proofErr w:type="spellEnd"/>
      <w:r w:rsidRPr="1706C59B">
        <w:rPr>
          <w:rFonts w:ascii="Aptos" w:eastAsia="Aptos" w:hAnsi="Aptos" w:cs="Aptos"/>
        </w:rPr>
        <w:t xml:space="preserve">. Predstavlja tudi novo smer delovanja celotne skupnosti, ki bo z medsebojnim sodelovanjem in usklajevanjem </w:t>
      </w:r>
      <w:r w:rsidR="400781CD" w:rsidRPr="1706C59B">
        <w:rPr>
          <w:rFonts w:ascii="Aptos" w:eastAsia="Aptos" w:hAnsi="Aptos" w:cs="Aptos"/>
        </w:rPr>
        <w:t xml:space="preserve">različnih akterjev </w:t>
      </w:r>
      <w:r w:rsidRPr="1706C59B">
        <w:rPr>
          <w:rFonts w:ascii="Aptos" w:eastAsia="Aptos" w:hAnsi="Aptos" w:cs="Aptos"/>
        </w:rPr>
        <w:t>lahko gradila boljši svet prihodnosti.</w:t>
      </w:r>
      <w:r>
        <w:t xml:space="preserve"> </w:t>
      </w:r>
      <w:r w:rsidR="4AE1372F">
        <w:t xml:space="preserve"> </w:t>
      </w:r>
    </w:p>
    <w:p w14:paraId="77295C4F" w14:textId="670D0CDB" w:rsidR="5E932B58" w:rsidRDefault="5E932B58" w:rsidP="1F30B503">
      <w:pPr>
        <w:jc w:val="both"/>
      </w:pPr>
      <w:r>
        <w:t xml:space="preserve">Poudarek, ki presega vsebinske nastavke strategije in opredeljuje premik, </w:t>
      </w:r>
      <w:r w:rsidR="32D6BD5D">
        <w:t>ki</w:t>
      </w:r>
      <w:r>
        <w:t xml:space="preserve"> ga </w:t>
      </w:r>
      <w:r w:rsidR="4A88B19F">
        <w:t xml:space="preserve">je </w:t>
      </w:r>
      <w:r>
        <w:t>potrebno doseči za to</w:t>
      </w:r>
      <w:r w:rsidR="0048223E">
        <w:t>,</w:t>
      </w:r>
      <w:r>
        <w:t xml:space="preserve"> da bi bila strategija izvedljiva</w:t>
      </w:r>
      <w:r w:rsidR="4E30C485">
        <w:t>,</w:t>
      </w:r>
      <w:r>
        <w:t xml:space="preserve"> je v vlogi</w:t>
      </w:r>
      <w:r w:rsidR="569D8BA6">
        <w:t xml:space="preserve"> </w:t>
      </w:r>
      <w:r w:rsidR="417406FC">
        <w:t>MONG</w:t>
      </w:r>
      <w:r w:rsidR="569D8BA6">
        <w:t xml:space="preserve"> kot</w:t>
      </w:r>
      <w:r w:rsidR="222FA3BF">
        <w:t xml:space="preserve"> odgovornega akterja ustvarjanja razvojnih politik na vseh ravneh. </w:t>
      </w:r>
      <w:r w:rsidR="41FD6E18">
        <w:t xml:space="preserve">MONG </w:t>
      </w:r>
      <w:r w:rsidR="5F93DADA">
        <w:t>j</w:t>
      </w:r>
      <w:r w:rsidR="180E0D2B">
        <w:t>e</w:t>
      </w:r>
      <w:r w:rsidR="70EA306F">
        <w:t xml:space="preserve"> </w:t>
      </w:r>
      <w:r w:rsidR="50E4D4F2">
        <w:t xml:space="preserve">v Strategiji </w:t>
      </w:r>
      <w:r w:rsidR="21BC3A08">
        <w:t xml:space="preserve">razvoja </w:t>
      </w:r>
      <w:r w:rsidR="50E4D4F2">
        <w:t xml:space="preserve">MONG 2045 </w:t>
      </w:r>
      <w:r w:rsidR="70EA306F">
        <w:t>poleg realizatorja lokalnih pobud</w:t>
      </w:r>
      <w:r w:rsidR="0095310E">
        <w:t>,</w:t>
      </w:r>
      <w:r w:rsidR="180E0D2B">
        <w:t xml:space="preserve"> opredel</w:t>
      </w:r>
      <w:r w:rsidR="760DBFB7">
        <w:t>jen</w:t>
      </w:r>
      <w:r w:rsidR="1534C7DC">
        <w:t xml:space="preserve"> tudi</w:t>
      </w:r>
      <w:r w:rsidR="180E0D2B">
        <w:t xml:space="preserve"> kot pobudnik razvojnih idej, </w:t>
      </w:r>
      <w:proofErr w:type="spellStart"/>
      <w:r w:rsidR="180E0D2B">
        <w:t>mrežnik</w:t>
      </w:r>
      <w:proofErr w:type="spellEnd"/>
      <w:r w:rsidR="23BF7D98">
        <w:t>,</w:t>
      </w:r>
      <w:r w:rsidR="180E0D2B">
        <w:t xml:space="preserve"> ki povezuje akterje z različnih področij</w:t>
      </w:r>
      <w:r w:rsidR="29FCF61C">
        <w:t xml:space="preserve"> ter</w:t>
      </w:r>
      <w:r w:rsidR="180E0D2B">
        <w:t xml:space="preserve"> verodostojen partner </w:t>
      </w:r>
      <w:r w:rsidR="59F4F276">
        <w:t>v kompleksnih razvojnih partnerstvih.</w:t>
      </w:r>
      <w:r w:rsidR="770C3070">
        <w:t xml:space="preserve"> </w:t>
      </w:r>
    </w:p>
    <w:p w14:paraId="719719E3" w14:textId="59057914" w:rsidR="005518DB" w:rsidRDefault="3851BEDB" w:rsidP="005518DB">
      <w:pPr>
        <w:jc w:val="both"/>
      </w:pPr>
      <w:r>
        <w:t>Strategija razvoja MONG 2045</w:t>
      </w:r>
      <w:r w:rsidR="7D0012A4">
        <w:t xml:space="preserve"> nadalje</w:t>
      </w:r>
      <w:r>
        <w:t xml:space="preserve"> povezuje razvoj mesta in podeželja ter </w:t>
      </w:r>
      <w:r w:rsidR="5F215E0B">
        <w:t xml:space="preserve">opredeljuje </w:t>
      </w:r>
      <w:r>
        <w:t>vlogo Nove Gorice kot regijskega in čezmejnega središča. Občini in njenim partnerjem daje skupno smer za pripravo projektov, usklajevanje odločitev in določanje razvojnih prioritet.</w:t>
      </w:r>
    </w:p>
    <w:p w14:paraId="5A57C1F4" w14:textId="3E330DE7" w:rsidR="005518DB" w:rsidRDefault="7FF6102E" w:rsidP="1F30B503">
      <w:pPr>
        <w:jc w:val="both"/>
      </w:pPr>
      <w:r>
        <w:t xml:space="preserve">Obdobje do leta 2045 presega </w:t>
      </w:r>
      <w:r w:rsidR="72B05932">
        <w:t xml:space="preserve">trajanje </w:t>
      </w:r>
      <w:r>
        <w:t>posamezne</w:t>
      </w:r>
      <w:r w:rsidR="7D9F1F6A">
        <w:t>ga</w:t>
      </w:r>
      <w:r>
        <w:t xml:space="preserve"> mandat</w:t>
      </w:r>
      <w:r w:rsidR="0687BFCC">
        <w:t>a</w:t>
      </w:r>
      <w:r>
        <w:t xml:space="preserve"> občinskega vodstva in mestnega sveta. Strategija zato zagotavlja dolgoročnejšo razvojno kontinuiteto</w:t>
      </w:r>
      <w:r w:rsidR="4CC95A65">
        <w:t xml:space="preserve"> saj </w:t>
      </w:r>
      <w:r w:rsidR="65ADF9B9">
        <w:t xml:space="preserve">predstavlja </w:t>
      </w:r>
      <w:r w:rsidR="4CC95A65">
        <w:t xml:space="preserve">usmerjevalno orodje za izvedbo dolgoročnih </w:t>
      </w:r>
      <w:r w:rsidR="6826C022">
        <w:t>projektov in programskih sklopov</w:t>
      </w:r>
      <w:r w:rsidR="4CC95A65">
        <w:t>.</w:t>
      </w:r>
      <w:r w:rsidR="55F23BFD">
        <w:t xml:space="preserve"> </w:t>
      </w:r>
      <w:r w:rsidR="3589BD9B">
        <w:t>H</w:t>
      </w:r>
      <w:r>
        <w:t xml:space="preserve">krati pa omogoča, da se projekti in načini izvajanja prilagajajo novim razmeram, znanju in potrebam </w:t>
      </w:r>
      <w:r w:rsidR="3A921BB0">
        <w:t xml:space="preserve">širše </w:t>
      </w:r>
      <w:r w:rsidR="396DB1E8">
        <w:t>skupnosti</w:t>
      </w:r>
      <w:r>
        <w:t>.</w:t>
      </w:r>
    </w:p>
    <w:p w14:paraId="4684364C" w14:textId="590909F7" w:rsidR="00DA5A6B" w:rsidRDefault="00011FB8" w:rsidP="1706C59B">
      <w:pPr>
        <w:jc w:val="both"/>
      </w:pPr>
      <w:r w:rsidRPr="00011FB8">
        <w:lastRenderedPageBreak/>
        <w:t xml:space="preserve">Strategija razvoja MONG 2045 </w:t>
      </w:r>
      <w:r w:rsidR="0039549C">
        <w:t xml:space="preserve">predstavlja </w:t>
      </w:r>
      <w:r w:rsidRPr="00011FB8">
        <w:t>proces, ki se s samim sprejemom ne bo zaključil</w:t>
      </w:r>
      <w:r w:rsidR="02AB2B2D">
        <w:t>.</w:t>
      </w:r>
      <w:r w:rsidR="165497EC">
        <w:t xml:space="preserve"> Ker je strategija zastavljena ambiciozno bodo strateški projekti terjali veliko aktivacijo nosilcev, strokovnih služb ter drugih udeleženih akterjev. </w:t>
      </w:r>
      <w:r w:rsidR="7FF6102E">
        <w:t>Njena vrednost se bo pokazala v tem, ali bodo njene usmeritve upoštevane pri akcijskih načrtih, proračunskih odločitvah, sektorskih dokumentih in vsakodnevnem delu občine ter njenih partnerjev.</w:t>
      </w:r>
      <w:r w:rsidR="4D5F9F43">
        <w:t xml:space="preserve"> </w:t>
      </w:r>
    </w:p>
    <w:p w14:paraId="3D94BD8E" w14:textId="16B11A23" w:rsidR="1706C59B" w:rsidRPr="00CC38CE" w:rsidRDefault="00052C03" w:rsidP="1706C59B">
      <w:pPr>
        <w:jc w:val="both"/>
        <w:rPr>
          <w:rFonts w:ascii="Aptos" w:eastAsia="Aptos" w:hAnsi="Aptos" w:cs="Aptos"/>
          <w:u w:val="single"/>
        </w:rPr>
      </w:pPr>
      <w:r>
        <w:rPr>
          <w:rFonts w:ascii="Aptos" w:eastAsia="Aptos" w:hAnsi="Aptos" w:cs="Aptos"/>
        </w:rPr>
        <w:t>Uresničevanje</w:t>
      </w:r>
      <w:r w:rsidR="0C9A4039" w:rsidRPr="1706C59B">
        <w:rPr>
          <w:rFonts w:ascii="Aptos" w:eastAsia="Aptos" w:hAnsi="Aptos" w:cs="Aptos"/>
        </w:rPr>
        <w:t xml:space="preserve"> strategije</w:t>
      </w:r>
      <w:r>
        <w:rPr>
          <w:rFonts w:ascii="Aptos" w:eastAsia="Aptos" w:hAnsi="Aptos" w:cs="Aptos"/>
        </w:rPr>
        <w:t xml:space="preserve"> je</w:t>
      </w:r>
      <w:r w:rsidR="0C9A4039" w:rsidRPr="1706C59B">
        <w:rPr>
          <w:rFonts w:ascii="Aptos" w:eastAsia="Aptos" w:hAnsi="Aptos" w:cs="Aptos"/>
        </w:rPr>
        <w:t xml:space="preserve"> nenazadnje </w:t>
      </w:r>
      <w:r>
        <w:rPr>
          <w:rFonts w:ascii="Aptos" w:eastAsia="Aptos" w:hAnsi="Aptos" w:cs="Aptos"/>
        </w:rPr>
        <w:t>odvisno od</w:t>
      </w:r>
      <w:r w:rsidR="0C9A4039" w:rsidRPr="1706C59B">
        <w:rPr>
          <w:rFonts w:ascii="Aptos" w:eastAsia="Aptos" w:hAnsi="Aptos" w:cs="Aptos"/>
        </w:rPr>
        <w:t xml:space="preserve"> aktivnosti različnih </w:t>
      </w:r>
      <w:r w:rsidR="14DA138E" w:rsidRPr="1706C59B">
        <w:rPr>
          <w:rFonts w:ascii="Aptos" w:eastAsia="Aptos" w:hAnsi="Aptos" w:cs="Aptos"/>
        </w:rPr>
        <w:t>deležniko</w:t>
      </w:r>
      <w:r w:rsidR="0C9A4039" w:rsidRPr="1706C59B">
        <w:rPr>
          <w:rFonts w:ascii="Aptos" w:eastAsia="Aptos" w:hAnsi="Aptos" w:cs="Aptos"/>
        </w:rPr>
        <w:t>v, ki bodo strateške usmeritve prepoznali kot svoje lastne. To velja zlasti za zaposlene v občinski upravi ter vse ostale posameznike, ki delujejo v različnih občinskih podjetjih, javnih zavodih in drugih inštitucijah, ki z občino neposredno sodelujejo.</w:t>
      </w:r>
      <w:r w:rsidR="05AF7666" w:rsidRPr="1706C59B">
        <w:rPr>
          <w:rFonts w:ascii="Aptos" w:eastAsia="Aptos" w:hAnsi="Aptos" w:cs="Aptos"/>
        </w:rPr>
        <w:t xml:space="preserve"> Doprinos k uresničevanju strategije lahko prispevajo tudi gospodarstveniki, nevladne organizacije, akterji javnega življenja in </w:t>
      </w:r>
      <w:r w:rsidR="305E24C5" w:rsidRPr="1706C59B">
        <w:rPr>
          <w:rFonts w:ascii="Aptos" w:eastAsia="Aptos" w:hAnsi="Aptos" w:cs="Aptos"/>
        </w:rPr>
        <w:t xml:space="preserve">drugi </w:t>
      </w:r>
      <w:r w:rsidR="05AF7666" w:rsidRPr="1706C59B">
        <w:rPr>
          <w:rFonts w:ascii="Aptos" w:eastAsia="Aptos" w:hAnsi="Aptos" w:cs="Aptos"/>
        </w:rPr>
        <w:t xml:space="preserve">nosilci razvoja ter </w:t>
      </w:r>
      <w:r w:rsidR="0D489EAA" w:rsidRPr="1706C59B">
        <w:rPr>
          <w:rFonts w:ascii="Aptos" w:eastAsia="Aptos" w:hAnsi="Aptos" w:cs="Aptos"/>
        </w:rPr>
        <w:t xml:space="preserve">nenazadnje </w:t>
      </w:r>
      <w:r w:rsidR="05AF7666" w:rsidRPr="1706C59B">
        <w:rPr>
          <w:rFonts w:ascii="Aptos" w:eastAsia="Aptos" w:hAnsi="Aptos" w:cs="Aptos"/>
        </w:rPr>
        <w:t>vsi občani.</w:t>
      </w:r>
      <w:r w:rsidR="6AAB1884" w:rsidRPr="1706C59B">
        <w:rPr>
          <w:rFonts w:ascii="Aptos" w:eastAsia="Aptos" w:hAnsi="Aptos" w:cs="Aptos"/>
        </w:rPr>
        <w:t xml:space="preserve"> Le tako bo Mestna občina Nova Gorica svojo prihodnost gradila kot skupnost, ki živi brezmejno</w:t>
      </w:r>
      <w:r w:rsidR="6AAB1884" w:rsidRPr="008465CE">
        <w:rPr>
          <w:rFonts w:ascii="Aptos" w:eastAsia="Aptos" w:hAnsi="Aptos" w:cs="Aptos"/>
          <w:highlight w:val="yellow"/>
        </w:rPr>
        <w:t>.</w:t>
      </w:r>
    </w:p>
    <w:p w14:paraId="75459DEC" w14:textId="637D423A" w:rsidR="00152C8C" w:rsidRDefault="00626267" w:rsidP="29A8477B">
      <w:r>
        <w:br w:type="page"/>
      </w:r>
    </w:p>
    <w:p w14:paraId="550C19C1" w14:textId="3E08A1DA" w:rsidR="003F3063" w:rsidRPr="003F3063" w:rsidRDefault="110F542D" w:rsidP="53799B04">
      <w:pPr>
        <w:pStyle w:val="Naslov1"/>
      </w:pPr>
      <w:bookmarkStart w:id="67" w:name="_Toc506497034"/>
      <w:bookmarkStart w:id="68" w:name="_Toc1470288531"/>
      <w:bookmarkStart w:id="69" w:name="_Toc239414915"/>
      <w:r>
        <w:lastRenderedPageBreak/>
        <w:t>PRILOGE</w:t>
      </w:r>
      <w:bookmarkEnd w:id="67"/>
      <w:bookmarkEnd w:id="68"/>
      <w:bookmarkEnd w:id="69"/>
    </w:p>
    <w:p w14:paraId="5E9D7AAB" w14:textId="65D229A1" w:rsidR="3C62BDE3" w:rsidRDefault="110F542D" w:rsidP="1706C59B">
      <w:pPr>
        <w:rPr>
          <w:rStyle w:val="Naslov2Znak"/>
        </w:rPr>
      </w:pPr>
      <w:bookmarkStart w:id="70" w:name="_Toc1779773420"/>
      <w:bookmarkStart w:id="71" w:name="_Toc1009971614"/>
      <w:bookmarkStart w:id="72" w:name="_Toc239414916"/>
      <w:r w:rsidRPr="1706C59B">
        <w:rPr>
          <w:rStyle w:val="Naslov2Znak"/>
        </w:rPr>
        <w:t>Priloga 1:</w:t>
      </w:r>
      <w:bookmarkEnd w:id="70"/>
      <w:bookmarkEnd w:id="71"/>
      <w:r w:rsidRPr="1706C59B">
        <w:rPr>
          <w:rStyle w:val="Naslov2Znak"/>
        </w:rPr>
        <w:t xml:space="preserve"> </w:t>
      </w:r>
      <w:r w:rsidR="668DF51E" w:rsidRPr="1706C59B">
        <w:rPr>
          <w:rStyle w:val="Naslov2Znak"/>
        </w:rPr>
        <w:t>Pregled investicijskih izdatkov</w:t>
      </w:r>
      <w:r w:rsidR="553BD8D5" w:rsidRPr="1706C59B">
        <w:rPr>
          <w:rStyle w:val="Naslov2Znak"/>
        </w:rPr>
        <w:t xml:space="preserve"> v letih 2020</w:t>
      </w:r>
      <w:r w:rsidR="3A58DE17" w:rsidRPr="1706C59B">
        <w:rPr>
          <w:rStyle w:val="Naslov2Znak"/>
        </w:rPr>
        <w:t xml:space="preserve"> – </w:t>
      </w:r>
      <w:r w:rsidR="553BD8D5" w:rsidRPr="1706C59B">
        <w:rPr>
          <w:rStyle w:val="Naslov2Znak"/>
        </w:rPr>
        <w:t>2025</w:t>
      </w:r>
      <w:bookmarkEnd w:id="72"/>
    </w:p>
    <w:p w14:paraId="3B9EE5D1" w14:textId="77777777" w:rsidR="000B0DD1" w:rsidRDefault="000B0DD1" w:rsidP="000B0DD1">
      <w:pPr>
        <w:jc w:val="both"/>
      </w:pPr>
      <w:r>
        <w:t>V spodnjem grafikonu so investicijski izdatki združeni v deset vsebinskih kategorij, ki omogočajo lažji pregled razvojnih usmeritev in gibanja investicijskih vlaganj Mestne občine Nova Gorica v obdobju 2020–2025. Posamezne kategorije združujejo sorodne programske klasifikacije in prikazujejo investicije po ključnih področjih delovanja občine. Kategorija</w:t>
      </w:r>
      <w:r w:rsidRPr="1706C59B">
        <w:rPr>
          <w:b/>
          <w:bCs/>
        </w:rPr>
        <w:t xml:space="preserve"> Splošno</w:t>
      </w:r>
      <w:r>
        <w:t xml:space="preserve"> zajema področja političnega sistema, ekonomske in fiskalne administracije, zunanje politike in mednarodnega sodelovanja, skupnih administrativnih služb ter lokalne samouprave. Kategorija </w:t>
      </w:r>
      <w:r w:rsidRPr="000B0DD1">
        <w:rPr>
          <w:b/>
          <w:bCs/>
        </w:rPr>
        <w:t>Izredni dogodki, obramba in varnost</w:t>
      </w:r>
      <w:r>
        <w:t xml:space="preserve"> vključuje vlaganja v zaščito in reševanje, prometno varnost ter intervencijske programe. Kategorija </w:t>
      </w:r>
      <w:r w:rsidRPr="000B0DD1">
        <w:rPr>
          <w:b/>
          <w:bCs/>
        </w:rPr>
        <w:t>Gospodarstvo</w:t>
      </w:r>
      <w:r>
        <w:t xml:space="preserve"> obsega investicije v kmetijstvo, razvoj podeželja, gozdarstvo, podjetništvo in turizem, medtem ko kategorija </w:t>
      </w:r>
      <w:r w:rsidRPr="000B0DD1">
        <w:rPr>
          <w:b/>
          <w:bCs/>
        </w:rPr>
        <w:t>Energetika</w:t>
      </w:r>
      <w:r>
        <w:t xml:space="preserve"> prikazuje vlaganja v energetsko infrastrukturo ter obnovljive vire energije. Kategorija </w:t>
      </w:r>
      <w:r w:rsidRPr="000B0DD1">
        <w:rPr>
          <w:b/>
          <w:bCs/>
        </w:rPr>
        <w:t>Promet</w:t>
      </w:r>
      <w:r>
        <w:t xml:space="preserve"> zajema investicije v prometno infrastrukturo in mobilnost, kategorija </w:t>
      </w:r>
      <w:r w:rsidRPr="000B0DD1">
        <w:rPr>
          <w:b/>
          <w:bCs/>
        </w:rPr>
        <w:t>Okolje in prostorsko načrtovanje</w:t>
      </w:r>
      <w:r>
        <w:t xml:space="preserve"> pa vlaganja v komunalno infrastrukturo, varstvo okolja in urejanje prostora. </w:t>
      </w:r>
      <w:r w:rsidRPr="000B0DD1">
        <w:rPr>
          <w:b/>
          <w:bCs/>
        </w:rPr>
        <w:t>Kategorija Zdravje in sociala</w:t>
      </w:r>
      <w:r>
        <w:t xml:space="preserve"> vključuje investicije v zdravstveno in socialno infrastrukturo, kategoriji </w:t>
      </w:r>
      <w:r w:rsidRPr="000B0DD1">
        <w:rPr>
          <w:b/>
          <w:bCs/>
        </w:rPr>
        <w:t>Kultura in nevladne organizacije</w:t>
      </w:r>
      <w:r>
        <w:t xml:space="preserve"> ter </w:t>
      </w:r>
      <w:r w:rsidRPr="000B0DD1">
        <w:rPr>
          <w:b/>
          <w:bCs/>
        </w:rPr>
        <w:t>Šport</w:t>
      </w:r>
      <w:r>
        <w:t xml:space="preserve"> prikazujeta vlaganja v kulturne, družbene in športne dejavnosti ter pripadajočo infrastrukturo, kategorija </w:t>
      </w:r>
      <w:r w:rsidRPr="1706C59B">
        <w:rPr>
          <w:b/>
          <w:bCs/>
        </w:rPr>
        <w:t>Izobraževanje</w:t>
      </w:r>
      <w:r>
        <w:t xml:space="preserve"> pa zajema investicije v vrtce, šole in druge vzgojno-izobraževalne ustanove.</w:t>
      </w:r>
    </w:p>
    <w:p w14:paraId="59E3630F" w14:textId="77777777" w:rsidR="000B0DD1" w:rsidRDefault="000B0DD1" w:rsidP="000B0DD1">
      <w:r>
        <w:rPr>
          <w:noProof/>
        </w:rPr>
        <w:drawing>
          <wp:anchor distT="0" distB="0" distL="114300" distR="114300" simplePos="0" relativeHeight="251659264" behindDoc="0" locked="0" layoutInCell="1" allowOverlap="1" wp14:anchorId="09B3AD3F" wp14:editId="4D09F6D8">
            <wp:simplePos x="0" y="0"/>
            <wp:positionH relativeFrom="column">
              <wp:posOffset>-228600</wp:posOffset>
            </wp:positionH>
            <wp:positionV relativeFrom="paragraph">
              <wp:posOffset>114300</wp:posOffset>
            </wp:positionV>
            <wp:extent cx="6629740" cy="2935948"/>
            <wp:effectExtent l="0" t="0" r="0" b="0"/>
            <wp:wrapNone/>
            <wp:docPr id="143182504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825046" name="Picture 1431825046"/>
                    <pic:cNvPicPr/>
                  </pic:nvPicPr>
                  <pic:blipFill>
                    <a:blip r:embed="rId17">
                      <a:extLst>
                        <a:ext uri="{28A0092B-C50C-407E-A947-70E740481C1C}">
                          <a14:useLocalDpi xmlns:a14="http://schemas.microsoft.com/office/drawing/2010/main"/>
                        </a:ext>
                      </a:extLst>
                    </a:blip>
                    <a:srcRect l="2022" t="8351" r="1400" b="7032"/>
                    <a:stretch>
                      <a:fillRect/>
                    </a:stretch>
                  </pic:blipFill>
                  <pic:spPr>
                    <a:xfrm>
                      <a:off x="0" y="0"/>
                      <a:ext cx="6629740" cy="2935948"/>
                    </a:xfrm>
                    <a:prstGeom prst="rect">
                      <a:avLst/>
                    </a:prstGeom>
                  </pic:spPr>
                </pic:pic>
              </a:graphicData>
            </a:graphic>
            <wp14:sizeRelH relativeFrom="page">
              <wp14:pctWidth>0</wp14:pctWidth>
            </wp14:sizeRelH>
            <wp14:sizeRelV relativeFrom="page">
              <wp14:pctHeight>0</wp14:pctHeight>
            </wp14:sizeRelV>
          </wp:anchor>
        </w:drawing>
      </w:r>
    </w:p>
    <w:p w14:paraId="035C1204" w14:textId="77777777" w:rsidR="000B0DD1" w:rsidRDefault="000B0DD1" w:rsidP="000B0DD1"/>
    <w:p w14:paraId="7E2BD594" w14:textId="77777777" w:rsidR="000B0DD1" w:rsidRDefault="000B0DD1" w:rsidP="000B0DD1"/>
    <w:p w14:paraId="72AD7C75" w14:textId="77777777" w:rsidR="000B0DD1" w:rsidRDefault="000B0DD1" w:rsidP="000B0DD1"/>
    <w:p w14:paraId="048C91B7" w14:textId="77777777" w:rsidR="000B0DD1" w:rsidRDefault="000B0DD1" w:rsidP="000B0DD1"/>
    <w:p w14:paraId="1FBEBAAD" w14:textId="77777777" w:rsidR="000B0DD1" w:rsidRDefault="000B0DD1" w:rsidP="000B0DD1"/>
    <w:p w14:paraId="730C443A" w14:textId="77777777" w:rsidR="000B0DD1" w:rsidRDefault="000B0DD1" w:rsidP="000B0DD1"/>
    <w:p w14:paraId="38A26CEB" w14:textId="77777777" w:rsidR="000B0DD1" w:rsidRDefault="000B0DD1" w:rsidP="000B0DD1"/>
    <w:p w14:paraId="4A3932FC" w14:textId="77777777" w:rsidR="000B0DD1" w:rsidRDefault="000B0DD1" w:rsidP="000B0DD1"/>
    <w:p w14:paraId="0F65CF8E" w14:textId="77777777" w:rsidR="000B0DD1" w:rsidRDefault="000B0DD1" w:rsidP="000B0DD1"/>
    <w:p w14:paraId="36CA46B0" w14:textId="77777777" w:rsidR="000B0DD1" w:rsidRDefault="000B0DD1" w:rsidP="000B0DD1"/>
    <w:p w14:paraId="09069EA4" w14:textId="77777777" w:rsidR="000B0DD1" w:rsidRDefault="000B0DD1" w:rsidP="000B0DD1">
      <w:r w:rsidRPr="1706C59B">
        <w:rPr>
          <w:b/>
          <w:bCs/>
        </w:rPr>
        <w:t>Interpretacija grafikona:</w:t>
      </w:r>
    </w:p>
    <w:p w14:paraId="5E009EBE" w14:textId="77777777" w:rsidR="000B0DD1" w:rsidRDefault="000B0DD1" w:rsidP="000B0DD1">
      <w:pPr>
        <w:jc w:val="both"/>
      </w:pPr>
      <w:r>
        <w:t>V obdobju 2020–2025 je Mestna občina Nova Gorica postopno povečevala obseg investicijskih vlaganj. Skupni investicijski izdatki so se povečali z 10,7 milijona evrov v letu 2020 na 23,3 milijona evrov v letu 2025. Investicijska aktivnost je bila usmerjena predvsem v razvoj javne infrastrukture, izboljševanje kakovosti bivanja ter krepitev javnih storitev na različnih področjih.</w:t>
      </w:r>
    </w:p>
    <w:p w14:paraId="58D6BC75" w14:textId="77777777" w:rsidR="000B0DD1" w:rsidRDefault="000B0DD1" w:rsidP="000B0DD1">
      <w:pPr>
        <w:jc w:val="both"/>
      </w:pPr>
      <w:r>
        <w:t xml:space="preserve">Največji delež sredstev je bil v celotnem obdobju namenjen okolju in prostorskemu načrtovanju. To področje vključuje predvsem vlaganja v komunalno infrastrukturo, oskrbo z vodo, odvajanje in čiščenje </w:t>
      </w:r>
      <w:r>
        <w:lastRenderedPageBreak/>
        <w:t>odpadnih voda, ravnanje z odpadki ter urejanje prostora. Posebej izstopa leto 2023, ko so investicije na tem področju dosegle najvišjo raven v analiziranem obdobju.</w:t>
      </w:r>
    </w:p>
    <w:p w14:paraId="4108C1C0" w14:textId="77777777" w:rsidR="000B0DD1" w:rsidRDefault="000B0DD1" w:rsidP="000B0DD1">
      <w:pPr>
        <w:jc w:val="both"/>
      </w:pPr>
      <w:r>
        <w:t>Pomemben del investicijskih sredstev je bil namenjen tudi prometni infrastrukturi, zlasti gradnji in obnovi občinskih cest, prometnim ureditvam ter javni razsvetljavi. Vlaganja so bila najintenzivnejša v letu 2023, ko je bilo izvedenih več večjih infrastrukturnih projektov.</w:t>
      </w:r>
    </w:p>
    <w:p w14:paraId="07FDB626" w14:textId="77777777" w:rsidR="000B0DD1" w:rsidRDefault="000B0DD1" w:rsidP="000B0DD1">
      <w:pPr>
        <w:jc w:val="both"/>
      </w:pPr>
      <w:r>
        <w:t>Po letu 2023 je opazen izrazit porast investicij na področju zdravstva in sociale, predvsem zaradi večjih vlaganj v zdravstveno infrastrukturo. Najvišjo vrednost so investicije na tem področju dosegle v letu 2024, ko je bila izgradnja prizidka Zdravstvenega doma Nova Gorica ena najpomembnejših občinskih investicij v zadnjih letih.</w:t>
      </w:r>
    </w:p>
    <w:p w14:paraId="2B4189A7" w14:textId="77777777" w:rsidR="000B0DD1" w:rsidRDefault="000B0DD1" w:rsidP="000B0DD1">
      <w:pPr>
        <w:jc w:val="both"/>
      </w:pPr>
      <w:r>
        <w:t>V zadnjih letih se je močno povečal tudi obseg vlaganj na področju kulture in nevladnih organizacij, ki je leta 2025 dosegel najvišjo vrednost v celotnem analiziranem obdobju. Povečanje je povezano predvsem z investicijskim ciklom Evropske prestolnice kulture GO! 2025 ter izvedbo večjih projektov na področju kulturne infrastrukture. Učinki teh investicij presegajo zgolj kulturno področje, saj prispevajo tudi k prenovi javnega prostora, večji privlačnosti mesta, razvoju turizma, mednarodni prepoznavnosti ter ustvarjanju pogojev za delovanje kulturnih dejavnosti in organizacij civilne družbe.</w:t>
      </w:r>
    </w:p>
    <w:p w14:paraId="0C4A87D7" w14:textId="77777777" w:rsidR="000B0DD1" w:rsidRDefault="000B0DD1" w:rsidP="000B0DD1">
      <w:pPr>
        <w:jc w:val="both"/>
      </w:pPr>
      <w:r>
        <w:t>Področji športa in izobraževanja kažeta nekoliko bolj neenakomerno investicijsko dinamiko, saj je obseg vlaganj odvisen predvsem od časovnega izvajanja posameznih večjih projektov. Kljub temu obe področji ostajata pomemben del razvojnih vlaganj občine, saj prispevata k izboljševanju pogojev za vzgojo in izobraževanje, šport, rekreacijo ter kakovostno preživljanje prostega časa občanov.</w:t>
      </w:r>
    </w:p>
    <w:p w14:paraId="2249F11D" w14:textId="77777777" w:rsidR="000B0DD1" w:rsidRDefault="000B0DD1" w:rsidP="000B0DD1">
      <w:pPr>
        <w:jc w:val="both"/>
      </w:pPr>
      <w:r>
        <w:t>Investicije na področjih gospodarstva, energetike, splošnih dejavnosti občine ter izrednih dogodkov, obrambe in varnosti predstavljajo manjši, vendar pomemben del investicijskega portfelja. Prispevajo k uravnoteženemu razvoju lokalnega okolja, podpori gospodarskim dejavnostim, učinkovitejši rabi energije ter zagotavljanju varnega in učinkovitega delovanja občine.</w:t>
      </w:r>
    </w:p>
    <w:p w14:paraId="283366DE" w14:textId="77777777" w:rsidR="004242E3" w:rsidRDefault="004242E3"/>
    <w:p w14:paraId="0BEF69D2" w14:textId="77777777" w:rsidR="004242E3" w:rsidRDefault="004242E3"/>
    <w:p w14:paraId="395B9BE5" w14:textId="77777777" w:rsidR="004242E3" w:rsidRDefault="004242E3"/>
    <w:p w14:paraId="79659F2C" w14:textId="77777777" w:rsidR="004242E3" w:rsidRDefault="004242E3"/>
    <w:p w14:paraId="070BD1A6" w14:textId="77777777" w:rsidR="004242E3" w:rsidRDefault="004242E3"/>
    <w:p w14:paraId="6651AB0C" w14:textId="5AF67802" w:rsidR="00983F59" w:rsidRDefault="29A8477B" w:rsidP="00983F59">
      <w:r>
        <w:br w:type="page"/>
      </w:r>
      <w:bookmarkStart w:id="73" w:name="_Toc1704245883"/>
      <w:bookmarkStart w:id="74" w:name="_Toc1948304748"/>
    </w:p>
    <w:p w14:paraId="469D53E3" w14:textId="5B73906D" w:rsidR="3C62BDE3" w:rsidRDefault="110F542D" w:rsidP="53799B04">
      <w:pPr>
        <w:pStyle w:val="Naslov2"/>
      </w:pPr>
      <w:bookmarkStart w:id="75" w:name="_Toc239414917"/>
      <w:r>
        <w:lastRenderedPageBreak/>
        <w:t>Priloga 2:</w:t>
      </w:r>
      <w:r w:rsidR="08209FD6">
        <w:t xml:space="preserve"> Podrobnejša opredelitev strateški</w:t>
      </w:r>
      <w:r w:rsidR="00052C03">
        <w:t>h</w:t>
      </w:r>
      <w:r w:rsidR="08209FD6">
        <w:t xml:space="preserve"> kazalnikov</w:t>
      </w:r>
      <w:bookmarkEnd w:id="73"/>
      <w:bookmarkEnd w:id="74"/>
      <w:bookmarkEnd w:id="75"/>
    </w:p>
    <w:p w14:paraId="37A15708" w14:textId="6BFF951B" w:rsidR="52403964" w:rsidRDefault="52403964" w:rsidP="29A8477B">
      <w:pPr>
        <w:spacing w:before="240" w:after="240"/>
        <w:jc w:val="both"/>
      </w:pPr>
      <w:r w:rsidRPr="29A8477B">
        <w:rPr>
          <w:rFonts w:ascii="Aptos" w:eastAsia="Aptos" w:hAnsi="Aptos" w:cs="Aptos"/>
        </w:rPr>
        <w:t>Priloga podrobneje metodološko opredeljuje strateške kazalnike, predstavljene pri posameznih razvojnih stebrih. Za vsak kazalnik določa povezavo s ciljem, opis, izhodiščno vrednost oziroma način njene določitve, enoto mere, predvideni vir podatkov, želeno smer gibanja in pogostost spremljanja.</w:t>
      </w:r>
    </w:p>
    <w:p w14:paraId="39D39DD2" w14:textId="058B5F89" w:rsidR="52403964" w:rsidRDefault="52403964" w:rsidP="29A8477B">
      <w:pPr>
        <w:spacing w:before="240" w:after="240"/>
        <w:jc w:val="both"/>
      </w:pPr>
      <w:r w:rsidRPr="29A8477B">
        <w:rPr>
          <w:rFonts w:ascii="Aptos" w:eastAsia="Aptos" w:hAnsi="Aptos" w:cs="Aptos"/>
        </w:rPr>
        <w:t xml:space="preserve">Strategija razvoja MONG 2045 je krovni razvojni dokument in ne nadomešča veljavnih sektorskih strategij, programov in drugih izvedbenih dokumentov. Ti se še naprej izvajajo in spremljajo v skladu s svojimi cilji, kazalniki in časovnimi okviri. Kadar je strateški kazalnik vsebinsko povezan s kazalnikom sektorske strategije, se praviloma uporabi že vzpostavljeni vir podatkov in način spremljanja, če sta ustrezna. Tako se preprečujeta podvajanje zbiranja podatkov in vzpostavljanje različnih vrednosti za isto razvojno vprašanje. Pregled upoštevanih strateških dokumentov in strokovnih podlag je prikazan v Prilogi 3. </w:t>
      </w:r>
    </w:p>
    <w:p w14:paraId="6032ADE6" w14:textId="7DCD0DA7" w:rsidR="52403964" w:rsidRDefault="52403964" w:rsidP="29A8477B">
      <w:pPr>
        <w:spacing w:before="240" w:after="240"/>
        <w:jc w:val="both"/>
      </w:pPr>
      <w:r w:rsidRPr="29A8477B">
        <w:rPr>
          <w:rFonts w:ascii="Aptos" w:eastAsia="Aptos" w:hAnsi="Aptos" w:cs="Aptos"/>
        </w:rPr>
        <w:t>Pri kazalnikih, za katere obstajajo uradni in primerljivi podatki, se kot izhodišče uporabi zadnja razpoložljiva vrednost za zaključeno leto oziroma drugo jasno opredeljeno primerljivo obdobje. Kadar enotna evidenca še ni vzpostavljena, se izhodišče določi s prvo standardizirano meritvijo, popisom, anketo ali prostorsko analizo. Ob tem se določijo način izračuna, območje spremljanja in nosilec zbiranja podatkov, da se zagotovi primerljivost rezultatov skozi čas.</w:t>
      </w:r>
    </w:p>
    <w:p w14:paraId="62BA0E6D" w14:textId="3A44B688" w:rsidR="52403964" w:rsidRDefault="52403964" w:rsidP="29A8477B">
      <w:pPr>
        <w:spacing w:before="240" w:after="240"/>
        <w:jc w:val="both"/>
        <w:rPr>
          <w:rFonts w:ascii="Aptos" w:eastAsia="Aptos" w:hAnsi="Aptos" w:cs="Aptos"/>
        </w:rPr>
      </w:pPr>
      <w:r w:rsidRPr="29A8477B">
        <w:rPr>
          <w:rFonts w:ascii="Aptos" w:eastAsia="Aptos" w:hAnsi="Aptos" w:cs="Aptos"/>
        </w:rPr>
        <w:t>Strateški kazalniki predstavljajo krovni okvir za dolgoročno spremljanje strategije. V akcijskih načrtih se lahko glede na izbrane ukrepe, sektorske sisteme spremljanja, razpoložljivost podatkov in razvoj metodologij podrobneje razčlenijo, dopolnijo ali ustrezno prilagodijo, pri čemer se ohranita povezava s strateškimi cilji in možnost spremljanja dolgoročnega napredka. Ciljne vrednosti, izvedbeni kazalniki, odgovorni nosilci, roki in finančni viri se določijo v akcijskih načrtih oziroma drugih izvedbenih dokumentih.</w:t>
      </w:r>
    </w:p>
    <w:p w14:paraId="242E1E65" w14:textId="77777777" w:rsidR="003024E7" w:rsidRDefault="003024E7" w:rsidP="29A8477B">
      <w:pPr>
        <w:spacing w:before="240" w:after="240"/>
        <w:jc w:val="both"/>
        <w:rPr>
          <w:rFonts w:ascii="Aptos" w:eastAsia="Aptos" w:hAnsi="Aptos" w:cs="Aptos"/>
        </w:rPr>
      </w:pPr>
    </w:p>
    <w:p w14:paraId="55CA5AEB" w14:textId="77777777" w:rsidR="003024E7" w:rsidRDefault="003024E7" w:rsidP="29A8477B">
      <w:pPr>
        <w:spacing w:before="240" w:after="240"/>
        <w:jc w:val="both"/>
        <w:rPr>
          <w:rFonts w:ascii="Aptos" w:eastAsia="Aptos" w:hAnsi="Aptos" w:cs="Aptos"/>
        </w:rPr>
      </w:pPr>
    </w:p>
    <w:p w14:paraId="398178B7" w14:textId="77777777" w:rsidR="003024E7" w:rsidRDefault="003024E7" w:rsidP="29A8477B">
      <w:pPr>
        <w:spacing w:before="240" w:after="240"/>
        <w:jc w:val="both"/>
        <w:rPr>
          <w:rFonts w:ascii="Aptos" w:eastAsia="Aptos" w:hAnsi="Aptos" w:cs="Aptos"/>
        </w:rPr>
      </w:pPr>
    </w:p>
    <w:p w14:paraId="680A54AB" w14:textId="77777777" w:rsidR="003024E7" w:rsidRDefault="003024E7" w:rsidP="29A8477B">
      <w:pPr>
        <w:spacing w:before="240" w:after="240"/>
        <w:jc w:val="both"/>
        <w:rPr>
          <w:rFonts w:ascii="Aptos" w:eastAsia="Aptos" w:hAnsi="Aptos" w:cs="Aptos"/>
        </w:rPr>
      </w:pPr>
    </w:p>
    <w:p w14:paraId="7C4AD44C" w14:textId="77777777" w:rsidR="003024E7" w:rsidRDefault="003024E7" w:rsidP="29A8477B">
      <w:pPr>
        <w:spacing w:before="240" w:after="240"/>
        <w:jc w:val="both"/>
      </w:pPr>
    </w:p>
    <w:p w14:paraId="69111458" w14:textId="77777777" w:rsidR="003024E7" w:rsidRDefault="003024E7" w:rsidP="29A8477B">
      <w:pPr>
        <w:jc w:val="both"/>
        <w:sectPr w:rsidR="003024E7" w:rsidSect="00990235">
          <w:headerReference w:type="default" r:id="rId18"/>
          <w:footerReference w:type="default" r:id="rId19"/>
          <w:footerReference w:type="first" r:id="rId20"/>
          <w:pgSz w:w="11906" w:h="16838"/>
          <w:pgMar w:top="1247" w:right="1134" w:bottom="1247" w:left="1134" w:header="794" w:footer="340" w:gutter="0"/>
          <w:pgNumType w:start="0"/>
          <w:cols w:space="708"/>
          <w:titlePg/>
          <w:docGrid w:linePitch="360"/>
        </w:sectPr>
      </w:pPr>
    </w:p>
    <w:tbl>
      <w:tblPr>
        <w:tblStyle w:val="Tabelamrea"/>
        <w:tblpPr w:leftFromText="141" w:rightFromText="141" w:vertAnchor="text" w:tblpY="1"/>
        <w:tblOverlap w:val="never"/>
        <w:tblW w:w="14324" w:type="dxa"/>
        <w:tblLook w:val="04A0" w:firstRow="1" w:lastRow="0" w:firstColumn="1" w:lastColumn="0" w:noHBand="0" w:noVBand="1"/>
      </w:tblPr>
      <w:tblGrid>
        <w:gridCol w:w="1763"/>
        <w:gridCol w:w="868"/>
        <w:gridCol w:w="2169"/>
        <w:gridCol w:w="2041"/>
        <w:gridCol w:w="2105"/>
        <w:gridCol w:w="2105"/>
        <w:gridCol w:w="2105"/>
        <w:gridCol w:w="1168"/>
      </w:tblGrid>
      <w:tr w:rsidR="29A8477B" w:rsidRPr="00156204" w14:paraId="65A816B1" w14:textId="77777777" w:rsidTr="00624BCD">
        <w:trPr>
          <w:trHeight w:val="300"/>
          <w:tblHeader/>
        </w:trPr>
        <w:tc>
          <w:tcPr>
            <w:tcW w:w="1763" w:type="dxa"/>
            <w:tcBorders>
              <w:top w:val="single" w:sz="8" w:space="0" w:color="auto"/>
              <w:left w:val="single" w:sz="8" w:space="0" w:color="auto"/>
              <w:bottom w:val="single" w:sz="8" w:space="0" w:color="auto"/>
              <w:right w:val="single" w:sz="8" w:space="0" w:color="auto"/>
            </w:tcBorders>
            <w:shd w:val="clear" w:color="auto" w:fill="C1E4F5" w:themeFill="accent1" w:themeFillTint="33"/>
            <w:tcMar>
              <w:top w:w="60" w:type="dxa"/>
              <w:left w:w="65" w:type="dxa"/>
              <w:bottom w:w="60" w:type="dxa"/>
              <w:right w:w="65" w:type="dxa"/>
            </w:tcMar>
            <w:vAlign w:val="center"/>
          </w:tcPr>
          <w:p w14:paraId="44A75F04" w14:textId="72E2B51D" w:rsidR="29A8477B" w:rsidRPr="00156204" w:rsidRDefault="29A8477B" w:rsidP="00624BCD">
            <w:pPr>
              <w:jc w:val="center"/>
              <w:rPr>
                <w:sz w:val="18"/>
                <w:szCs w:val="18"/>
              </w:rPr>
            </w:pPr>
            <w:r w:rsidRPr="00156204">
              <w:rPr>
                <w:rFonts w:eastAsia="Aptos" w:cs="Aptos"/>
                <w:b/>
                <w:bCs/>
                <w:color w:val="000000" w:themeColor="text1"/>
                <w:sz w:val="18"/>
                <w:szCs w:val="18"/>
              </w:rPr>
              <w:lastRenderedPageBreak/>
              <w:t>Strateški kazalnik</w:t>
            </w:r>
          </w:p>
        </w:tc>
        <w:tc>
          <w:tcPr>
            <w:tcW w:w="868" w:type="dxa"/>
            <w:tcBorders>
              <w:top w:val="single" w:sz="8" w:space="0" w:color="auto"/>
              <w:left w:val="single" w:sz="8" w:space="0" w:color="auto"/>
              <w:bottom w:val="single" w:sz="8" w:space="0" w:color="auto"/>
              <w:right w:val="single" w:sz="8" w:space="0" w:color="auto"/>
            </w:tcBorders>
            <w:shd w:val="clear" w:color="auto" w:fill="C1E4F5" w:themeFill="accent1" w:themeFillTint="33"/>
            <w:tcMar>
              <w:top w:w="60" w:type="dxa"/>
              <w:left w:w="65" w:type="dxa"/>
              <w:bottom w:w="60" w:type="dxa"/>
              <w:right w:w="65" w:type="dxa"/>
            </w:tcMar>
            <w:vAlign w:val="center"/>
          </w:tcPr>
          <w:p w14:paraId="0F35EDC7" w14:textId="4998FA61" w:rsidR="29A8477B" w:rsidRPr="00156204" w:rsidRDefault="29A8477B" w:rsidP="00624BCD">
            <w:pPr>
              <w:jc w:val="center"/>
              <w:rPr>
                <w:sz w:val="18"/>
                <w:szCs w:val="18"/>
              </w:rPr>
            </w:pPr>
            <w:r w:rsidRPr="00156204">
              <w:rPr>
                <w:rFonts w:eastAsia="Aptos" w:cs="Aptos"/>
                <w:b/>
                <w:bCs/>
                <w:color w:val="000000" w:themeColor="text1"/>
                <w:sz w:val="18"/>
                <w:szCs w:val="18"/>
              </w:rPr>
              <w:t>Cilj</w:t>
            </w:r>
          </w:p>
        </w:tc>
        <w:tc>
          <w:tcPr>
            <w:tcW w:w="2169" w:type="dxa"/>
            <w:tcBorders>
              <w:top w:val="single" w:sz="8" w:space="0" w:color="auto"/>
              <w:left w:val="single" w:sz="8" w:space="0" w:color="auto"/>
              <w:bottom w:val="single" w:sz="8" w:space="0" w:color="auto"/>
              <w:right w:val="single" w:sz="8" w:space="0" w:color="auto"/>
            </w:tcBorders>
            <w:shd w:val="clear" w:color="auto" w:fill="C1E4F5" w:themeFill="accent1" w:themeFillTint="33"/>
            <w:tcMar>
              <w:top w:w="60" w:type="dxa"/>
              <w:left w:w="65" w:type="dxa"/>
              <w:bottom w:w="60" w:type="dxa"/>
              <w:right w:w="65" w:type="dxa"/>
            </w:tcMar>
            <w:vAlign w:val="center"/>
          </w:tcPr>
          <w:p w14:paraId="568B15BD" w14:textId="68B11F88" w:rsidR="29A8477B" w:rsidRPr="00156204" w:rsidRDefault="29A8477B" w:rsidP="00624BCD">
            <w:pPr>
              <w:jc w:val="center"/>
              <w:rPr>
                <w:sz w:val="18"/>
                <w:szCs w:val="18"/>
              </w:rPr>
            </w:pPr>
            <w:r w:rsidRPr="00156204">
              <w:rPr>
                <w:rFonts w:eastAsia="Aptos" w:cs="Aptos"/>
                <w:b/>
                <w:bCs/>
                <w:color w:val="000000" w:themeColor="text1"/>
                <w:sz w:val="18"/>
                <w:szCs w:val="18"/>
              </w:rPr>
              <w:t>Opis</w:t>
            </w:r>
          </w:p>
        </w:tc>
        <w:tc>
          <w:tcPr>
            <w:tcW w:w="2041" w:type="dxa"/>
            <w:tcBorders>
              <w:top w:val="single" w:sz="8" w:space="0" w:color="auto"/>
              <w:left w:val="single" w:sz="8" w:space="0" w:color="auto"/>
              <w:bottom w:val="single" w:sz="8" w:space="0" w:color="auto"/>
              <w:right w:val="single" w:sz="8" w:space="0" w:color="auto"/>
            </w:tcBorders>
            <w:shd w:val="clear" w:color="auto" w:fill="C1E4F5" w:themeFill="accent1" w:themeFillTint="33"/>
            <w:tcMar>
              <w:top w:w="60" w:type="dxa"/>
              <w:left w:w="65" w:type="dxa"/>
              <w:bottom w:w="60" w:type="dxa"/>
              <w:right w:w="65" w:type="dxa"/>
            </w:tcMar>
            <w:vAlign w:val="center"/>
          </w:tcPr>
          <w:p w14:paraId="0EC0D41D" w14:textId="25E69EA8" w:rsidR="29A8477B" w:rsidRPr="00156204" w:rsidRDefault="29A8477B" w:rsidP="00624BCD">
            <w:pPr>
              <w:jc w:val="center"/>
              <w:rPr>
                <w:sz w:val="18"/>
                <w:szCs w:val="18"/>
              </w:rPr>
            </w:pPr>
            <w:r w:rsidRPr="00156204">
              <w:rPr>
                <w:rFonts w:eastAsia="Aptos" w:cs="Aptos"/>
                <w:b/>
                <w:bCs/>
                <w:color w:val="000000" w:themeColor="text1"/>
                <w:sz w:val="18"/>
                <w:szCs w:val="18"/>
              </w:rPr>
              <w:t>Izhodiščna vrednost / način določitve</w:t>
            </w:r>
          </w:p>
        </w:tc>
        <w:tc>
          <w:tcPr>
            <w:tcW w:w="2105" w:type="dxa"/>
            <w:tcBorders>
              <w:top w:val="single" w:sz="8" w:space="0" w:color="auto"/>
              <w:left w:val="single" w:sz="8" w:space="0" w:color="auto"/>
              <w:bottom w:val="single" w:sz="8" w:space="0" w:color="auto"/>
              <w:right w:val="single" w:sz="8" w:space="0" w:color="auto"/>
            </w:tcBorders>
            <w:shd w:val="clear" w:color="auto" w:fill="C1E4F5" w:themeFill="accent1" w:themeFillTint="33"/>
            <w:tcMar>
              <w:top w:w="60" w:type="dxa"/>
              <w:left w:w="65" w:type="dxa"/>
              <w:bottom w:w="60" w:type="dxa"/>
              <w:right w:w="65" w:type="dxa"/>
            </w:tcMar>
            <w:vAlign w:val="center"/>
          </w:tcPr>
          <w:p w14:paraId="5DF1BA67" w14:textId="22180D09" w:rsidR="29A8477B" w:rsidRPr="00156204" w:rsidRDefault="29A8477B" w:rsidP="00624BCD">
            <w:pPr>
              <w:jc w:val="center"/>
              <w:rPr>
                <w:sz w:val="18"/>
                <w:szCs w:val="18"/>
              </w:rPr>
            </w:pPr>
            <w:r w:rsidRPr="00156204">
              <w:rPr>
                <w:rFonts w:eastAsia="Aptos" w:cs="Aptos"/>
                <w:b/>
                <w:bCs/>
                <w:color w:val="000000" w:themeColor="text1"/>
                <w:sz w:val="18"/>
                <w:szCs w:val="18"/>
              </w:rPr>
              <w:t>Enota mere</w:t>
            </w:r>
          </w:p>
        </w:tc>
        <w:tc>
          <w:tcPr>
            <w:tcW w:w="2105" w:type="dxa"/>
            <w:tcBorders>
              <w:top w:val="single" w:sz="8" w:space="0" w:color="auto"/>
              <w:left w:val="single" w:sz="8" w:space="0" w:color="auto"/>
              <w:bottom w:val="single" w:sz="8" w:space="0" w:color="auto"/>
              <w:right w:val="single" w:sz="8" w:space="0" w:color="auto"/>
            </w:tcBorders>
            <w:shd w:val="clear" w:color="auto" w:fill="C1E4F5" w:themeFill="accent1" w:themeFillTint="33"/>
            <w:tcMar>
              <w:top w:w="60" w:type="dxa"/>
              <w:left w:w="65" w:type="dxa"/>
              <w:bottom w:w="60" w:type="dxa"/>
              <w:right w:w="65" w:type="dxa"/>
            </w:tcMar>
            <w:vAlign w:val="center"/>
          </w:tcPr>
          <w:p w14:paraId="6A6F4F54" w14:textId="35CDA889" w:rsidR="29A8477B" w:rsidRPr="00156204" w:rsidRDefault="29A8477B" w:rsidP="00624BCD">
            <w:pPr>
              <w:jc w:val="center"/>
              <w:rPr>
                <w:sz w:val="18"/>
                <w:szCs w:val="18"/>
              </w:rPr>
            </w:pPr>
            <w:r w:rsidRPr="00156204">
              <w:rPr>
                <w:rFonts w:eastAsia="Aptos" w:cs="Aptos"/>
                <w:b/>
                <w:bCs/>
                <w:color w:val="000000" w:themeColor="text1"/>
                <w:sz w:val="18"/>
                <w:szCs w:val="18"/>
              </w:rPr>
              <w:t>Vir podatkov</w:t>
            </w:r>
          </w:p>
        </w:tc>
        <w:tc>
          <w:tcPr>
            <w:tcW w:w="2105" w:type="dxa"/>
            <w:tcBorders>
              <w:top w:val="single" w:sz="8" w:space="0" w:color="auto"/>
              <w:left w:val="single" w:sz="8" w:space="0" w:color="auto"/>
              <w:bottom w:val="single" w:sz="8" w:space="0" w:color="auto"/>
              <w:right w:val="single" w:sz="8" w:space="0" w:color="auto"/>
            </w:tcBorders>
            <w:shd w:val="clear" w:color="auto" w:fill="C1E4F5" w:themeFill="accent1" w:themeFillTint="33"/>
            <w:tcMar>
              <w:top w:w="60" w:type="dxa"/>
              <w:left w:w="65" w:type="dxa"/>
              <w:bottom w:w="60" w:type="dxa"/>
              <w:right w:w="65" w:type="dxa"/>
            </w:tcMar>
            <w:vAlign w:val="center"/>
          </w:tcPr>
          <w:p w14:paraId="3BCF60D4" w14:textId="62B0275E" w:rsidR="29A8477B" w:rsidRPr="00156204" w:rsidRDefault="29A8477B" w:rsidP="00624BCD">
            <w:pPr>
              <w:jc w:val="center"/>
              <w:rPr>
                <w:sz w:val="18"/>
                <w:szCs w:val="18"/>
              </w:rPr>
            </w:pPr>
            <w:r w:rsidRPr="00156204">
              <w:rPr>
                <w:rFonts w:eastAsia="Aptos" w:cs="Aptos"/>
                <w:b/>
                <w:bCs/>
                <w:color w:val="000000" w:themeColor="text1"/>
                <w:sz w:val="18"/>
                <w:szCs w:val="18"/>
              </w:rPr>
              <w:t>Želena smer</w:t>
            </w:r>
          </w:p>
        </w:tc>
        <w:tc>
          <w:tcPr>
            <w:tcW w:w="1168" w:type="dxa"/>
            <w:tcBorders>
              <w:top w:val="single" w:sz="8" w:space="0" w:color="auto"/>
              <w:left w:val="single" w:sz="8" w:space="0" w:color="auto"/>
              <w:bottom w:val="single" w:sz="8" w:space="0" w:color="auto"/>
              <w:right w:val="single" w:sz="8" w:space="0" w:color="auto"/>
            </w:tcBorders>
            <w:shd w:val="clear" w:color="auto" w:fill="C1E4F5" w:themeFill="accent1" w:themeFillTint="33"/>
            <w:tcMar>
              <w:top w:w="60" w:type="dxa"/>
              <w:left w:w="65" w:type="dxa"/>
              <w:bottom w:w="60" w:type="dxa"/>
              <w:right w:w="65" w:type="dxa"/>
            </w:tcMar>
            <w:vAlign w:val="center"/>
          </w:tcPr>
          <w:p w14:paraId="1399E6DB" w14:textId="24D12499" w:rsidR="29A8477B" w:rsidRPr="00156204" w:rsidRDefault="29A8477B" w:rsidP="00624BCD">
            <w:pPr>
              <w:jc w:val="center"/>
              <w:rPr>
                <w:sz w:val="18"/>
                <w:szCs w:val="18"/>
              </w:rPr>
            </w:pPr>
            <w:r w:rsidRPr="00156204">
              <w:rPr>
                <w:rFonts w:eastAsia="Aptos" w:cs="Aptos"/>
                <w:b/>
                <w:bCs/>
                <w:color w:val="000000" w:themeColor="text1"/>
                <w:sz w:val="18"/>
                <w:szCs w:val="18"/>
              </w:rPr>
              <w:t>Pogostost spremljanja</w:t>
            </w:r>
          </w:p>
        </w:tc>
      </w:tr>
      <w:tr w:rsidR="29A8477B" w:rsidRPr="00BE0703" w14:paraId="63E97152" w14:textId="77777777" w:rsidTr="00624BCD">
        <w:trPr>
          <w:trHeight w:val="300"/>
        </w:trPr>
        <w:tc>
          <w:tcPr>
            <w:tcW w:w="14324" w:type="dxa"/>
            <w:gridSpan w:val="8"/>
            <w:tcBorders>
              <w:top w:val="single" w:sz="8" w:space="0" w:color="auto"/>
              <w:left w:val="single" w:sz="8" w:space="0" w:color="auto"/>
              <w:bottom w:val="single" w:sz="8" w:space="0" w:color="auto"/>
              <w:right w:val="single" w:sz="8" w:space="0" w:color="auto"/>
            </w:tcBorders>
            <w:shd w:val="clear" w:color="auto" w:fill="E7E6E6"/>
            <w:tcMar>
              <w:top w:w="60" w:type="dxa"/>
              <w:left w:w="65" w:type="dxa"/>
              <w:bottom w:w="60" w:type="dxa"/>
              <w:right w:w="65" w:type="dxa"/>
            </w:tcMar>
            <w:vAlign w:val="center"/>
          </w:tcPr>
          <w:p w14:paraId="0659DF57" w14:textId="7794468F" w:rsidR="29A8477B" w:rsidRPr="00BE0703" w:rsidRDefault="29A8477B" w:rsidP="00624BCD">
            <w:pPr>
              <w:jc w:val="center"/>
              <w:rPr>
                <w:sz w:val="18"/>
                <w:szCs w:val="18"/>
              </w:rPr>
            </w:pPr>
            <w:r w:rsidRPr="00BE0703">
              <w:rPr>
                <w:rFonts w:eastAsia="Aptos" w:cs="Aptos"/>
                <w:b/>
                <w:bCs/>
                <w:color w:val="000000" w:themeColor="text1"/>
                <w:sz w:val="18"/>
                <w:szCs w:val="18"/>
                <w:lang w:val="en-US"/>
              </w:rPr>
              <w:t>A – AMBICIOZNO GOSPODARSTVO</w:t>
            </w:r>
          </w:p>
        </w:tc>
      </w:tr>
      <w:tr w:rsidR="29A8477B" w:rsidRPr="00156204" w14:paraId="751D44D9" w14:textId="77777777" w:rsidTr="00624BCD">
        <w:trPr>
          <w:trHeight w:val="300"/>
        </w:trPr>
        <w:tc>
          <w:tcPr>
            <w:tcW w:w="1763"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54D81EE3" w14:textId="5C92ADD4" w:rsidR="29A8477B" w:rsidRPr="00156204" w:rsidRDefault="29A8477B" w:rsidP="00624BCD">
            <w:pPr>
              <w:rPr>
                <w:sz w:val="18"/>
                <w:szCs w:val="18"/>
              </w:rPr>
            </w:pPr>
            <w:r w:rsidRPr="00156204">
              <w:rPr>
                <w:rFonts w:eastAsia="Aptos" w:cs="Aptos"/>
                <w:b/>
                <w:bCs/>
                <w:sz w:val="18"/>
                <w:szCs w:val="18"/>
              </w:rPr>
              <w:t>Število udeležencev v programih, povezanih z razvojnimi potrebami gospodarstva</w:t>
            </w:r>
          </w:p>
        </w:tc>
        <w:tc>
          <w:tcPr>
            <w:tcW w:w="868"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3738B0DC" w14:textId="0F2E78B4" w:rsidR="29A8477B" w:rsidRPr="00156204" w:rsidRDefault="29A8477B" w:rsidP="00624BCD">
            <w:pPr>
              <w:rPr>
                <w:sz w:val="18"/>
                <w:szCs w:val="18"/>
              </w:rPr>
            </w:pPr>
            <w:r w:rsidRPr="00156204">
              <w:rPr>
                <w:rFonts w:eastAsia="Aptos" w:cs="Aptos"/>
                <w:sz w:val="18"/>
                <w:szCs w:val="18"/>
              </w:rPr>
              <w:t>A1</w:t>
            </w:r>
          </w:p>
        </w:tc>
        <w:tc>
          <w:tcPr>
            <w:tcW w:w="2169"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5665A806" w14:textId="08D9289E" w:rsidR="29A8477B" w:rsidRPr="00156204" w:rsidRDefault="0095720A" w:rsidP="00624BCD">
            <w:pPr>
              <w:rPr>
                <w:sz w:val="18"/>
                <w:szCs w:val="18"/>
              </w:rPr>
            </w:pPr>
            <w:r w:rsidRPr="0095720A">
              <w:rPr>
                <w:rFonts w:eastAsia="Aptos" w:cs="Aptos"/>
                <w:sz w:val="18"/>
                <w:szCs w:val="18"/>
              </w:rPr>
              <w:t>Kazalnik prikazuje, ali se vzpostavlja razvojni krog med izobraževanjem, talenti in gospodarstvom. Kazalnik je posebej pomemben zaradi poudarka na znanju, raziskavah, talentih in kadrih</w:t>
            </w:r>
          </w:p>
        </w:tc>
        <w:tc>
          <w:tcPr>
            <w:tcW w:w="2041"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0549D976" w14:textId="141B16D8" w:rsidR="29A8477B" w:rsidRPr="00156204" w:rsidRDefault="29A8477B" w:rsidP="00624BCD">
            <w:pPr>
              <w:rPr>
                <w:sz w:val="18"/>
                <w:szCs w:val="18"/>
              </w:rPr>
            </w:pPr>
            <w:r w:rsidRPr="00156204">
              <w:rPr>
                <w:rFonts w:eastAsia="Aptos" w:cs="Aptos"/>
                <w:sz w:val="18"/>
                <w:szCs w:val="18"/>
              </w:rPr>
              <w:t>Izhodišče se določi s prvim usklajenim popisom za zadnje zaključeno koledarsko leto. Pred popisom se določi merila za vključitev programov ter enotna pravila poročanja. Dokler ni mogoče zanesljivo izločiti večkratnih vključitev iste osebe, se spremlja število evidentiranih udeležb, število unikatnih udeležencev pa le tam, kjer ga je mogoče ugotoviti na zakonit in primerljiv način.</w:t>
            </w:r>
          </w:p>
        </w:tc>
        <w:tc>
          <w:tcPr>
            <w:tcW w:w="2105"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01DBB261" w14:textId="7CD25D79" w:rsidR="29A8477B" w:rsidRPr="00156204" w:rsidRDefault="29A8477B" w:rsidP="00624BCD">
            <w:pPr>
              <w:rPr>
                <w:sz w:val="18"/>
                <w:szCs w:val="18"/>
              </w:rPr>
            </w:pPr>
            <w:r w:rsidRPr="00156204">
              <w:rPr>
                <w:rFonts w:eastAsia="Aptos" w:cs="Aptos"/>
                <w:sz w:val="18"/>
                <w:szCs w:val="18"/>
              </w:rPr>
              <w:t>število evidentiranih udeležb; po možnosti tudi število unikatnih udeležencev</w:t>
            </w:r>
          </w:p>
        </w:tc>
        <w:tc>
          <w:tcPr>
            <w:tcW w:w="2105"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0B1B4581" w14:textId="080F1E57" w:rsidR="29A8477B" w:rsidRPr="00156204" w:rsidRDefault="29A8477B" w:rsidP="00624BCD">
            <w:pPr>
              <w:rPr>
                <w:sz w:val="18"/>
                <w:szCs w:val="18"/>
              </w:rPr>
            </w:pPr>
            <w:r w:rsidRPr="00156204">
              <w:rPr>
                <w:rFonts w:eastAsia="Aptos" w:cs="Aptos"/>
                <w:sz w:val="18"/>
                <w:szCs w:val="18"/>
              </w:rPr>
              <w:t>MONG – centralna evidenca na podlagi standardiziranih letnih poročil izvajalcev programov (npr. UNG, Šolski center Nova Gorica, RRA SP, Primorski tehnološki park, zbornice, javni zavodi in drugi vključeni izvajalci).</w:t>
            </w:r>
          </w:p>
        </w:tc>
        <w:tc>
          <w:tcPr>
            <w:tcW w:w="2105"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0D99F55D" w14:textId="7FBCDACD" w:rsidR="29A8477B" w:rsidRPr="00156204" w:rsidRDefault="29A8477B" w:rsidP="00624BCD">
            <w:pPr>
              <w:rPr>
                <w:sz w:val="18"/>
                <w:szCs w:val="18"/>
              </w:rPr>
            </w:pPr>
            <w:r w:rsidRPr="00156204">
              <w:rPr>
                <w:rFonts w:eastAsia="Aptos" w:cs="Aptos"/>
                <w:sz w:val="18"/>
                <w:szCs w:val="18"/>
              </w:rPr>
              <w:t>povečanje vključevanja ob ohranjanju vsebinske relevantnosti programov</w:t>
            </w:r>
          </w:p>
        </w:tc>
        <w:tc>
          <w:tcPr>
            <w:tcW w:w="1168"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3A16C363" w14:textId="5E65745A" w:rsidR="29A8477B" w:rsidRPr="00156204" w:rsidRDefault="29A8477B" w:rsidP="00624BCD">
            <w:pPr>
              <w:rPr>
                <w:sz w:val="18"/>
                <w:szCs w:val="18"/>
              </w:rPr>
            </w:pPr>
            <w:r w:rsidRPr="00156204">
              <w:rPr>
                <w:rFonts w:eastAsia="Aptos" w:cs="Aptos"/>
                <w:sz w:val="18"/>
                <w:szCs w:val="18"/>
              </w:rPr>
              <w:t>letno</w:t>
            </w:r>
          </w:p>
        </w:tc>
      </w:tr>
      <w:tr w:rsidR="29A8477B" w:rsidRPr="00156204" w14:paraId="3974FA5E" w14:textId="77777777" w:rsidTr="00624BCD">
        <w:trPr>
          <w:trHeight w:val="300"/>
        </w:trPr>
        <w:tc>
          <w:tcPr>
            <w:tcW w:w="1763"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2D1A864E" w14:textId="59C05F23" w:rsidR="29A8477B" w:rsidRPr="00156204" w:rsidRDefault="29A8477B" w:rsidP="00624BCD">
            <w:pPr>
              <w:rPr>
                <w:sz w:val="18"/>
                <w:szCs w:val="18"/>
              </w:rPr>
            </w:pPr>
            <w:r w:rsidRPr="00156204">
              <w:rPr>
                <w:rFonts w:eastAsia="Aptos" w:cs="Aptos"/>
                <w:b/>
                <w:bCs/>
                <w:sz w:val="18"/>
                <w:szCs w:val="18"/>
              </w:rPr>
              <w:t>Dodana vrednost na zaposlenega v gospodarskih družbah</w:t>
            </w:r>
          </w:p>
        </w:tc>
        <w:tc>
          <w:tcPr>
            <w:tcW w:w="868"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2E00DA13" w14:textId="203A6F9B" w:rsidR="29A8477B" w:rsidRPr="00156204" w:rsidRDefault="29A8477B" w:rsidP="00624BCD">
            <w:pPr>
              <w:rPr>
                <w:sz w:val="18"/>
                <w:szCs w:val="18"/>
              </w:rPr>
            </w:pPr>
            <w:r w:rsidRPr="00156204">
              <w:rPr>
                <w:rFonts w:eastAsia="Aptos" w:cs="Aptos"/>
                <w:sz w:val="18"/>
                <w:szCs w:val="18"/>
              </w:rPr>
              <w:t>A2</w:t>
            </w:r>
          </w:p>
        </w:tc>
        <w:tc>
          <w:tcPr>
            <w:tcW w:w="2169"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2870A1D0" w14:textId="5B87D6C9" w:rsidR="29A8477B" w:rsidRPr="00156204" w:rsidRDefault="29A8477B" w:rsidP="00624BCD">
            <w:r w:rsidRPr="1706C59B">
              <w:rPr>
                <w:rFonts w:eastAsia="Aptos" w:cs="Aptos"/>
                <w:sz w:val="18"/>
                <w:szCs w:val="18"/>
              </w:rPr>
              <w:t xml:space="preserve">Kazalnik prikazuje kakovost gospodarske strukture, ne samo števila podjetij. </w:t>
            </w:r>
            <w:r w:rsidR="6C602DEA" w:rsidRPr="1706C59B">
              <w:rPr>
                <w:rFonts w:eastAsia="Aptos" w:cs="Aptos"/>
                <w:sz w:val="18"/>
                <w:szCs w:val="18"/>
              </w:rPr>
              <w:t>Pomemben je zato, ker cilj ne pomeni samo seštevka aktivnosti, temveč gospodarstvo z višjo ustvarjeno vrednostjo.</w:t>
            </w:r>
          </w:p>
        </w:tc>
        <w:tc>
          <w:tcPr>
            <w:tcW w:w="2041"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4AB8E802" w14:textId="7E2A41DA" w:rsidR="29A8477B" w:rsidRPr="00156204" w:rsidRDefault="29A8477B" w:rsidP="00624BCD">
            <w:pPr>
              <w:rPr>
                <w:sz w:val="18"/>
                <w:szCs w:val="18"/>
              </w:rPr>
            </w:pPr>
            <w:r w:rsidRPr="00156204">
              <w:rPr>
                <w:rFonts w:eastAsia="Aptos" w:cs="Aptos"/>
                <w:sz w:val="18"/>
                <w:szCs w:val="18"/>
              </w:rPr>
              <w:t xml:space="preserve">Uporabi se vrednost za zadnje zaključeno poslovno leto. Izračun temelji na agregatu neto dodane vrednosti in števila zaposlenih na podlagi delovnih ur pri gospodarskih družbah s sedežem v MONG. Za dolgoročne primerjave se vrednost preračuna tudi v stalne cene oziroma spremlja z indeksom glede na </w:t>
            </w:r>
            <w:r w:rsidRPr="00156204">
              <w:rPr>
                <w:rFonts w:eastAsia="Aptos" w:cs="Aptos"/>
                <w:sz w:val="18"/>
                <w:szCs w:val="18"/>
              </w:rPr>
              <w:lastRenderedPageBreak/>
              <w:t>izhodiščno leto in slovensko povprečje.</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6363E7B7" w14:textId="1C82BE47" w:rsidR="29A8477B" w:rsidRPr="00156204" w:rsidRDefault="29A8477B" w:rsidP="00624BCD">
            <w:pPr>
              <w:rPr>
                <w:sz w:val="18"/>
                <w:szCs w:val="18"/>
              </w:rPr>
            </w:pPr>
            <w:r w:rsidRPr="00156204">
              <w:rPr>
                <w:rFonts w:eastAsia="Aptos" w:cs="Aptos"/>
                <w:sz w:val="18"/>
                <w:szCs w:val="18"/>
              </w:rPr>
              <w:lastRenderedPageBreak/>
              <w:t>EUR na zaposlenega; realni indeks (izhodiščno leto = 100); po potrebi indeks RS = 100</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4448E7FC" w14:textId="2BC57B46" w:rsidR="29A8477B" w:rsidRPr="00156204" w:rsidRDefault="29A8477B" w:rsidP="00624BCD">
            <w:pPr>
              <w:rPr>
                <w:sz w:val="18"/>
                <w:szCs w:val="18"/>
              </w:rPr>
            </w:pPr>
            <w:r w:rsidRPr="00156204">
              <w:rPr>
                <w:rFonts w:eastAsia="Aptos" w:cs="Aptos"/>
                <w:sz w:val="18"/>
                <w:szCs w:val="18"/>
              </w:rPr>
              <w:t>AJPES – podatki iz letnih poročil gospodarskih družb; namenski agregat za družbe s sedežem v MONG (obdelava AJPES oziroma RRA SP). SURS – indeks cen življenjskih potrebščin za preračun realne rasti.</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2924D64F" w14:textId="08681BE0" w:rsidR="29A8477B" w:rsidRPr="00156204" w:rsidRDefault="29A8477B" w:rsidP="00624BCD">
            <w:pPr>
              <w:rPr>
                <w:sz w:val="18"/>
                <w:szCs w:val="18"/>
              </w:rPr>
            </w:pPr>
            <w:r w:rsidRPr="00156204">
              <w:rPr>
                <w:rFonts w:eastAsia="Aptos" w:cs="Aptos"/>
                <w:sz w:val="18"/>
                <w:szCs w:val="18"/>
              </w:rPr>
              <w:t>realno povečanje in približevanje oziroma preseganje slovenskega povprečja</w:t>
            </w:r>
          </w:p>
        </w:tc>
        <w:tc>
          <w:tcPr>
            <w:tcW w:w="1168"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6E2297C7" w14:textId="428801E6" w:rsidR="29A8477B" w:rsidRPr="00156204" w:rsidRDefault="29A8477B" w:rsidP="00624BCD">
            <w:pPr>
              <w:rPr>
                <w:sz w:val="18"/>
                <w:szCs w:val="18"/>
              </w:rPr>
            </w:pPr>
            <w:r w:rsidRPr="00156204">
              <w:rPr>
                <w:rFonts w:eastAsia="Aptos" w:cs="Aptos"/>
                <w:sz w:val="18"/>
                <w:szCs w:val="18"/>
              </w:rPr>
              <w:t>letno</w:t>
            </w:r>
          </w:p>
        </w:tc>
      </w:tr>
      <w:tr w:rsidR="29A8477B" w:rsidRPr="00156204" w14:paraId="3101BE88" w14:textId="77777777" w:rsidTr="00624BCD">
        <w:trPr>
          <w:trHeight w:val="300"/>
        </w:trPr>
        <w:tc>
          <w:tcPr>
            <w:tcW w:w="1763"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28700717" w14:textId="048265B9" w:rsidR="29A8477B" w:rsidRPr="00156204" w:rsidRDefault="29A8477B" w:rsidP="00624BCD">
            <w:pPr>
              <w:rPr>
                <w:sz w:val="18"/>
                <w:szCs w:val="18"/>
              </w:rPr>
            </w:pPr>
            <w:r w:rsidRPr="00156204">
              <w:rPr>
                <w:rFonts w:eastAsia="Aptos" w:cs="Aptos"/>
                <w:b/>
                <w:bCs/>
                <w:sz w:val="18"/>
                <w:szCs w:val="18"/>
              </w:rPr>
              <w:t>Povprečna doba bivanja turistov</w:t>
            </w:r>
          </w:p>
        </w:tc>
        <w:tc>
          <w:tcPr>
            <w:tcW w:w="868"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3358707B" w14:textId="2917113B" w:rsidR="29A8477B" w:rsidRPr="00156204" w:rsidRDefault="29A8477B" w:rsidP="00624BCD">
            <w:pPr>
              <w:rPr>
                <w:sz w:val="18"/>
                <w:szCs w:val="18"/>
              </w:rPr>
            </w:pPr>
            <w:r w:rsidRPr="00156204">
              <w:rPr>
                <w:rFonts w:eastAsia="Aptos" w:cs="Aptos"/>
                <w:sz w:val="18"/>
                <w:szCs w:val="18"/>
              </w:rPr>
              <w:t>A3</w:t>
            </w:r>
          </w:p>
        </w:tc>
        <w:tc>
          <w:tcPr>
            <w:tcW w:w="2169"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0F635867" w14:textId="0E006B32" w:rsidR="29A8477B" w:rsidRPr="00156204" w:rsidRDefault="002434D8" w:rsidP="00624BCD">
            <w:pPr>
              <w:rPr>
                <w:sz w:val="18"/>
                <w:szCs w:val="18"/>
              </w:rPr>
            </w:pPr>
            <w:r w:rsidRPr="002434D8">
              <w:rPr>
                <w:rFonts w:eastAsia="Aptos" w:cs="Aptos"/>
                <w:sz w:val="18"/>
                <w:szCs w:val="18"/>
              </w:rPr>
              <w:t>Kazalnik prikazuje kakovost in zadrževanje obiska, ne le obseg promocije. Izpostavljen je pomen, razvoja doživljajske ekonomije v smeri višje dodane vrednosti, ne zgolj večjega števila enodnevnih obiskov</w:t>
            </w:r>
          </w:p>
        </w:tc>
        <w:tc>
          <w:tcPr>
            <w:tcW w:w="2041"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65828D69" w14:textId="51236450" w:rsidR="29A8477B" w:rsidRPr="00156204" w:rsidRDefault="29A8477B" w:rsidP="00624BCD">
            <w:pPr>
              <w:rPr>
                <w:sz w:val="18"/>
                <w:szCs w:val="18"/>
              </w:rPr>
            </w:pPr>
            <w:r w:rsidRPr="00156204">
              <w:rPr>
                <w:rFonts w:eastAsia="Aptos" w:cs="Aptos"/>
                <w:sz w:val="18"/>
                <w:szCs w:val="18"/>
              </w:rPr>
              <w:t xml:space="preserve">Izhodišče se določi kot povprečje zadnjih treh zaključenih koledarskih let. Vrednost za leto 2025 se zaradi vpliva </w:t>
            </w:r>
            <w:r w:rsidR="00BD4FAD">
              <w:rPr>
                <w:rFonts w:eastAsia="Aptos" w:cs="Aptos"/>
                <w:sz w:val="18"/>
                <w:szCs w:val="18"/>
              </w:rPr>
              <w:t>EPK</w:t>
            </w:r>
            <w:r w:rsidRPr="00156204">
              <w:rPr>
                <w:rFonts w:eastAsia="Aptos" w:cs="Aptos"/>
                <w:sz w:val="18"/>
                <w:szCs w:val="18"/>
              </w:rPr>
              <w:t xml:space="preserve"> 2025 prikaže tudi ločeno. Kazalnik se izračuna kot število prenočitev, deljeno s številom prihodov turistov v MONG.</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0DADA35C" w14:textId="5822F829" w:rsidR="29A8477B" w:rsidRPr="00156204" w:rsidRDefault="29A8477B" w:rsidP="00624BCD">
            <w:pPr>
              <w:rPr>
                <w:sz w:val="18"/>
                <w:szCs w:val="18"/>
              </w:rPr>
            </w:pPr>
            <w:r w:rsidRPr="00156204">
              <w:rPr>
                <w:rFonts w:eastAsia="Aptos" w:cs="Aptos"/>
                <w:sz w:val="18"/>
                <w:szCs w:val="18"/>
              </w:rPr>
              <w:t>povprečno število prenočitev na prihod turista</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48A80D2E" w14:textId="5CFF1021" w:rsidR="29A8477B" w:rsidRPr="00156204" w:rsidRDefault="29A8477B" w:rsidP="00624BCD">
            <w:pPr>
              <w:rPr>
                <w:sz w:val="18"/>
                <w:szCs w:val="18"/>
              </w:rPr>
            </w:pPr>
            <w:r w:rsidRPr="00156204">
              <w:rPr>
                <w:rFonts w:eastAsia="Aptos" w:cs="Aptos"/>
                <w:sz w:val="18"/>
                <w:szCs w:val="18"/>
              </w:rPr>
              <w:t xml:space="preserve">SURS, podatkovna baza </w:t>
            </w:r>
            <w:proofErr w:type="spellStart"/>
            <w:r w:rsidRPr="00156204">
              <w:rPr>
                <w:rFonts w:eastAsia="Aptos" w:cs="Aptos"/>
                <w:sz w:val="18"/>
                <w:szCs w:val="18"/>
              </w:rPr>
              <w:t>SiStat</w:t>
            </w:r>
            <w:proofErr w:type="spellEnd"/>
            <w:r w:rsidRPr="00156204">
              <w:rPr>
                <w:rFonts w:eastAsia="Aptos" w:cs="Aptos"/>
                <w:sz w:val="18"/>
                <w:szCs w:val="18"/>
              </w:rPr>
              <w:t xml:space="preserve"> – Prihodi in prenočitve turistov po državah, občine, Slovenija, letno (ID 2164526S).</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7FE0666D" w14:textId="130DAF1D" w:rsidR="29A8477B" w:rsidRPr="00156204" w:rsidRDefault="29A8477B" w:rsidP="00624BCD">
            <w:pPr>
              <w:rPr>
                <w:sz w:val="18"/>
                <w:szCs w:val="18"/>
              </w:rPr>
            </w:pPr>
            <w:r w:rsidRPr="00156204">
              <w:rPr>
                <w:rFonts w:eastAsia="Aptos" w:cs="Aptos"/>
                <w:sz w:val="18"/>
                <w:szCs w:val="18"/>
              </w:rPr>
              <w:t xml:space="preserve">povečanje ob hkratnem spremljanju </w:t>
            </w:r>
            <w:proofErr w:type="spellStart"/>
            <w:r w:rsidRPr="00156204">
              <w:rPr>
                <w:rFonts w:eastAsia="Aptos" w:cs="Aptos"/>
                <w:sz w:val="18"/>
                <w:szCs w:val="18"/>
              </w:rPr>
              <w:t>sezonskosti</w:t>
            </w:r>
            <w:proofErr w:type="spellEnd"/>
            <w:r w:rsidRPr="00156204">
              <w:rPr>
                <w:rFonts w:eastAsia="Aptos" w:cs="Aptos"/>
                <w:sz w:val="18"/>
                <w:szCs w:val="18"/>
              </w:rPr>
              <w:t xml:space="preserve"> in kakovosti življenja prebivalcev</w:t>
            </w:r>
          </w:p>
        </w:tc>
        <w:tc>
          <w:tcPr>
            <w:tcW w:w="1168"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126D5435" w14:textId="61321C94" w:rsidR="29A8477B" w:rsidRPr="00156204" w:rsidRDefault="29A8477B" w:rsidP="00624BCD">
            <w:pPr>
              <w:rPr>
                <w:sz w:val="18"/>
                <w:szCs w:val="18"/>
              </w:rPr>
            </w:pPr>
            <w:r w:rsidRPr="00156204">
              <w:rPr>
                <w:rFonts w:eastAsia="Aptos" w:cs="Aptos"/>
                <w:sz w:val="18"/>
                <w:szCs w:val="18"/>
              </w:rPr>
              <w:t>letno</w:t>
            </w:r>
          </w:p>
        </w:tc>
      </w:tr>
      <w:tr w:rsidR="29A8477B" w:rsidRPr="00156204" w14:paraId="26C73448" w14:textId="77777777" w:rsidTr="00624BCD">
        <w:trPr>
          <w:trHeight w:val="300"/>
        </w:trPr>
        <w:tc>
          <w:tcPr>
            <w:tcW w:w="14324" w:type="dxa"/>
            <w:gridSpan w:val="8"/>
            <w:tcBorders>
              <w:top w:val="single" w:sz="8" w:space="0" w:color="auto"/>
              <w:left w:val="single" w:sz="8" w:space="0" w:color="auto"/>
              <w:bottom w:val="single" w:sz="8" w:space="0" w:color="auto"/>
              <w:right w:val="single" w:sz="8" w:space="0" w:color="auto"/>
            </w:tcBorders>
            <w:shd w:val="clear" w:color="auto" w:fill="E7E6E6"/>
            <w:tcMar>
              <w:top w:w="60" w:type="dxa"/>
              <w:left w:w="65" w:type="dxa"/>
              <w:bottom w:w="60" w:type="dxa"/>
              <w:right w:w="65" w:type="dxa"/>
            </w:tcMar>
            <w:vAlign w:val="center"/>
          </w:tcPr>
          <w:p w14:paraId="4BF43E5F" w14:textId="69BBAB11" w:rsidR="29A8477B" w:rsidRPr="00156204" w:rsidRDefault="29A8477B" w:rsidP="00624BCD">
            <w:pPr>
              <w:jc w:val="center"/>
              <w:rPr>
                <w:sz w:val="18"/>
                <w:szCs w:val="18"/>
              </w:rPr>
            </w:pPr>
            <w:r w:rsidRPr="00156204">
              <w:rPr>
                <w:rFonts w:eastAsia="Aptos" w:cs="Aptos"/>
                <w:b/>
                <w:bCs/>
                <w:color w:val="000000" w:themeColor="text1"/>
                <w:sz w:val="18"/>
                <w:szCs w:val="18"/>
              </w:rPr>
              <w:t>B – VKLJUČUJOČA DRUŽBA</w:t>
            </w:r>
          </w:p>
        </w:tc>
      </w:tr>
      <w:tr w:rsidR="29A8477B" w:rsidRPr="00156204" w14:paraId="3C1D8A7C" w14:textId="77777777" w:rsidTr="00624BCD">
        <w:trPr>
          <w:trHeight w:val="300"/>
        </w:trPr>
        <w:tc>
          <w:tcPr>
            <w:tcW w:w="1763"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5EE1FDC6" w14:textId="03076384" w:rsidR="29A8477B" w:rsidRPr="00156204" w:rsidRDefault="29A8477B" w:rsidP="00624BCD">
            <w:pPr>
              <w:rPr>
                <w:sz w:val="18"/>
                <w:szCs w:val="18"/>
              </w:rPr>
            </w:pPr>
            <w:r w:rsidRPr="00156204">
              <w:rPr>
                <w:rFonts w:eastAsia="Aptos" w:cs="Aptos"/>
                <w:b/>
                <w:bCs/>
                <w:sz w:val="18"/>
                <w:szCs w:val="18"/>
              </w:rPr>
              <w:t>Delež prebivalcev, zadovoljnih s kakovostjo življenja, vključenostjo in dostopnostjo javnih storitev</w:t>
            </w:r>
          </w:p>
        </w:tc>
        <w:tc>
          <w:tcPr>
            <w:tcW w:w="868"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699FDC3B" w14:textId="3876A4A8" w:rsidR="29A8477B" w:rsidRPr="00156204" w:rsidRDefault="29A8477B" w:rsidP="00624BCD">
            <w:pPr>
              <w:rPr>
                <w:sz w:val="18"/>
                <w:szCs w:val="18"/>
              </w:rPr>
            </w:pPr>
            <w:r w:rsidRPr="00156204">
              <w:rPr>
                <w:rFonts w:eastAsia="Aptos" w:cs="Aptos"/>
                <w:sz w:val="18"/>
                <w:szCs w:val="18"/>
              </w:rPr>
              <w:t>B1, B2</w:t>
            </w:r>
          </w:p>
        </w:tc>
        <w:tc>
          <w:tcPr>
            <w:tcW w:w="2169"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35328EED" w14:textId="39731A29" w:rsidR="29A8477B" w:rsidRPr="00156204" w:rsidRDefault="002641C4" w:rsidP="00624BCD">
            <w:pPr>
              <w:rPr>
                <w:sz w:val="18"/>
                <w:szCs w:val="18"/>
              </w:rPr>
            </w:pPr>
            <w:r w:rsidRPr="002641C4">
              <w:rPr>
                <w:rFonts w:eastAsia="Aptos" w:cs="Aptos"/>
                <w:sz w:val="18"/>
                <w:szCs w:val="18"/>
              </w:rPr>
              <w:t>Krovni anketni kazalnik zajame učinke, ki jih administrativni podatki težko pokažejo. Povezuje materialne in nematerialne vidike kakovosti življenja. Meri, ali se učinki storitev, stanovanjskih rešitev, mobilnosti, skupnosti in javnih programov odražajo v vsakdanji izkušnji prebivalcev.</w:t>
            </w:r>
          </w:p>
        </w:tc>
        <w:tc>
          <w:tcPr>
            <w:tcW w:w="2041"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38548E64" w14:textId="26255D6C" w:rsidR="29A8477B" w:rsidRPr="00156204" w:rsidRDefault="29A8477B" w:rsidP="00624BCD">
            <w:pPr>
              <w:rPr>
                <w:sz w:val="18"/>
                <w:szCs w:val="18"/>
              </w:rPr>
            </w:pPr>
            <w:r w:rsidRPr="00156204">
              <w:rPr>
                <w:rFonts w:eastAsia="Aptos" w:cs="Aptos"/>
                <w:sz w:val="18"/>
                <w:szCs w:val="18"/>
              </w:rPr>
              <w:t>Izhodišče se določi s prvo standardizirano in reprezentativno anketo prebivalcev po sprejemu strategije. Vprašalnik, vzorec, način terenskega dela in izračun kazalnika se ohranijo pri vseh naslednjih meritvah. Priporoča se ločen prikaz rezultatov za mesto, primestna in podeželska območja.</w:t>
            </w:r>
          </w:p>
        </w:tc>
        <w:tc>
          <w:tcPr>
            <w:tcW w:w="2105"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6BD8C665" w14:textId="2500ED1B" w:rsidR="29A8477B" w:rsidRPr="00156204" w:rsidRDefault="29A8477B" w:rsidP="00624BCD">
            <w:pPr>
              <w:rPr>
                <w:sz w:val="18"/>
                <w:szCs w:val="18"/>
              </w:rPr>
            </w:pPr>
            <w:r w:rsidRPr="00156204">
              <w:rPr>
                <w:rFonts w:eastAsia="Aptos" w:cs="Aptos"/>
                <w:sz w:val="18"/>
                <w:szCs w:val="18"/>
              </w:rPr>
              <w:t>delež respondentov v %; zadovoljni = povprečna ocena najmanj 4 na petstopenjski lestvici pri vnaprej določenem naboru vprašanj</w:t>
            </w:r>
          </w:p>
        </w:tc>
        <w:tc>
          <w:tcPr>
            <w:tcW w:w="2105"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0F6E7DE6" w14:textId="73F22242" w:rsidR="29A8477B" w:rsidRPr="00156204" w:rsidRDefault="29A8477B" w:rsidP="00624BCD">
            <w:pPr>
              <w:rPr>
                <w:sz w:val="18"/>
                <w:szCs w:val="18"/>
              </w:rPr>
            </w:pPr>
            <w:r w:rsidRPr="00156204">
              <w:rPr>
                <w:rFonts w:eastAsia="Aptos" w:cs="Aptos"/>
                <w:sz w:val="18"/>
                <w:szCs w:val="18"/>
              </w:rPr>
              <w:t>MONG – standardizirana periodična anketa prebivalcev, izvedena pri usposobljenem izvajalcu; po potrebi dopolnjena z anketami posameznih sektorskih strategij.</w:t>
            </w:r>
          </w:p>
        </w:tc>
        <w:tc>
          <w:tcPr>
            <w:tcW w:w="2105"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4E489D64" w14:textId="01F4E667" w:rsidR="29A8477B" w:rsidRPr="00156204" w:rsidRDefault="29A8477B" w:rsidP="00624BCD">
            <w:pPr>
              <w:rPr>
                <w:sz w:val="18"/>
                <w:szCs w:val="18"/>
              </w:rPr>
            </w:pPr>
            <w:r w:rsidRPr="00156204">
              <w:rPr>
                <w:rFonts w:eastAsia="Aptos" w:cs="Aptos"/>
                <w:sz w:val="18"/>
                <w:szCs w:val="18"/>
              </w:rPr>
              <w:t>povečanje deleža zadovoljnih prebivalcev in zmanjševanje razlik med območji ter skupinami</w:t>
            </w:r>
          </w:p>
        </w:tc>
        <w:tc>
          <w:tcPr>
            <w:tcW w:w="1168"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79E15245" w14:textId="5DB3F95A" w:rsidR="29A8477B" w:rsidRPr="00156204" w:rsidRDefault="29A8477B" w:rsidP="00624BCD">
            <w:pPr>
              <w:rPr>
                <w:sz w:val="18"/>
                <w:szCs w:val="18"/>
              </w:rPr>
            </w:pPr>
            <w:r w:rsidRPr="00156204">
              <w:rPr>
                <w:rFonts w:eastAsia="Aptos" w:cs="Aptos"/>
                <w:sz w:val="18"/>
                <w:szCs w:val="18"/>
              </w:rPr>
              <w:t>na 3 leta</w:t>
            </w:r>
          </w:p>
        </w:tc>
      </w:tr>
      <w:tr w:rsidR="29A8477B" w:rsidRPr="00156204" w14:paraId="692E50C5" w14:textId="77777777" w:rsidTr="00624BCD">
        <w:trPr>
          <w:trHeight w:val="300"/>
        </w:trPr>
        <w:tc>
          <w:tcPr>
            <w:tcW w:w="1763"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013AB598" w14:textId="4D4CF93B" w:rsidR="29A8477B" w:rsidRPr="00156204" w:rsidRDefault="29A8477B" w:rsidP="00624BCD">
            <w:pPr>
              <w:rPr>
                <w:sz w:val="18"/>
                <w:szCs w:val="18"/>
              </w:rPr>
            </w:pPr>
            <w:r w:rsidRPr="00156204">
              <w:rPr>
                <w:rFonts w:eastAsia="Aptos" w:cs="Aptos"/>
                <w:b/>
                <w:bCs/>
                <w:sz w:val="18"/>
                <w:szCs w:val="18"/>
              </w:rPr>
              <w:t xml:space="preserve">Število dostopnih stanovanjskih rešitev, vzpostavljenih ali aktiviranih s </w:t>
            </w:r>
            <w:r w:rsidRPr="00156204">
              <w:rPr>
                <w:rFonts w:eastAsia="Aptos" w:cs="Aptos"/>
                <w:b/>
                <w:bCs/>
                <w:sz w:val="18"/>
                <w:szCs w:val="18"/>
              </w:rPr>
              <w:lastRenderedPageBreak/>
              <w:t>sodelovanjem MONG</w:t>
            </w:r>
          </w:p>
        </w:tc>
        <w:tc>
          <w:tcPr>
            <w:tcW w:w="868"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45EE7FEA" w14:textId="621413F7" w:rsidR="29A8477B" w:rsidRPr="00156204" w:rsidRDefault="29A8477B" w:rsidP="00624BCD">
            <w:pPr>
              <w:rPr>
                <w:sz w:val="18"/>
                <w:szCs w:val="18"/>
              </w:rPr>
            </w:pPr>
            <w:r w:rsidRPr="00156204">
              <w:rPr>
                <w:rFonts w:eastAsia="Aptos" w:cs="Aptos"/>
                <w:sz w:val="18"/>
                <w:szCs w:val="18"/>
              </w:rPr>
              <w:lastRenderedPageBreak/>
              <w:t>B1</w:t>
            </w:r>
          </w:p>
        </w:tc>
        <w:tc>
          <w:tcPr>
            <w:tcW w:w="2169"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36BB9C6D" w14:textId="219EDFD0" w:rsidR="29A8477B" w:rsidRPr="00156204" w:rsidRDefault="00733978" w:rsidP="00624BCD">
            <w:pPr>
              <w:rPr>
                <w:sz w:val="18"/>
                <w:szCs w:val="18"/>
              </w:rPr>
            </w:pPr>
            <w:r w:rsidRPr="00733978">
              <w:rPr>
                <w:rFonts w:eastAsia="Aptos" w:cs="Aptos"/>
                <w:sz w:val="18"/>
                <w:szCs w:val="18"/>
              </w:rPr>
              <w:t xml:space="preserve">Kazalnik prikazuje kako občina izboljšuje pogoje za bivanje mladih, družin, perspektivnih kadrov in ranljivih skupin. Izkazuje kakovost bivanja, socialno </w:t>
            </w:r>
            <w:r w:rsidRPr="00733978">
              <w:rPr>
                <w:rFonts w:eastAsia="Aptos" w:cs="Aptos"/>
                <w:sz w:val="18"/>
                <w:szCs w:val="18"/>
              </w:rPr>
              <w:lastRenderedPageBreak/>
              <w:t>vključenost in možnost dolgoročnega ostajanja v občini.</w:t>
            </w:r>
          </w:p>
        </w:tc>
        <w:tc>
          <w:tcPr>
            <w:tcW w:w="2041"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0CB07608" w14:textId="4034B111" w:rsidR="29A8477B" w:rsidRPr="00156204" w:rsidRDefault="29A8477B" w:rsidP="00624BCD">
            <w:pPr>
              <w:rPr>
                <w:sz w:val="18"/>
                <w:szCs w:val="18"/>
              </w:rPr>
            </w:pPr>
            <w:r w:rsidRPr="00156204">
              <w:rPr>
                <w:rFonts w:eastAsia="Aptos" w:cs="Aptos"/>
                <w:sz w:val="18"/>
                <w:szCs w:val="18"/>
              </w:rPr>
              <w:lastRenderedPageBreak/>
              <w:t xml:space="preserve">Ob sprejemu strategije se popiše obstoječi fond dostopnih stanovanjskih rešitev. Za spremljanje prispevka strategije se dodatno vodi </w:t>
            </w:r>
            <w:r w:rsidRPr="00156204">
              <w:rPr>
                <w:rFonts w:eastAsia="Aptos" w:cs="Aptos"/>
                <w:sz w:val="18"/>
                <w:szCs w:val="18"/>
              </w:rPr>
              <w:lastRenderedPageBreak/>
              <w:t>kumulativno število rešitev, ki so bile po izhodiščnem datumu na novo zgrajene, pridobljene, prenovljene, oddane ali drugače aktivirane s finančnim, prostorskim, organizacijskim ali pogodbenim sodelovanjem MONG.</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1E2A68A0" w14:textId="709BE032" w:rsidR="29A8477B" w:rsidRPr="00156204" w:rsidRDefault="29A8477B" w:rsidP="00624BCD">
            <w:pPr>
              <w:rPr>
                <w:sz w:val="18"/>
                <w:szCs w:val="18"/>
              </w:rPr>
            </w:pPr>
            <w:r w:rsidRPr="00156204">
              <w:rPr>
                <w:rFonts w:eastAsia="Aptos" w:cs="Aptos"/>
                <w:sz w:val="18"/>
                <w:szCs w:val="18"/>
              </w:rPr>
              <w:lastRenderedPageBreak/>
              <w:t xml:space="preserve">število aktivnih stanovanjskih enot oziroma drugih jasno opredeljenih stanovanjskih rešitev; </w:t>
            </w:r>
            <w:r w:rsidRPr="00156204">
              <w:rPr>
                <w:rFonts w:eastAsia="Aptos" w:cs="Aptos"/>
                <w:sz w:val="18"/>
                <w:szCs w:val="18"/>
              </w:rPr>
              <w:lastRenderedPageBreak/>
              <w:t>kumulativno od izhodiščnega leta</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20D62DF5" w14:textId="06E974A6" w:rsidR="29A8477B" w:rsidRPr="00156204" w:rsidRDefault="29A8477B" w:rsidP="00624BCD">
            <w:pPr>
              <w:rPr>
                <w:sz w:val="18"/>
                <w:szCs w:val="18"/>
              </w:rPr>
            </w:pPr>
            <w:r w:rsidRPr="00156204">
              <w:rPr>
                <w:rFonts w:eastAsia="Aptos" w:cs="Aptos"/>
                <w:sz w:val="18"/>
                <w:szCs w:val="18"/>
              </w:rPr>
              <w:lastRenderedPageBreak/>
              <w:t xml:space="preserve">Stanovanjski sklad Mestne občine Nova Gorica – javni sklad (letna poročila in evidence); MONG – evidence projektov, pogodb, </w:t>
            </w:r>
            <w:r w:rsidRPr="00156204">
              <w:rPr>
                <w:rFonts w:eastAsia="Aptos" w:cs="Aptos"/>
                <w:sz w:val="18"/>
                <w:szCs w:val="18"/>
              </w:rPr>
              <w:lastRenderedPageBreak/>
              <w:t>prostorskih rešitev in drugih oblik sodelovanja.</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163C3F1C" w14:textId="2CF3AB5D" w:rsidR="29A8477B" w:rsidRPr="00156204" w:rsidRDefault="29A8477B" w:rsidP="00624BCD">
            <w:pPr>
              <w:rPr>
                <w:sz w:val="18"/>
                <w:szCs w:val="18"/>
              </w:rPr>
            </w:pPr>
            <w:r w:rsidRPr="00156204">
              <w:rPr>
                <w:rFonts w:eastAsia="Aptos" w:cs="Aptos"/>
                <w:sz w:val="18"/>
                <w:szCs w:val="18"/>
              </w:rPr>
              <w:lastRenderedPageBreak/>
              <w:t>povečanje</w:t>
            </w:r>
          </w:p>
        </w:tc>
        <w:tc>
          <w:tcPr>
            <w:tcW w:w="1168"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6B481EC4" w14:textId="3AE0E387" w:rsidR="29A8477B" w:rsidRPr="00156204" w:rsidRDefault="29A8477B" w:rsidP="00624BCD">
            <w:pPr>
              <w:rPr>
                <w:sz w:val="18"/>
                <w:szCs w:val="18"/>
              </w:rPr>
            </w:pPr>
            <w:r w:rsidRPr="00156204">
              <w:rPr>
                <w:rFonts w:eastAsia="Aptos" w:cs="Aptos"/>
                <w:sz w:val="18"/>
                <w:szCs w:val="18"/>
              </w:rPr>
              <w:t>letno</w:t>
            </w:r>
          </w:p>
        </w:tc>
      </w:tr>
      <w:tr w:rsidR="29A8477B" w:rsidRPr="00156204" w14:paraId="767E35E4" w14:textId="77777777" w:rsidTr="00624BCD">
        <w:trPr>
          <w:trHeight w:val="300"/>
        </w:trPr>
        <w:tc>
          <w:tcPr>
            <w:tcW w:w="14324" w:type="dxa"/>
            <w:gridSpan w:val="8"/>
            <w:tcBorders>
              <w:top w:val="single" w:sz="8" w:space="0" w:color="auto"/>
              <w:left w:val="single" w:sz="8" w:space="0" w:color="auto"/>
              <w:bottom w:val="single" w:sz="8" w:space="0" w:color="auto"/>
              <w:right w:val="single" w:sz="8" w:space="0" w:color="auto"/>
            </w:tcBorders>
            <w:shd w:val="clear" w:color="auto" w:fill="E7E6E6"/>
            <w:tcMar>
              <w:top w:w="60" w:type="dxa"/>
              <w:left w:w="65" w:type="dxa"/>
              <w:bottom w:w="60" w:type="dxa"/>
              <w:right w:w="65" w:type="dxa"/>
            </w:tcMar>
            <w:vAlign w:val="center"/>
          </w:tcPr>
          <w:p w14:paraId="2D87DFFA" w14:textId="6BC99C14" w:rsidR="29A8477B" w:rsidRPr="00156204" w:rsidRDefault="29A8477B" w:rsidP="00624BCD">
            <w:pPr>
              <w:jc w:val="center"/>
              <w:rPr>
                <w:sz w:val="18"/>
                <w:szCs w:val="18"/>
              </w:rPr>
            </w:pPr>
            <w:r w:rsidRPr="00156204">
              <w:rPr>
                <w:rFonts w:eastAsia="Aptos" w:cs="Aptos"/>
                <w:b/>
                <w:bCs/>
                <w:color w:val="000000" w:themeColor="text1"/>
                <w:sz w:val="18"/>
                <w:szCs w:val="18"/>
              </w:rPr>
              <w:t>C – MESTO PRILOŽNOSTI</w:t>
            </w:r>
          </w:p>
        </w:tc>
      </w:tr>
      <w:tr w:rsidR="29A8477B" w:rsidRPr="00156204" w14:paraId="6804A0E7" w14:textId="77777777" w:rsidTr="00624BCD">
        <w:trPr>
          <w:trHeight w:val="300"/>
        </w:trPr>
        <w:tc>
          <w:tcPr>
            <w:tcW w:w="1763"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38801568" w14:textId="45344EA7" w:rsidR="29A8477B" w:rsidRPr="00156204" w:rsidRDefault="29A8477B" w:rsidP="00624BCD">
            <w:pPr>
              <w:rPr>
                <w:sz w:val="18"/>
                <w:szCs w:val="18"/>
              </w:rPr>
            </w:pPr>
            <w:r w:rsidRPr="00156204">
              <w:rPr>
                <w:rFonts w:eastAsia="Aptos" w:cs="Aptos"/>
                <w:b/>
                <w:bCs/>
                <w:sz w:val="18"/>
                <w:szCs w:val="18"/>
              </w:rPr>
              <w:t>Površina zelenih, senčenih, vodno prepustnih in kakovostno urejenih javnih površin</w:t>
            </w:r>
          </w:p>
        </w:tc>
        <w:tc>
          <w:tcPr>
            <w:tcW w:w="868"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2E658065" w14:textId="23B87886" w:rsidR="29A8477B" w:rsidRPr="00156204" w:rsidRDefault="29A8477B" w:rsidP="00624BCD">
            <w:pPr>
              <w:rPr>
                <w:sz w:val="18"/>
                <w:szCs w:val="18"/>
              </w:rPr>
            </w:pPr>
            <w:r w:rsidRPr="00156204">
              <w:rPr>
                <w:rFonts w:eastAsia="Aptos" w:cs="Aptos"/>
                <w:sz w:val="18"/>
                <w:szCs w:val="18"/>
              </w:rPr>
              <w:t>C1</w:t>
            </w:r>
          </w:p>
        </w:tc>
        <w:tc>
          <w:tcPr>
            <w:tcW w:w="2169"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6C66846D" w14:textId="5A3DC49B" w:rsidR="29A8477B" w:rsidRPr="00156204" w:rsidRDefault="00CD35BB" w:rsidP="00624BCD">
            <w:pPr>
              <w:rPr>
                <w:sz w:val="18"/>
                <w:szCs w:val="18"/>
              </w:rPr>
            </w:pPr>
            <w:r w:rsidRPr="00CD35BB">
              <w:rPr>
                <w:rFonts w:eastAsia="Aptos" w:cs="Aptos"/>
                <w:sz w:val="18"/>
                <w:szCs w:val="18"/>
              </w:rPr>
              <w:t>Kazalnik prikazuje, ali se mesto razvija kot zeleno, zdravo in podnebno odpornejše urbano okolje, ter posledično fizično izboljšuje kot prostor srečevanja, bivanja, rekreacije in javnega življenja.</w:t>
            </w:r>
          </w:p>
        </w:tc>
        <w:tc>
          <w:tcPr>
            <w:tcW w:w="2041"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4AD0F2A4" w14:textId="2A29EE20" w:rsidR="29A8477B" w:rsidRPr="00156204" w:rsidRDefault="29A8477B" w:rsidP="00624BCD">
            <w:pPr>
              <w:rPr>
                <w:sz w:val="18"/>
                <w:szCs w:val="18"/>
              </w:rPr>
            </w:pPr>
            <w:r w:rsidRPr="00156204">
              <w:rPr>
                <w:rFonts w:eastAsia="Aptos" w:cs="Aptos"/>
                <w:sz w:val="18"/>
                <w:szCs w:val="18"/>
              </w:rPr>
              <w:t>Izhodišče se določi z enotno GIS-inventarizacijo javnih površin. Pred popisom se opredelijo merila za zelenost, senčenje, vodno prepustnost, javno dostopnost in kakovost ureditve ter pravila, ki preprečujejo dvojno štetje istih površin. Poleg skupne površine se priporoča prikaz na prebivalca in prostorske razporeditve.</w:t>
            </w:r>
          </w:p>
        </w:tc>
        <w:tc>
          <w:tcPr>
            <w:tcW w:w="2105"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63723FA9" w14:textId="1DDA259C" w:rsidR="29A8477B" w:rsidRPr="00156204" w:rsidRDefault="29A8477B" w:rsidP="00624BCD">
            <w:pPr>
              <w:rPr>
                <w:sz w:val="18"/>
                <w:szCs w:val="18"/>
              </w:rPr>
            </w:pPr>
            <w:r w:rsidRPr="00156204">
              <w:rPr>
                <w:rFonts w:eastAsia="Aptos" w:cs="Aptos"/>
                <w:sz w:val="18"/>
                <w:szCs w:val="18"/>
              </w:rPr>
              <w:t>ha in m² na prebivalca; po potrebi delež urbanega območja v %</w:t>
            </w:r>
          </w:p>
        </w:tc>
        <w:tc>
          <w:tcPr>
            <w:tcW w:w="2105"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12A09E0A" w14:textId="00A9BC3F" w:rsidR="29A8477B" w:rsidRPr="00156204" w:rsidRDefault="29A8477B" w:rsidP="00624BCD">
            <w:pPr>
              <w:rPr>
                <w:sz w:val="18"/>
                <w:szCs w:val="18"/>
              </w:rPr>
            </w:pPr>
            <w:r w:rsidRPr="00156204">
              <w:rPr>
                <w:rFonts w:eastAsia="Aptos" w:cs="Aptos"/>
                <w:sz w:val="18"/>
                <w:szCs w:val="18"/>
              </w:rPr>
              <w:t xml:space="preserve">MONG – GIS in evidenca javnih površin; GURS/e-Prostor – zemljiški kataster, </w:t>
            </w:r>
            <w:proofErr w:type="spellStart"/>
            <w:r w:rsidRPr="00156204">
              <w:rPr>
                <w:rFonts w:eastAsia="Aptos" w:cs="Aptos"/>
                <w:sz w:val="18"/>
                <w:szCs w:val="18"/>
              </w:rPr>
              <w:t>ortofoto</w:t>
            </w:r>
            <w:proofErr w:type="spellEnd"/>
            <w:r w:rsidRPr="00156204">
              <w:rPr>
                <w:rFonts w:eastAsia="Aptos" w:cs="Aptos"/>
                <w:sz w:val="18"/>
                <w:szCs w:val="18"/>
              </w:rPr>
              <w:t xml:space="preserve"> in druge prostorske podlage; terenski popis oziroma podatki upravljavcev javnih površin.</w:t>
            </w:r>
          </w:p>
        </w:tc>
        <w:tc>
          <w:tcPr>
            <w:tcW w:w="2105"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065DB6BA" w14:textId="36206021" w:rsidR="29A8477B" w:rsidRPr="00156204" w:rsidRDefault="29A8477B" w:rsidP="00624BCD">
            <w:pPr>
              <w:rPr>
                <w:sz w:val="18"/>
                <w:szCs w:val="18"/>
              </w:rPr>
            </w:pPr>
            <w:r w:rsidRPr="00156204">
              <w:rPr>
                <w:rFonts w:eastAsia="Aptos" w:cs="Aptos"/>
                <w:sz w:val="18"/>
                <w:szCs w:val="18"/>
              </w:rPr>
              <w:t>povečanje površine in izboljšanje kakovosti ter prostorske dostopnosti</w:t>
            </w:r>
          </w:p>
        </w:tc>
        <w:tc>
          <w:tcPr>
            <w:tcW w:w="1168"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56528AC1" w14:textId="6C7581C6" w:rsidR="29A8477B" w:rsidRPr="00156204" w:rsidRDefault="29A8477B" w:rsidP="00624BCD">
            <w:pPr>
              <w:rPr>
                <w:sz w:val="18"/>
                <w:szCs w:val="18"/>
              </w:rPr>
            </w:pPr>
            <w:r w:rsidRPr="00156204">
              <w:rPr>
                <w:rFonts w:eastAsia="Aptos" w:cs="Aptos"/>
                <w:sz w:val="18"/>
                <w:szCs w:val="18"/>
              </w:rPr>
              <w:t>evidenca se posodablja letno; celovita presoja na 2 leti</w:t>
            </w:r>
          </w:p>
        </w:tc>
      </w:tr>
      <w:tr w:rsidR="29A8477B" w:rsidRPr="00156204" w14:paraId="3F420A21" w14:textId="77777777" w:rsidTr="00624BCD">
        <w:trPr>
          <w:trHeight w:val="300"/>
        </w:trPr>
        <w:tc>
          <w:tcPr>
            <w:tcW w:w="1763"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348E9C70" w14:textId="1A708FFA" w:rsidR="29A8477B" w:rsidRPr="00156204" w:rsidRDefault="29A8477B" w:rsidP="00624BCD">
            <w:pPr>
              <w:rPr>
                <w:sz w:val="18"/>
                <w:szCs w:val="18"/>
              </w:rPr>
            </w:pPr>
            <w:r w:rsidRPr="00156204">
              <w:rPr>
                <w:rFonts w:eastAsia="Aptos" w:cs="Aptos"/>
                <w:b/>
                <w:bCs/>
                <w:sz w:val="18"/>
                <w:szCs w:val="18"/>
              </w:rPr>
              <w:t>Delež poti, opravljenih peš, s kolesom in javnim prevozom</w:t>
            </w:r>
          </w:p>
        </w:tc>
        <w:tc>
          <w:tcPr>
            <w:tcW w:w="868"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2C8375F5" w14:textId="5B3AE721" w:rsidR="29A8477B" w:rsidRPr="00156204" w:rsidRDefault="29A8477B" w:rsidP="00624BCD">
            <w:pPr>
              <w:rPr>
                <w:sz w:val="18"/>
                <w:szCs w:val="18"/>
              </w:rPr>
            </w:pPr>
            <w:r w:rsidRPr="00156204">
              <w:rPr>
                <w:rFonts w:eastAsia="Aptos" w:cs="Aptos"/>
                <w:sz w:val="18"/>
                <w:szCs w:val="18"/>
              </w:rPr>
              <w:t>C1</w:t>
            </w:r>
          </w:p>
        </w:tc>
        <w:tc>
          <w:tcPr>
            <w:tcW w:w="2169"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75A506E0" w14:textId="17E4F4D2" w:rsidR="29A8477B" w:rsidRPr="00156204" w:rsidRDefault="29A8477B" w:rsidP="00624BCD">
            <w:pPr>
              <w:rPr>
                <w:sz w:val="18"/>
                <w:szCs w:val="18"/>
              </w:rPr>
            </w:pPr>
            <w:r w:rsidRPr="00156204">
              <w:rPr>
                <w:rFonts w:eastAsia="Aptos" w:cs="Aptos"/>
                <w:sz w:val="18"/>
                <w:szCs w:val="18"/>
              </w:rPr>
              <w:t xml:space="preserve">Kazalnik meri modalni razrez vsakodnevnih poti. Spremembe odražajo skupni učinek javnega prevoza, peš in kolesarske infrastrukture, </w:t>
            </w:r>
            <w:r w:rsidRPr="00156204">
              <w:rPr>
                <w:rFonts w:eastAsia="Aptos" w:cs="Aptos"/>
                <w:sz w:val="18"/>
                <w:szCs w:val="18"/>
              </w:rPr>
              <w:lastRenderedPageBreak/>
              <w:t>prostorskega razvoja ter potovalnih navad.</w:t>
            </w:r>
          </w:p>
        </w:tc>
        <w:tc>
          <w:tcPr>
            <w:tcW w:w="2041"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72D35456" w14:textId="475509E5" w:rsidR="29A8477B" w:rsidRPr="00156204" w:rsidRDefault="29A8477B" w:rsidP="00624BCD">
            <w:pPr>
              <w:rPr>
                <w:sz w:val="18"/>
                <w:szCs w:val="18"/>
              </w:rPr>
            </w:pPr>
            <w:r w:rsidRPr="00156204">
              <w:rPr>
                <w:rFonts w:eastAsia="Aptos" w:cs="Aptos"/>
                <w:sz w:val="18"/>
                <w:szCs w:val="18"/>
              </w:rPr>
              <w:lastRenderedPageBreak/>
              <w:t xml:space="preserve">Uporabi se zadnja primerljiva meritev modalnega razreza iz veljavne občinske celostne prometne strategije oziroma prva </w:t>
            </w:r>
            <w:r w:rsidRPr="00156204">
              <w:rPr>
                <w:rFonts w:eastAsia="Aptos" w:cs="Aptos"/>
                <w:sz w:val="18"/>
                <w:szCs w:val="18"/>
              </w:rPr>
              <w:lastRenderedPageBreak/>
              <w:t>meritev, izvedena po enotni nacionalni metodologiji. Obseg populacije, namen poti, obdobje anketiranja in način vzorčenja morajo ostati primerljivi.</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5E319411" w14:textId="7C7FB2B9" w:rsidR="29A8477B" w:rsidRPr="00156204" w:rsidRDefault="29A8477B" w:rsidP="00624BCD">
            <w:pPr>
              <w:rPr>
                <w:sz w:val="18"/>
                <w:szCs w:val="18"/>
              </w:rPr>
            </w:pPr>
            <w:r w:rsidRPr="00156204">
              <w:rPr>
                <w:rFonts w:eastAsia="Aptos" w:cs="Aptos"/>
                <w:sz w:val="18"/>
                <w:szCs w:val="18"/>
              </w:rPr>
              <w:lastRenderedPageBreak/>
              <w:t>delež vseh evidentiranih poti v %, ločeno za hojo, kolesarjenje in javni prevoz; po potrebi tudi skupni delež trajnostnih načinov</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6BF5B2E5" w14:textId="451F80B9" w:rsidR="29A8477B" w:rsidRPr="00156204" w:rsidRDefault="29A8477B" w:rsidP="00624BCD">
            <w:pPr>
              <w:rPr>
                <w:sz w:val="18"/>
                <w:szCs w:val="18"/>
              </w:rPr>
            </w:pPr>
            <w:r w:rsidRPr="00156204">
              <w:rPr>
                <w:rFonts w:eastAsia="Aptos" w:cs="Aptos"/>
                <w:sz w:val="18"/>
                <w:szCs w:val="18"/>
              </w:rPr>
              <w:t xml:space="preserve">Občinska celostna prometna strategija MONG – anketa potovalnih navad in načrt spremljanja kazalnikov; MONG ter nacionalni </w:t>
            </w:r>
            <w:r w:rsidRPr="00156204">
              <w:rPr>
                <w:rFonts w:eastAsia="Aptos" w:cs="Aptos"/>
                <w:sz w:val="18"/>
                <w:szCs w:val="18"/>
              </w:rPr>
              <w:lastRenderedPageBreak/>
              <w:t>sistem OCPS pri MOPE/SPTM.</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50A7C8E5" w14:textId="286DC5EF" w:rsidR="29A8477B" w:rsidRPr="00156204" w:rsidRDefault="29A8477B" w:rsidP="00624BCD">
            <w:pPr>
              <w:rPr>
                <w:sz w:val="18"/>
                <w:szCs w:val="18"/>
              </w:rPr>
            </w:pPr>
            <w:r w:rsidRPr="00156204">
              <w:rPr>
                <w:rFonts w:eastAsia="Aptos" w:cs="Aptos"/>
                <w:sz w:val="18"/>
                <w:szCs w:val="18"/>
              </w:rPr>
              <w:lastRenderedPageBreak/>
              <w:t>povečanje deleža hoje, kolesarjenja in javnega prevoza ter zmanjšanje deleža poti z osebnim avtomobilom</w:t>
            </w:r>
          </w:p>
        </w:tc>
        <w:tc>
          <w:tcPr>
            <w:tcW w:w="1168"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72822A25" w14:textId="30DB48E5" w:rsidR="29A8477B" w:rsidRPr="00156204" w:rsidRDefault="29A8477B" w:rsidP="00624BCD">
            <w:pPr>
              <w:rPr>
                <w:sz w:val="18"/>
                <w:szCs w:val="18"/>
              </w:rPr>
            </w:pPr>
            <w:r w:rsidRPr="00156204">
              <w:rPr>
                <w:rFonts w:eastAsia="Aptos" w:cs="Aptos"/>
                <w:sz w:val="18"/>
                <w:szCs w:val="18"/>
              </w:rPr>
              <w:t xml:space="preserve">na 3–4 leta oziroma skladno z metodologijo in ciklom </w:t>
            </w:r>
            <w:r w:rsidRPr="00156204">
              <w:rPr>
                <w:rFonts w:eastAsia="Aptos" w:cs="Aptos"/>
                <w:sz w:val="18"/>
                <w:szCs w:val="18"/>
              </w:rPr>
              <w:lastRenderedPageBreak/>
              <w:t>spremljanja OCPS</w:t>
            </w:r>
          </w:p>
        </w:tc>
      </w:tr>
      <w:tr w:rsidR="29A8477B" w:rsidRPr="00156204" w14:paraId="62F96D3C" w14:textId="77777777" w:rsidTr="00624BCD">
        <w:trPr>
          <w:trHeight w:val="300"/>
        </w:trPr>
        <w:tc>
          <w:tcPr>
            <w:tcW w:w="1763"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0F0567A4" w14:textId="4D8C8F37" w:rsidR="29A8477B" w:rsidRPr="00156204" w:rsidRDefault="29A8477B" w:rsidP="00624BCD">
            <w:pPr>
              <w:rPr>
                <w:sz w:val="18"/>
                <w:szCs w:val="18"/>
              </w:rPr>
            </w:pPr>
            <w:r w:rsidRPr="00156204">
              <w:rPr>
                <w:rFonts w:eastAsia="Aptos" w:cs="Aptos"/>
                <w:b/>
                <w:bCs/>
                <w:sz w:val="18"/>
                <w:szCs w:val="18"/>
              </w:rPr>
              <w:lastRenderedPageBreak/>
              <w:t>Obisk in uporaba ključnih mestnih kulturnih, športnih, rekreacijskih in prostočasnih vsebin</w:t>
            </w:r>
          </w:p>
        </w:tc>
        <w:tc>
          <w:tcPr>
            <w:tcW w:w="868"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2B20C8C0" w14:textId="6C5E675E" w:rsidR="29A8477B" w:rsidRPr="00156204" w:rsidRDefault="29A8477B" w:rsidP="00624BCD">
            <w:pPr>
              <w:rPr>
                <w:sz w:val="18"/>
                <w:szCs w:val="18"/>
              </w:rPr>
            </w:pPr>
            <w:r w:rsidRPr="00156204">
              <w:rPr>
                <w:rFonts w:eastAsia="Aptos" w:cs="Aptos"/>
                <w:sz w:val="18"/>
                <w:szCs w:val="18"/>
              </w:rPr>
              <w:t>C2</w:t>
            </w:r>
          </w:p>
        </w:tc>
        <w:tc>
          <w:tcPr>
            <w:tcW w:w="2169"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4A1EAD0F" w14:textId="76D1D885" w:rsidR="29A8477B" w:rsidRPr="00156204" w:rsidRDefault="00D65F7E" w:rsidP="00624BCD">
            <w:pPr>
              <w:rPr>
                <w:sz w:val="18"/>
                <w:szCs w:val="18"/>
              </w:rPr>
            </w:pPr>
            <w:r w:rsidRPr="00D65F7E">
              <w:rPr>
                <w:rFonts w:eastAsia="Aptos" w:cs="Aptos"/>
                <w:sz w:val="18"/>
                <w:szCs w:val="18"/>
              </w:rPr>
              <w:t>Meri se število obiskov oziroma udeležencev v izbranih kulturnih, športnih, rekreacijskih in prostočasnih programih ter objektih. Kazalnik prikazuje uporabo mestnih priložnosti, ne le obstoj infrastrukture.</w:t>
            </w:r>
          </w:p>
        </w:tc>
        <w:tc>
          <w:tcPr>
            <w:tcW w:w="2041"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05664F95" w14:textId="738B9269" w:rsidR="29A8477B" w:rsidRPr="00156204" w:rsidRDefault="29A8477B" w:rsidP="00624BCD">
            <w:pPr>
              <w:rPr>
                <w:sz w:val="18"/>
                <w:szCs w:val="18"/>
              </w:rPr>
            </w:pPr>
            <w:r w:rsidRPr="00156204">
              <w:rPr>
                <w:rFonts w:eastAsia="Aptos" w:cs="Aptos"/>
                <w:sz w:val="18"/>
                <w:szCs w:val="18"/>
              </w:rPr>
              <w:t>Pred prvo meritvijo se določi stalni nabor ključnih programov, objektov in vsebin ter enotna pravila poročanja. Izhodišče se določi za zadnje zaključeno leto z dovolj popolnimi podatki. Število obiskov in število udeležencev se vodita ločeno, ker posamezna oseba lahko vsebine uporabi večkrat.</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79454575" w14:textId="76E902CF" w:rsidR="29A8477B" w:rsidRPr="00156204" w:rsidRDefault="29A8477B" w:rsidP="00624BCD">
            <w:pPr>
              <w:rPr>
                <w:sz w:val="18"/>
                <w:szCs w:val="18"/>
              </w:rPr>
            </w:pPr>
            <w:r w:rsidRPr="00156204">
              <w:rPr>
                <w:rFonts w:eastAsia="Aptos" w:cs="Aptos"/>
                <w:sz w:val="18"/>
                <w:szCs w:val="18"/>
              </w:rPr>
              <w:t>število obiskov oziroma uporab na leto; kjer je mogoče tudi število udeležencev</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7F9F0F52" w14:textId="26EAF2EF" w:rsidR="29A8477B" w:rsidRPr="00156204" w:rsidRDefault="29A8477B" w:rsidP="00624BCD">
            <w:pPr>
              <w:rPr>
                <w:sz w:val="18"/>
                <w:szCs w:val="18"/>
              </w:rPr>
            </w:pPr>
            <w:r w:rsidRPr="00156204">
              <w:rPr>
                <w:rFonts w:eastAsia="Aptos" w:cs="Aptos"/>
                <w:sz w:val="18"/>
                <w:szCs w:val="18"/>
              </w:rPr>
              <w:t>MONG – centralna evidenca na podlagi letnih poročil javnih zavodov, upravljavcev kulturnih in športnih objektov, društev ter drugih izbranih izvajalcev; sistemi vstopnic, rezervacij in števci obiska.</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232FAD7B" w14:textId="7EE67FD0" w:rsidR="29A8477B" w:rsidRPr="00156204" w:rsidRDefault="29A8477B" w:rsidP="00624BCD">
            <w:pPr>
              <w:rPr>
                <w:sz w:val="18"/>
                <w:szCs w:val="18"/>
              </w:rPr>
            </w:pPr>
            <w:r w:rsidRPr="00156204">
              <w:rPr>
                <w:rFonts w:eastAsia="Aptos" w:cs="Aptos"/>
                <w:sz w:val="18"/>
                <w:szCs w:val="18"/>
              </w:rPr>
              <w:t>povečanje uporabe in raznolikosti udeležbe ob ohranjanju kakovosti programov</w:t>
            </w:r>
          </w:p>
        </w:tc>
        <w:tc>
          <w:tcPr>
            <w:tcW w:w="1168"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55688011" w14:textId="53555883" w:rsidR="29A8477B" w:rsidRPr="00156204" w:rsidRDefault="29A8477B" w:rsidP="00624BCD">
            <w:pPr>
              <w:rPr>
                <w:sz w:val="18"/>
                <w:szCs w:val="18"/>
              </w:rPr>
            </w:pPr>
            <w:r w:rsidRPr="00156204">
              <w:rPr>
                <w:rFonts w:eastAsia="Aptos" w:cs="Aptos"/>
                <w:sz w:val="18"/>
                <w:szCs w:val="18"/>
              </w:rPr>
              <w:t>letno</w:t>
            </w:r>
          </w:p>
        </w:tc>
      </w:tr>
      <w:tr w:rsidR="29A8477B" w:rsidRPr="00156204" w14:paraId="31392376" w14:textId="77777777" w:rsidTr="00624BCD">
        <w:trPr>
          <w:trHeight w:val="300"/>
        </w:trPr>
        <w:tc>
          <w:tcPr>
            <w:tcW w:w="14324" w:type="dxa"/>
            <w:gridSpan w:val="8"/>
            <w:tcBorders>
              <w:top w:val="single" w:sz="8" w:space="0" w:color="auto"/>
              <w:left w:val="single" w:sz="8" w:space="0" w:color="auto"/>
              <w:bottom w:val="single" w:sz="8" w:space="0" w:color="auto"/>
              <w:right w:val="single" w:sz="8" w:space="0" w:color="auto"/>
            </w:tcBorders>
            <w:shd w:val="clear" w:color="auto" w:fill="E7E6E6"/>
            <w:tcMar>
              <w:top w:w="60" w:type="dxa"/>
              <w:left w:w="65" w:type="dxa"/>
              <w:bottom w:w="60" w:type="dxa"/>
              <w:right w:w="65" w:type="dxa"/>
            </w:tcMar>
            <w:vAlign w:val="center"/>
          </w:tcPr>
          <w:p w14:paraId="5CEB9A17" w14:textId="195F3C8A" w:rsidR="29A8477B" w:rsidRPr="00156204" w:rsidRDefault="29A8477B" w:rsidP="00624BCD">
            <w:pPr>
              <w:jc w:val="center"/>
              <w:rPr>
                <w:sz w:val="18"/>
                <w:szCs w:val="18"/>
              </w:rPr>
            </w:pPr>
            <w:r w:rsidRPr="00156204">
              <w:rPr>
                <w:rFonts w:eastAsia="Aptos" w:cs="Aptos"/>
                <w:b/>
                <w:bCs/>
                <w:color w:val="000000" w:themeColor="text1"/>
                <w:sz w:val="18"/>
                <w:szCs w:val="18"/>
              </w:rPr>
              <w:t>D – VITALNO PODEŽELJE</w:t>
            </w:r>
          </w:p>
        </w:tc>
      </w:tr>
      <w:tr w:rsidR="29A8477B" w:rsidRPr="00156204" w14:paraId="2DA16622" w14:textId="77777777" w:rsidTr="00624BCD">
        <w:trPr>
          <w:trHeight w:val="300"/>
        </w:trPr>
        <w:tc>
          <w:tcPr>
            <w:tcW w:w="1763"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0E5EF232" w14:textId="1AB1B448" w:rsidR="29A8477B" w:rsidRPr="00156204" w:rsidRDefault="29A8477B" w:rsidP="00624BCD">
            <w:pPr>
              <w:rPr>
                <w:sz w:val="18"/>
                <w:szCs w:val="18"/>
              </w:rPr>
            </w:pPr>
            <w:r w:rsidRPr="00156204">
              <w:rPr>
                <w:rFonts w:eastAsia="Aptos" w:cs="Aptos"/>
                <w:b/>
                <w:bCs/>
                <w:sz w:val="18"/>
                <w:szCs w:val="18"/>
              </w:rPr>
              <w:t>Število aktivnih lokalnih ponudnikov, predelovalcev in obrtnikov, vključenih v lokalne proizvodne in kratke dobavne verige</w:t>
            </w:r>
          </w:p>
        </w:tc>
        <w:tc>
          <w:tcPr>
            <w:tcW w:w="868"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34CE2A3A" w14:textId="39EDBFA7" w:rsidR="29A8477B" w:rsidRPr="00156204" w:rsidRDefault="29A8477B" w:rsidP="00624BCD">
            <w:pPr>
              <w:rPr>
                <w:sz w:val="18"/>
                <w:szCs w:val="18"/>
              </w:rPr>
            </w:pPr>
            <w:r w:rsidRPr="00156204">
              <w:rPr>
                <w:rFonts w:eastAsia="Aptos" w:cs="Aptos"/>
                <w:sz w:val="18"/>
                <w:szCs w:val="18"/>
              </w:rPr>
              <w:t>D1</w:t>
            </w:r>
          </w:p>
        </w:tc>
        <w:tc>
          <w:tcPr>
            <w:tcW w:w="2169"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6C4BEF19" w14:textId="5DF22736" w:rsidR="29A8477B" w:rsidRPr="00156204" w:rsidRDefault="005D18E6" w:rsidP="00624BCD">
            <w:pPr>
              <w:rPr>
                <w:sz w:val="18"/>
                <w:szCs w:val="18"/>
              </w:rPr>
            </w:pPr>
            <w:r w:rsidRPr="005D18E6">
              <w:rPr>
                <w:rFonts w:eastAsia="Aptos" w:cs="Aptos"/>
                <w:sz w:val="18"/>
                <w:szCs w:val="18"/>
              </w:rPr>
              <w:t xml:space="preserve">Kazalnik prikazuje razvoj lokalne proizvodne in samooskrbne osnove podeželja. Vključuje kmetijska gospodarstva, predelovalce, obrtnike in druge lokalne ponudnike, ki svoje proizvode ali storitve vključujejo v organizirane lokalne prodajne in oskrbne poti, </w:t>
            </w:r>
            <w:r w:rsidRPr="005D18E6">
              <w:rPr>
                <w:rFonts w:eastAsia="Aptos" w:cs="Aptos"/>
                <w:sz w:val="18"/>
                <w:szCs w:val="18"/>
              </w:rPr>
              <w:lastRenderedPageBreak/>
              <w:t>na primer v oskrbo javnih zavodov, gostinstvo, turizem, tržnice, zadruge ali druge oblike neposredne prodaje.</w:t>
            </w:r>
          </w:p>
        </w:tc>
        <w:tc>
          <w:tcPr>
            <w:tcW w:w="2041"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1B47B685" w14:textId="51CEE4E6" w:rsidR="29A8477B" w:rsidRPr="00156204" w:rsidRDefault="29A8477B" w:rsidP="00624BCD">
            <w:pPr>
              <w:rPr>
                <w:sz w:val="18"/>
                <w:szCs w:val="18"/>
              </w:rPr>
            </w:pPr>
            <w:r w:rsidRPr="00156204">
              <w:rPr>
                <w:rFonts w:eastAsia="Aptos" w:cs="Aptos"/>
                <w:sz w:val="18"/>
                <w:szCs w:val="18"/>
              </w:rPr>
              <w:lastRenderedPageBreak/>
              <w:t xml:space="preserve">Izhodišče se določi s prvim usklajenim popisom. Kot aktiven se šteje ponudnik, ki je v spremljanem letu dejansko prodajal ali dobavljal v vsaj eno vnaprej opredeljeno lokalno oziroma kratko dobavno verigo (npr. javni zavodi, gostinstvo, </w:t>
            </w:r>
            <w:r w:rsidRPr="00156204">
              <w:rPr>
                <w:rFonts w:eastAsia="Aptos" w:cs="Aptos"/>
                <w:sz w:val="18"/>
                <w:szCs w:val="18"/>
              </w:rPr>
              <w:lastRenderedPageBreak/>
              <w:t>turizem, tržnice, zadruge ali organizirana neposredna prodaja).</w:t>
            </w:r>
          </w:p>
        </w:tc>
        <w:tc>
          <w:tcPr>
            <w:tcW w:w="2105"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6B5CBB0C" w14:textId="0C85B594" w:rsidR="29A8477B" w:rsidRPr="00156204" w:rsidRDefault="29A8477B" w:rsidP="00624BCD">
            <w:pPr>
              <w:rPr>
                <w:sz w:val="18"/>
                <w:szCs w:val="18"/>
              </w:rPr>
            </w:pPr>
            <w:r w:rsidRPr="00156204">
              <w:rPr>
                <w:rFonts w:eastAsia="Aptos" w:cs="Aptos"/>
                <w:sz w:val="18"/>
                <w:szCs w:val="18"/>
              </w:rPr>
              <w:lastRenderedPageBreak/>
              <w:t>število aktivnih ponudnikov na leto; ponudnik se v skupnem seštevku šteje enkrat</w:t>
            </w:r>
          </w:p>
        </w:tc>
        <w:tc>
          <w:tcPr>
            <w:tcW w:w="2105"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289470B3" w14:textId="2A486049" w:rsidR="29A8477B" w:rsidRPr="00156204" w:rsidRDefault="29A8477B" w:rsidP="00624BCD">
            <w:pPr>
              <w:rPr>
                <w:sz w:val="18"/>
                <w:szCs w:val="18"/>
              </w:rPr>
            </w:pPr>
            <w:r w:rsidRPr="00156204">
              <w:rPr>
                <w:rFonts w:eastAsia="Aptos" w:cs="Aptos"/>
                <w:sz w:val="18"/>
                <w:szCs w:val="18"/>
              </w:rPr>
              <w:t xml:space="preserve">MONG/RRA SP – centralna evidenca na podlagi podatkov javnih zavodov, upravljavcev tržnic, zadrug, turističnih in gostinskih partnerjev ter drugih organizatorjev dobavnih verig; MKGP – Register kmetijskih gospodarstev in AJPES – Poslovni register </w:t>
            </w:r>
            <w:r w:rsidRPr="00156204">
              <w:rPr>
                <w:rFonts w:eastAsia="Aptos" w:cs="Aptos"/>
                <w:sz w:val="18"/>
                <w:szCs w:val="18"/>
              </w:rPr>
              <w:lastRenderedPageBreak/>
              <w:t>Slovenije kot podporna vira za preverjanje statusa.</w:t>
            </w:r>
          </w:p>
        </w:tc>
        <w:tc>
          <w:tcPr>
            <w:tcW w:w="2105"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5ED68836" w14:textId="11C95EA3" w:rsidR="29A8477B" w:rsidRPr="00156204" w:rsidRDefault="29A8477B" w:rsidP="00624BCD">
            <w:pPr>
              <w:rPr>
                <w:sz w:val="18"/>
                <w:szCs w:val="18"/>
              </w:rPr>
            </w:pPr>
            <w:r w:rsidRPr="00156204">
              <w:rPr>
                <w:rFonts w:eastAsia="Aptos" w:cs="Aptos"/>
                <w:sz w:val="18"/>
                <w:szCs w:val="18"/>
              </w:rPr>
              <w:lastRenderedPageBreak/>
              <w:t>povečanje</w:t>
            </w:r>
          </w:p>
        </w:tc>
        <w:tc>
          <w:tcPr>
            <w:tcW w:w="1168"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4DB62F0D" w14:textId="65C1E95E" w:rsidR="29A8477B" w:rsidRPr="00156204" w:rsidRDefault="29A8477B" w:rsidP="00624BCD">
            <w:pPr>
              <w:rPr>
                <w:sz w:val="18"/>
                <w:szCs w:val="18"/>
              </w:rPr>
            </w:pPr>
            <w:r w:rsidRPr="00156204">
              <w:rPr>
                <w:rFonts w:eastAsia="Aptos" w:cs="Aptos"/>
                <w:sz w:val="18"/>
                <w:szCs w:val="18"/>
              </w:rPr>
              <w:t>letno</w:t>
            </w:r>
          </w:p>
        </w:tc>
      </w:tr>
      <w:tr w:rsidR="29A8477B" w:rsidRPr="00156204" w14:paraId="1F432541" w14:textId="77777777" w:rsidTr="00624BCD">
        <w:trPr>
          <w:trHeight w:val="300"/>
        </w:trPr>
        <w:tc>
          <w:tcPr>
            <w:tcW w:w="1763"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1B87C731" w14:textId="01214414" w:rsidR="29A8477B" w:rsidRPr="00156204" w:rsidRDefault="29A8477B" w:rsidP="00624BCD">
            <w:pPr>
              <w:rPr>
                <w:sz w:val="18"/>
                <w:szCs w:val="18"/>
              </w:rPr>
            </w:pPr>
            <w:r w:rsidRPr="00156204">
              <w:rPr>
                <w:rFonts w:eastAsia="Aptos" w:cs="Aptos"/>
                <w:b/>
                <w:bCs/>
                <w:sz w:val="18"/>
                <w:szCs w:val="18"/>
              </w:rPr>
              <w:t>Demografska vitalnost podeželskih naselij</w:t>
            </w:r>
          </w:p>
        </w:tc>
        <w:tc>
          <w:tcPr>
            <w:tcW w:w="868"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7CC8D75D" w14:textId="2BA26372" w:rsidR="29A8477B" w:rsidRPr="00156204" w:rsidRDefault="29A8477B" w:rsidP="00624BCD">
            <w:pPr>
              <w:rPr>
                <w:sz w:val="18"/>
                <w:szCs w:val="18"/>
              </w:rPr>
            </w:pPr>
            <w:r w:rsidRPr="00156204">
              <w:rPr>
                <w:rFonts w:eastAsia="Aptos" w:cs="Aptos"/>
                <w:sz w:val="18"/>
                <w:szCs w:val="18"/>
              </w:rPr>
              <w:t>D2</w:t>
            </w:r>
          </w:p>
        </w:tc>
        <w:tc>
          <w:tcPr>
            <w:tcW w:w="2169"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70FC623C" w14:textId="3F6831A8" w:rsidR="29A8477B" w:rsidRPr="00156204" w:rsidRDefault="00717325" w:rsidP="00624BCD">
            <w:pPr>
              <w:rPr>
                <w:sz w:val="18"/>
                <w:szCs w:val="18"/>
              </w:rPr>
            </w:pPr>
            <w:r w:rsidRPr="00717325">
              <w:rPr>
                <w:rFonts w:eastAsia="Aptos" w:cs="Aptos"/>
                <w:sz w:val="18"/>
                <w:szCs w:val="18"/>
              </w:rPr>
              <w:t>Meri dolgoročno gibanje števila prebivalcev in starostno strukturo izbranih podeželskih naselij. Kazalnik se interpretira skupaj z dostopnostjo storitev, stanovanjskimi možnostmi in prometno povezanostjo. Če podeželje izgublja prebivalce ali se izrazito stara, tudi drugi ukrepi nimajo dolgoročnega učinka.</w:t>
            </w:r>
          </w:p>
        </w:tc>
        <w:tc>
          <w:tcPr>
            <w:tcW w:w="2041"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0F7A0211" w14:textId="4C76CFF1" w:rsidR="29A8477B" w:rsidRPr="00156204" w:rsidRDefault="29A8477B" w:rsidP="00624BCD">
            <w:pPr>
              <w:rPr>
                <w:sz w:val="18"/>
                <w:szCs w:val="18"/>
              </w:rPr>
            </w:pPr>
            <w:r w:rsidRPr="00156204">
              <w:rPr>
                <w:rFonts w:eastAsia="Aptos" w:cs="Aptos"/>
                <w:sz w:val="18"/>
                <w:szCs w:val="18"/>
              </w:rPr>
              <w:t>Najprej se enkratno določi seznam podeželskih naselij, ki se bo uporabljal skozi celotno obdobje spremljanja. Izhodišče predstavljajo zadnji objavljeni letni podatki SURS o številu in starostni sestavi prebivalstva v teh naseljih. Priporoča se prikaz vrednosti po naseljih ter skupnega agregata.</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11D2DD55" w14:textId="2FF8A18E" w:rsidR="29A8477B" w:rsidRPr="00156204" w:rsidRDefault="29A8477B" w:rsidP="00624BCD">
            <w:pPr>
              <w:rPr>
                <w:sz w:val="18"/>
                <w:szCs w:val="18"/>
              </w:rPr>
            </w:pPr>
            <w:r w:rsidRPr="00156204">
              <w:rPr>
                <w:rFonts w:eastAsia="Aptos" w:cs="Aptos"/>
                <w:sz w:val="18"/>
                <w:szCs w:val="18"/>
              </w:rPr>
              <w:t>število prebivalcev; petletna sprememba v %; indeks staranja oziroma deleži izbranih starostnih skupin</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54F34B2B" w14:textId="75F2BB12" w:rsidR="29A8477B" w:rsidRPr="00156204" w:rsidRDefault="29A8477B" w:rsidP="00624BCD">
            <w:pPr>
              <w:rPr>
                <w:sz w:val="18"/>
                <w:szCs w:val="18"/>
              </w:rPr>
            </w:pPr>
            <w:r w:rsidRPr="00156204">
              <w:rPr>
                <w:rFonts w:eastAsia="Aptos" w:cs="Aptos"/>
                <w:sz w:val="18"/>
                <w:szCs w:val="18"/>
              </w:rPr>
              <w:t xml:space="preserve">SURS, podatkovna baza </w:t>
            </w:r>
            <w:proofErr w:type="spellStart"/>
            <w:r w:rsidRPr="00156204">
              <w:rPr>
                <w:rFonts w:eastAsia="Aptos" w:cs="Aptos"/>
                <w:sz w:val="18"/>
                <w:szCs w:val="18"/>
              </w:rPr>
              <w:t>SiStat</w:t>
            </w:r>
            <w:proofErr w:type="spellEnd"/>
            <w:r w:rsidRPr="00156204">
              <w:rPr>
                <w:rFonts w:eastAsia="Aptos" w:cs="Aptos"/>
                <w:sz w:val="18"/>
                <w:szCs w:val="18"/>
              </w:rPr>
              <w:t xml:space="preserve"> – Prebivalstvo po spolu in po starosti, občine in naselja, Slovenija, letno (ID 05C5003S) ter Prebivalstvo – izbrani kazalniki, občine in naselja, Slovenija, letno (ID 05C5006S); MONG – stalni seznam podeželskih naselij.</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0D44B289" w14:textId="49CC75FE" w:rsidR="29A8477B" w:rsidRPr="00156204" w:rsidRDefault="29A8477B" w:rsidP="00624BCD">
            <w:pPr>
              <w:rPr>
                <w:sz w:val="18"/>
                <w:szCs w:val="18"/>
              </w:rPr>
            </w:pPr>
            <w:r w:rsidRPr="00156204">
              <w:rPr>
                <w:rFonts w:eastAsia="Aptos" w:cs="Aptos"/>
                <w:sz w:val="18"/>
                <w:szCs w:val="18"/>
              </w:rPr>
              <w:t>stabilizacija oziroma rast števila prebivalcev in izboljšanje starostne strukture</w:t>
            </w:r>
          </w:p>
        </w:tc>
        <w:tc>
          <w:tcPr>
            <w:tcW w:w="1168"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0B45B220" w14:textId="6B4E7A1D" w:rsidR="29A8477B" w:rsidRPr="00156204" w:rsidRDefault="29A8477B" w:rsidP="00624BCD">
            <w:pPr>
              <w:rPr>
                <w:sz w:val="18"/>
                <w:szCs w:val="18"/>
              </w:rPr>
            </w:pPr>
            <w:r w:rsidRPr="00156204">
              <w:rPr>
                <w:rFonts w:eastAsia="Aptos" w:cs="Aptos"/>
                <w:sz w:val="18"/>
                <w:szCs w:val="18"/>
              </w:rPr>
              <w:t>letno; poglobljena presoja trenda na 3–5 let</w:t>
            </w:r>
          </w:p>
        </w:tc>
      </w:tr>
      <w:tr w:rsidR="29A8477B" w:rsidRPr="00156204" w14:paraId="1EBC9537" w14:textId="77777777" w:rsidTr="00624BCD">
        <w:trPr>
          <w:trHeight w:val="300"/>
        </w:trPr>
        <w:tc>
          <w:tcPr>
            <w:tcW w:w="1763"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09395612" w14:textId="1D6C17C4" w:rsidR="29A8477B" w:rsidRPr="00156204" w:rsidRDefault="29A8477B" w:rsidP="00624BCD">
            <w:pPr>
              <w:rPr>
                <w:sz w:val="18"/>
                <w:szCs w:val="18"/>
              </w:rPr>
            </w:pPr>
            <w:r w:rsidRPr="00156204">
              <w:rPr>
                <w:rFonts w:eastAsia="Aptos" w:cs="Aptos"/>
                <w:b/>
                <w:bCs/>
                <w:sz w:val="18"/>
                <w:szCs w:val="18"/>
              </w:rPr>
              <w:t>Obisk in uporaba ključnih podeželskih rekreacijskih, dediščinskih in doživljajskih območij</w:t>
            </w:r>
          </w:p>
        </w:tc>
        <w:tc>
          <w:tcPr>
            <w:tcW w:w="868"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6BABC2CF" w14:textId="0796E64F" w:rsidR="29A8477B" w:rsidRPr="00156204" w:rsidRDefault="29A8477B" w:rsidP="00624BCD">
            <w:pPr>
              <w:rPr>
                <w:sz w:val="18"/>
                <w:szCs w:val="18"/>
              </w:rPr>
            </w:pPr>
            <w:r w:rsidRPr="00156204">
              <w:rPr>
                <w:rFonts w:eastAsia="Aptos" w:cs="Aptos"/>
                <w:sz w:val="18"/>
                <w:szCs w:val="18"/>
              </w:rPr>
              <w:t>D3</w:t>
            </w:r>
          </w:p>
        </w:tc>
        <w:tc>
          <w:tcPr>
            <w:tcW w:w="2169"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109C10E1" w14:textId="2486F36D" w:rsidR="29A8477B" w:rsidRPr="00156204" w:rsidRDefault="00D666E0" w:rsidP="00624BCD">
            <w:pPr>
              <w:rPr>
                <w:sz w:val="18"/>
                <w:szCs w:val="18"/>
              </w:rPr>
            </w:pPr>
            <w:r w:rsidRPr="00D666E0">
              <w:rPr>
                <w:rFonts w:eastAsia="Aptos" w:cs="Aptos"/>
                <w:sz w:val="18"/>
                <w:szCs w:val="18"/>
              </w:rPr>
              <w:t xml:space="preserve">Meri uporabo izbranih podeželskih rekreacijskih, dediščinskih in doživljajskih območij. Pri interpretaciji se upoštevajo nosilnost prostora, </w:t>
            </w:r>
            <w:proofErr w:type="spellStart"/>
            <w:r w:rsidRPr="00D666E0">
              <w:rPr>
                <w:rFonts w:eastAsia="Aptos" w:cs="Aptos"/>
                <w:sz w:val="18"/>
                <w:szCs w:val="18"/>
              </w:rPr>
              <w:t>sezonskost</w:t>
            </w:r>
            <w:proofErr w:type="spellEnd"/>
            <w:r w:rsidRPr="00D666E0">
              <w:rPr>
                <w:rFonts w:eastAsia="Aptos" w:cs="Aptos"/>
                <w:sz w:val="18"/>
                <w:szCs w:val="18"/>
              </w:rPr>
              <w:t xml:space="preserve"> in kakovost ponudbe.</w:t>
            </w:r>
          </w:p>
        </w:tc>
        <w:tc>
          <w:tcPr>
            <w:tcW w:w="2041"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1439C6C5" w14:textId="6EC3B359" w:rsidR="29A8477B" w:rsidRPr="00156204" w:rsidRDefault="29A8477B" w:rsidP="00624BCD">
            <w:pPr>
              <w:rPr>
                <w:sz w:val="18"/>
                <w:szCs w:val="18"/>
              </w:rPr>
            </w:pPr>
            <w:r w:rsidRPr="00156204">
              <w:rPr>
                <w:rFonts w:eastAsia="Aptos" w:cs="Aptos"/>
                <w:sz w:val="18"/>
                <w:szCs w:val="18"/>
              </w:rPr>
              <w:t xml:space="preserve">Pred prvo meritvijo se določi stalni nabor območij in način merjenja za vsako območje. Kjer obstajajo števci, evidence vstopnic ali rezervacij, se uporabi zadnje zaključeno leto; drugje se izhodišče določi s prvo celovito letno meritvijo. Podatki se prikazujejo po območjih in se ne seštevajo brez </w:t>
            </w:r>
            <w:r w:rsidRPr="00156204">
              <w:rPr>
                <w:rFonts w:eastAsia="Aptos" w:cs="Aptos"/>
                <w:sz w:val="18"/>
                <w:szCs w:val="18"/>
              </w:rPr>
              <w:lastRenderedPageBreak/>
              <w:t>primerljive metodologije.</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41F2254A" w14:textId="72FCBDAB" w:rsidR="29A8477B" w:rsidRPr="00156204" w:rsidRDefault="29A8477B" w:rsidP="00624BCD">
            <w:pPr>
              <w:rPr>
                <w:sz w:val="18"/>
                <w:szCs w:val="18"/>
              </w:rPr>
            </w:pPr>
            <w:r w:rsidRPr="00156204">
              <w:rPr>
                <w:rFonts w:eastAsia="Aptos" w:cs="Aptos"/>
                <w:sz w:val="18"/>
                <w:szCs w:val="18"/>
              </w:rPr>
              <w:lastRenderedPageBreak/>
              <w:t>število obiskov oziroma uporab na leto po posameznem območju; po potrebi sezonski indeks</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3DCB93E1" w14:textId="38CDCFEF" w:rsidR="29A8477B" w:rsidRPr="00156204" w:rsidRDefault="29A8477B" w:rsidP="00624BCD">
            <w:pPr>
              <w:rPr>
                <w:sz w:val="18"/>
                <w:szCs w:val="18"/>
              </w:rPr>
            </w:pPr>
            <w:r w:rsidRPr="00156204">
              <w:rPr>
                <w:rFonts w:eastAsia="Aptos" w:cs="Aptos"/>
                <w:sz w:val="18"/>
                <w:szCs w:val="18"/>
              </w:rPr>
              <w:t>Upravljavci območij in objektov, MONG, Javni zavod za turizem Nova Gorica in Vipavska dolina, sistemi vstopnic in rezervacij ter avtomatski števci obiska.</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237BB157" w14:textId="70C957B6" w:rsidR="29A8477B" w:rsidRPr="00156204" w:rsidRDefault="29A8477B" w:rsidP="00624BCD">
            <w:pPr>
              <w:rPr>
                <w:sz w:val="18"/>
                <w:szCs w:val="18"/>
              </w:rPr>
            </w:pPr>
            <w:r w:rsidRPr="00156204">
              <w:rPr>
                <w:rFonts w:eastAsia="Aptos" w:cs="Aptos"/>
                <w:sz w:val="18"/>
                <w:szCs w:val="18"/>
              </w:rPr>
              <w:t>povečanje kakovostne in prostorsko vzdržne uporabe; stabilizacija, kjer se dosega nosilnost prostora</w:t>
            </w:r>
          </w:p>
        </w:tc>
        <w:tc>
          <w:tcPr>
            <w:tcW w:w="1168"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12EDAA56" w14:textId="32150013" w:rsidR="29A8477B" w:rsidRPr="00156204" w:rsidRDefault="29A8477B" w:rsidP="00624BCD">
            <w:pPr>
              <w:rPr>
                <w:sz w:val="18"/>
                <w:szCs w:val="18"/>
              </w:rPr>
            </w:pPr>
            <w:r w:rsidRPr="00156204">
              <w:rPr>
                <w:rFonts w:eastAsia="Aptos" w:cs="Aptos"/>
                <w:sz w:val="18"/>
                <w:szCs w:val="18"/>
              </w:rPr>
              <w:t>letno; na občutljivih območjih tudi sezonsko</w:t>
            </w:r>
          </w:p>
        </w:tc>
      </w:tr>
      <w:tr w:rsidR="29A8477B" w:rsidRPr="00156204" w14:paraId="1CF8F912" w14:textId="77777777" w:rsidTr="00624BCD">
        <w:trPr>
          <w:trHeight w:val="300"/>
        </w:trPr>
        <w:tc>
          <w:tcPr>
            <w:tcW w:w="14324" w:type="dxa"/>
            <w:gridSpan w:val="8"/>
            <w:tcBorders>
              <w:top w:val="single" w:sz="8" w:space="0" w:color="auto"/>
              <w:left w:val="single" w:sz="8" w:space="0" w:color="auto"/>
              <w:bottom w:val="single" w:sz="8" w:space="0" w:color="auto"/>
              <w:right w:val="single" w:sz="8" w:space="0" w:color="auto"/>
            </w:tcBorders>
            <w:shd w:val="clear" w:color="auto" w:fill="E7E6E6"/>
            <w:tcMar>
              <w:top w:w="60" w:type="dxa"/>
              <w:left w:w="65" w:type="dxa"/>
              <w:bottom w:w="60" w:type="dxa"/>
              <w:right w:w="65" w:type="dxa"/>
            </w:tcMar>
            <w:vAlign w:val="center"/>
          </w:tcPr>
          <w:p w14:paraId="22944EFD" w14:textId="6E5813DA" w:rsidR="29A8477B" w:rsidRPr="00156204" w:rsidRDefault="29A8477B" w:rsidP="00624BCD">
            <w:pPr>
              <w:jc w:val="center"/>
              <w:rPr>
                <w:sz w:val="18"/>
                <w:szCs w:val="18"/>
              </w:rPr>
            </w:pPr>
            <w:r w:rsidRPr="00156204">
              <w:rPr>
                <w:rFonts w:eastAsia="Aptos" w:cs="Aptos"/>
                <w:b/>
                <w:bCs/>
                <w:color w:val="000000" w:themeColor="text1"/>
                <w:sz w:val="18"/>
                <w:szCs w:val="18"/>
              </w:rPr>
              <w:t>E – GORIŠKA EVROREGIJA</w:t>
            </w:r>
          </w:p>
        </w:tc>
      </w:tr>
      <w:tr w:rsidR="29A8477B" w:rsidRPr="00156204" w14:paraId="61106AF1" w14:textId="77777777" w:rsidTr="00624BCD">
        <w:trPr>
          <w:trHeight w:val="300"/>
        </w:trPr>
        <w:tc>
          <w:tcPr>
            <w:tcW w:w="1763"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252DDF85" w14:textId="4832E951" w:rsidR="29A8477B" w:rsidRPr="00156204" w:rsidRDefault="29A8477B" w:rsidP="00624BCD">
            <w:pPr>
              <w:rPr>
                <w:sz w:val="18"/>
                <w:szCs w:val="18"/>
              </w:rPr>
            </w:pPr>
            <w:r w:rsidRPr="00156204">
              <w:rPr>
                <w:rFonts w:eastAsia="Aptos" w:cs="Aptos"/>
                <w:b/>
                <w:bCs/>
                <w:sz w:val="18"/>
                <w:szCs w:val="18"/>
              </w:rPr>
              <w:t>Število skupnih čezmejnih javnih storitev, sistemov ali upravljavskih rešitev</w:t>
            </w:r>
          </w:p>
        </w:tc>
        <w:tc>
          <w:tcPr>
            <w:tcW w:w="868"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246CCA8C" w14:textId="5565F9B6" w:rsidR="29A8477B" w:rsidRPr="00156204" w:rsidRDefault="29A8477B" w:rsidP="00624BCD">
            <w:pPr>
              <w:rPr>
                <w:sz w:val="18"/>
                <w:szCs w:val="18"/>
              </w:rPr>
            </w:pPr>
            <w:r w:rsidRPr="00156204">
              <w:rPr>
                <w:rFonts w:eastAsia="Aptos" w:cs="Aptos"/>
                <w:sz w:val="18"/>
                <w:szCs w:val="18"/>
              </w:rPr>
              <w:t>E1</w:t>
            </w:r>
          </w:p>
        </w:tc>
        <w:tc>
          <w:tcPr>
            <w:tcW w:w="2169"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7DA6EAF8" w14:textId="0DF1C64D" w:rsidR="29A8477B" w:rsidRPr="00156204" w:rsidRDefault="00AD1818" w:rsidP="00624BCD">
            <w:pPr>
              <w:rPr>
                <w:sz w:val="18"/>
                <w:szCs w:val="18"/>
              </w:rPr>
            </w:pPr>
            <w:r w:rsidRPr="00AD1818">
              <w:rPr>
                <w:rFonts w:eastAsia="Aptos" w:cs="Aptos"/>
                <w:sz w:val="18"/>
                <w:szCs w:val="18"/>
              </w:rPr>
              <w:t>Meri število trajno delujočih skupnih ali usklajenih storitev, sistemov in upravljavskih rešitev. Enkratni dogodki in projekti brez nadaljnjega delovanja se ne upoštevajo. Kazalnik presega simbolno sodelovanje in meri funkcionalno povezanost prostora.</w:t>
            </w:r>
          </w:p>
        </w:tc>
        <w:tc>
          <w:tcPr>
            <w:tcW w:w="2041"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71B81FF4" w14:textId="695F04C1" w:rsidR="29A8477B" w:rsidRPr="00156204" w:rsidRDefault="29A8477B" w:rsidP="00624BCD">
            <w:pPr>
              <w:rPr>
                <w:sz w:val="18"/>
                <w:szCs w:val="18"/>
              </w:rPr>
            </w:pPr>
            <w:r w:rsidRPr="00156204">
              <w:rPr>
                <w:rFonts w:eastAsia="Aptos" w:cs="Aptos"/>
                <w:sz w:val="18"/>
                <w:szCs w:val="18"/>
              </w:rPr>
              <w:t>Izhodišče se določi s skupnim popisom aktivnih rešitev na zadnji dan izhodiščnega leta. Upošteva se rešitev, ki ima opredeljene partnerje in način upravljanja, dejansko deluje oziroma se redno izvaja ter je namenjena uporabnikom ali skupnemu upravljanju čezmejnega prostora.</w:t>
            </w:r>
          </w:p>
        </w:tc>
        <w:tc>
          <w:tcPr>
            <w:tcW w:w="2105"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3B3B59AF" w14:textId="1DECF87E" w:rsidR="29A8477B" w:rsidRPr="00156204" w:rsidRDefault="29A8477B" w:rsidP="00624BCD">
            <w:pPr>
              <w:rPr>
                <w:sz w:val="18"/>
                <w:szCs w:val="18"/>
              </w:rPr>
            </w:pPr>
            <w:r w:rsidRPr="00156204">
              <w:rPr>
                <w:rFonts w:eastAsia="Aptos" w:cs="Aptos"/>
                <w:sz w:val="18"/>
                <w:szCs w:val="18"/>
              </w:rPr>
              <w:t>število aktivnih skupnih ali usklajenih storitev, sistemov in upravljavskih rešitev</w:t>
            </w:r>
          </w:p>
        </w:tc>
        <w:tc>
          <w:tcPr>
            <w:tcW w:w="2105"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753B0D91" w14:textId="314A4899" w:rsidR="29A8477B" w:rsidRPr="00156204" w:rsidRDefault="29A8477B" w:rsidP="00624BCD">
            <w:pPr>
              <w:rPr>
                <w:sz w:val="18"/>
                <w:szCs w:val="18"/>
              </w:rPr>
            </w:pPr>
            <w:r w:rsidRPr="00156204">
              <w:rPr>
                <w:rFonts w:eastAsia="Aptos" w:cs="Aptos"/>
                <w:sz w:val="18"/>
                <w:szCs w:val="18"/>
              </w:rPr>
              <w:t>Skupna letna evidenca MONG, EZTS GO, Občine Gorica, Občine Šempeter - Vrtojba ter pristojnih izvajalcev in upravljavcev posameznih storitev oziroma sistemov.</w:t>
            </w:r>
          </w:p>
        </w:tc>
        <w:tc>
          <w:tcPr>
            <w:tcW w:w="2105"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3442BD39" w14:textId="18CB47CA" w:rsidR="29A8477B" w:rsidRPr="00156204" w:rsidRDefault="29A8477B" w:rsidP="00624BCD">
            <w:pPr>
              <w:rPr>
                <w:sz w:val="18"/>
                <w:szCs w:val="18"/>
              </w:rPr>
            </w:pPr>
            <w:r w:rsidRPr="00156204">
              <w:rPr>
                <w:rFonts w:eastAsia="Aptos" w:cs="Aptos"/>
                <w:sz w:val="18"/>
                <w:szCs w:val="18"/>
              </w:rPr>
              <w:t>povečanje števila in vsebinskega obsega trajno delujočih rešitev</w:t>
            </w:r>
          </w:p>
        </w:tc>
        <w:tc>
          <w:tcPr>
            <w:tcW w:w="1168" w:type="dxa"/>
            <w:tcBorders>
              <w:top w:val="nil"/>
              <w:left w:val="single" w:sz="8" w:space="0" w:color="auto"/>
              <w:bottom w:val="single" w:sz="8" w:space="0" w:color="auto"/>
              <w:right w:val="single" w:sz="8" w:space="0" w:color="auto"/>
            </w:tcBorders>
            <w:tcMar>
              <w:top w:w="60" w:type="dxa"/>
              <w:left w:w="65" w:type="dxa"/>
              <w:bottom w:w="60" w:type="dxa"/>
              <w:right w:w="65" w:type="dxa"/>
            </w:tcMar>
            <w:vAlign w:val="center"/>
          </w:tcPr>
          <w:p w14:paraId="5F697A20" w14:textId="0C7FFA0A" w:rsidR="29A8477B" w:rsidRPr="00156204" w:rsidRDefault="29A8477B" w:rsidP="00624BCD">
            <w:pPr>
              <w:rPr>
                <w:sz w:val="18"/>
                <w:szCs w:val="18"/>
              </w:rPr>
            </w:pPr>
            <w:r w:rsidRPr="00156204">
              <w:rPr>
                <w:rFonts w:eastAsia="Aptos" w:cs="Aptos"/>
                <w:sz w:val="18"/>
                <w:szCs w:val="18"/>
              </w:rPr>
              <w:t>letno</w:t>
            </w:r>
          </w:p>
        </w:tc>
      </w:tr>
      <w:tr w:rsidR="29A8477B" w:rsidRPr="00156204" w14:paraId="4D350951" w14:textId="77777777" w:rsidTr="00624BCD">
        <w:trPr>
          <w:trHeight w:val="300"/>
        </w:trPr>
        <w:tc>
          <w:tcPr>
            <w:tcW w:w="1763"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48602541" w14:textId="29B96C90" w:rsidR="29A8477B" w:rsidRPr="00156204" w:rsidRDefault="29A8477B" w:rsidP="00624BCD">
            <w:pPr>
              <w:rPr>
                <w:sz w:val="18"/>
                <w:szCs w:val="18"/>
              </w:rPr>
            </w:pPr>
            <w:r w:rsidRPr="00156204">
              <w:rPr>
                <w:rFonts w:eastAsia="Aptos" w:cs="Aptos"/>
                <w:b/>
                <w:bCs/>
                <w:sz w:val="18"/>
                <w:szCs w:val="18"/>
              </w:rPr>
              <w:t xml:space="preserve">Uporaba čezmejnih </w:t>
            </w:r>
            <w:proofErr w:type="spellStart"/>
            <w:r w:rsidRPr="00156204">
              <w:rPr>
                <w:rFonts w:eastAsia="Aptos" w:cs="Aptos"/>
                <w:b/>
                <w:bCs/>
                <w:sz w:val="18"/>
                <w:szCs w:val="18"/>
              </w:rPr>
              <w:t>mobilnostnih</w:t>
            </w:r>
            <w:proofErr w:type="spellEnd"/>
            <w:r w:rsidRPr="00156204">
              <w:rPr>
                <w:rFonts w:eastAsia="Aptos" w:cs="Aptos"/>
                <w:b/>
                <w:bCs/>
                <w:sz w:val="18"/>
                <w:szCs w:val="18"/>
              </w:rPr>
              <w:t xml:space="preserve"> povezav</w:t>
            </w:r>
          </w:p>
        </w:tc>
        <w:tc>
          <w:tcPr>
            <w:tcW w:w="868"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28B46609" w14:textId="4DECD0D5" w:rsidR="29A8477B" w:rsidRPr="00156204" w:rsidRDefault="29A8477B" w:rsidP="00624BCD">
            <w:pPr>
              <w:rPr>
                <w:sz w:val="18"/>
                <w:szCs w:val="18"/>
              </w:rPr>
            </w:pPr>
            <w:r w:rsidRPr="00156204">
              <w:rPr>
                <w:rFonts w:eastAsia="Aptos" w:cs="Aptos"/>
                <w:sz w:val="18"/>
                <w:szCs w:val="18"/>
              </w:rPr>
              <w:t>E1</w:t>
            </w:r>
          </w:p>
        </w:tc>
        <w:tc>
          <w:tcPr>
            <w:tcW w:w="2169"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58A74E73" w14:textId="65AB1894" w:rsidR="29A8477B" w:rsidRPr="00156204" w:rsidRDefault="007C520D" w:rsidP="00624BCD">
            <w:pPr>
              <w:rPr>
                <w:sz w:val="18"/>
                <w:szCs w:val="18"/>
              </w:rPr>
            </w:pPr>
            <w:r w:rsidRPr="007C520D">
              <w:rPr>
                <w:rFonts w:eastAsia="Aptos" w:cs="Aptos"/>
                <w:sz w:val="18"/>
                <w:szCs w:val="18"/>
              </w:rPr>
              <w:t>Meri število uporabnikov čezmejnih prometnih storitev (potniki in uporabniki mreže izposoje koles Go2Go). Kakovost in zadovoljstvo uporabnikov se spremljata z dopolnilno periodično anketo.</w:t>
            </w:r>
          </w:p>
        </w:tc>
        <w:tc>
          <w:tcPr>
            <w:tcW w:w="2041"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5ED2C297" w14:textId="3DC1237E" w:rsidR="29A8477B" w:rsidRPr="00156204" w:rsidRDefault="29A8477B" w:rsidP="00624BCD">
            <w:pPr>
              <w:rPr>
                <w:sz w:val="18"/>
                <w:szCs w:val="18"/>
              </w:rPr>
            </w:pPr>
            <w:r w:rsidRPr="00156204">
              <w:rPr>
                <w:rFonts w:eastAsia="Aptos" w:cs="Aptos"/>
                <w:sz w:val="18"/>
                <w:szCs w:val="18"/>
              </w:rPr>
              <w:t>Izhodišče se določi za zadnje polno leto z dovolj popolnimi podatki po posamezni storitvi. Podatki za avtobus, železnico, izposojo koles in druge oblike se vodijo kot ločene časovne vrste; zaradi različnih merskih enot se ne seštevajo v eno absolutno vrednost brez vnaprej določene indeksne metodologije.</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75080726" w14:textId="3F43C27B" w:rsidR="29A8477B" w:rsidRPr="00156204" w:rsidRDefault="29A8477B" w:rsidP="00624BCD">
            <w:pPr>
              <w:rPr>
                <w:sz w:val="18"/>
                <w:szCs w:val="18"/>
              </w:rPr>
            </w:pPr>
            <w:r w:rsidRPr="00156204">
              <w:rPr>
                <w:rFonts w:eastAsia="Aptos" w:cs="Aptos"/>
                <w:sz w:val="18"/>
                <w:szCs w:val="18"/>
              </w:rPr>
              <w:t>število potnikov, voženj, izposoj oziroma uporab po posamezni storitvi; dopolnilno indeks uporabe (izhodiščno leto = 100) in ocena zadovoljstva</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56E66749" w14:textId="54103327" w:rsidR="29A8477B" w:rsidRPr="00156204" w:rsidRDefault="29A8477B" w:rsidP="00624BCD">
            <w:pPr>
              <w:rPr>
                <w:sz w:val="18"/>
                <w:szCs w:val="18"/>
              </w:rPr>
            </w:pPr>
            <w:r w:rsidRPr="00156204">
              <w:rPr>
                <w:rFonts w:eastAsia="Aptos" w:cs="Aptos"/>
                <w:sz w:val="18"/>
                <w:szCs w:val="18"/>
              </w:rPr>
              <w:t xml:space="preserve">Upravljavci in izvajalci izbranih čezmejnih </w:t>
            </w:r>
            <w:proofErr w:type="spellStart"/>
            <w:r w:rsidRPr="00156204">
              <w:rPr>
                <w:rFonts w:eastAsia="Aptos" w:cs="Aptos"/>
                <w:sz w:val="18"/>
                <w:szCs w:val="18"/>
              </w:rPr>
              <w:t>mobilnostnih</w:t>
            </w:r>
            <w:proofErr w:type="spellEnd"/>
            <w:r w:rsidRPr="00156204">
              <w:rPr>
                <w:rFonts w:eastAsia="Aptos" w:cs="Aptos"/>
                <w:sz w:val="18"/>
                <w:szCs w:val="18"/>
              </w:rPr>
              <w:t xml:space="preserve"> storitev; DUJPP; MONG; EZTS GO oziroma upravljavec sistema Go2Go; po potrebi železniški in avtobusni prevozniki na slovenski in italijanski strani.</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49AC533B" w14:textId="1D8307E2" w:rsidR="29A8477B" w:rsidRPr="00156204" w:rsidRDefault="29A8477B" w:rsidP="00624BCD">
            <w:pPr>
              <w:rPr>
                <w:sz w:val="18"/>
                <w:szCs w:val="18"/>
              </w:rPr>
            </w:pPr>
            <w:r w:rsidRPr="00156204">
              <w:rPr>
                <w:rFonts w:eastAsia="Aptos" w:cs="Aptos"/>
                <w:sz w:val="18"/>
                <w:szCs w:val="18"/>
              </w:rPr>
              <w:t>povečanje uporabe in izboljšanje zadovoljstva uporabnikov</w:t>
            </w:r>
          </w:p>
        </w:tc>
        <w:tc>
          <w:tcPr>
            <w:tcW w:w="1168"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21FD0F4D" w14:textId="0413667E" w:rsidR="29A8477B" w:rsidRPr="00156204" w:rsidRDefault="29A8477B" w:rsidP="00624BCD">
            <w:pPr>
              <w:rPr>
                <w:sz w:val="18"/>
                <w:szCs w:val="18"/>
              </w:rPr>
            </w:pPr>
            <w:r w:rsidRPr="00156204">
              <w:rPr>
                <w:rFonts w:eastAsia="Aptos" w:cs="Aptos"/>
                <w:sz w:val="18"/>
                <w:szCs w:val="18"/>
              </w:rPr>
              <w:t>letno; anketa zadovoljstva na 3 leta</w:t>
            </w:r>
          </w:p>
        </w:tc>
      </w:tr>
      <w:tr w:rsidR="29A8477B" w:rsidRPr="00156204" w14:paraId="4D4FF882" w14:textId="77777777" w:rsidTr="00624BCD">
        <w:trPr>
          <w:trHeight w:val="300"/>
        </w:trPr>
        <w:tc>
          <w:tcPr>
            <w:tcW w:w="1763"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377D514B" w14:textId="7E9B3FC2" w:rsidR="29A8477B" w:rsidRPr="00156204" w:rsidRDefault="29A8477B" w:rsidP="00624BCD">
            <w:pPr>
              <w:rPr>
                <w:sz w:val="18"/>
                <w:szCs w:val="18"/>
              </w:rPr>
            </w:pPr>
            <w:r w:rsidRPr="00156204">
              <w:rPr>
                <w:rFonts w:eastAsia="Aptos" w:cs="Aptos"/>
                <w:b/>
                <w:bCs/>
                <w:sz w:val="18"/>
                <w:szCs w:val="18"/>
              </w:rPr>
              <w:t xml:space="preserve">Mednarodna udeležba v skupnih čezmejnih </w:t>
            </w:r>
            <w:r w:rsidRPr="00156204">
              <w:rPr>
                <w:rFonts w:eastAsia="Aptos" w:cs="Aptos"/>
                <w:b/>
                <w:bCs/>
                <w:sz w:val="18"/>
                <w:szCs w:val="18"/>
              </w:rPr>
              <w:lastRenderedPageBreak/>
              <w:t>kulturnih, izobraževalnih, podjetniških, športnih in turističnih programih</w:t>
            </w:r>
          </w:p>
        </w:tc>
        <w:tc>
          <w:tcPr>
            <w:tcW w:w="868"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162B45EC" w14:textId="09282327" w:rsidR="29A8477B" w:rsidRPr="00156204" w:rsidRDefault="29A8477B" w:rsidP="00624BCD">
            <w:pPr>
              <w:rPr>
                <w:sz w:val="18"/>
                <w:szCs w:val="18"/>
              </w:rPr>
            </w:pPr>
            <w:r w:rsidRPr="00156204">
              <w:rPr>
                <w:rFonts w:eastAsia="Aptos" w:cs="Aptos"/>
                <w:sz w:val="18"/>
                <w:szCs w:val="18"/>
              </w:rPr>
              <w:lastRenderedPageBreak/>
              <w:t>E1, E2</w:t>
            </w:r>
          </w:p>
        </w:tc>
        <w:tc>
          <w:tcPr>
            <w:tcW w:w="2169"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169C34FA" w14:textId="00404CF3" w:rsidR="29A8477B" w:rsidRPr="00156204" w:rsidRDefault="00927E7D" w:rsidP="00624BCD">
            <w:pPr>
              <w:rPr>
                <w:sz w:val="18"/>
                <w:szCs w:val="18"/>
              </w:rPr>
            </w:pPr>
            <w:r w:rsidRPr="00927E7D">
              <w:rPr>
                <w:rFonts w:eastAsia="Aptos" w:cs="Aptos"/>
                <w:sz w:val="18"/>
                <w:szCs w:val="18"/>
              </w:rPr>
              <w:t xml:space="preserve">Meri število udeležencev in obiskovalcev iz širšega evropskega in </w:t>
            </w:r>
            <w:r w:rsidRPr="00927E7D">
              <w:rPr>
                <w:rFonts w:eastAsia="Aptos" w:cs="Aptos"/>
                <w:sz w:val="18"/>
                <w:szCs w:val="18"/>
              </w:rPr>
              <w:lastRenderedPageBreak/>
              <w:t>mednarodnega prostora v izbranih skupnih čezmejnih programih.</w:t>
            </w:r>
          </w:p>
        </w:tc>
        <w:tc>
          <w:tcPr>
            <w:tcW w:w="2041"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532B6EEC" w14:textId="501D0531" w:rsidR="29A8477B" w:rsidRPr="00156204" w:rsidRDefault="29A8477B" w:rsidP="00624BCD">
            <w:pPr>
              <w:rPr>
                <w:sz w:val="18"/>
                <w:szCs w:val="18"/>
              </w:rPr>
            </w:pPr>
            <w:r w:rsidRPr="00156204">
              <w:rPr>
                <w:rFonts w:eastAsia="Aptos" w:cs="Aptos"/>
                <w:sz w:val="18"/>
                <w:szCs w:val="18"/>
              </w:rPr>
              <w:lastRenderedPageBreak/>
              <w:t xml:space="preserve">Pred prvo meritvijo se določi stalni nabor programov, minimalna </w:t>
            </w:r>
            <w:r w:rsidRPr="00156204">
              <w:rPr>
                <w:rFonts w:eastAsia="Aptos" w:cs="Aptos"/>
                <w:sz w:val="18"/>
                <w:szCs w:val="18"/>
              </w:rPr>
              <w:lastRenderedPageBreak/>
              <w:t xml:space="preserve">merila za njihovo skupno čezmejno naravo ter način zajema države oziroma območja prebivališča udeležencev. Kot mednarodna udeležba se za merjenje zunanje privlačnosti prednostno spremljajo udeleženci s prebivališčem zunaj Slovenije in Italije; udeležba iz Slovenije in Italije se prikazuje ločeno. Zaradi izjemnega leta </w:t>
            </w:r>
            <w:r w:rsidR="00B110AA">
              <w:rPr>
                <w:rFonts w:eastAsia="Aptos" w:cs="Aptos"/>
                <w:sz w:val="18"/>
                <w:szCs w:val="18"/>
              </w:rPr>
              <w:t>EPK</w:t>
            </w:r>
            <w:r w:rsidRPr="00156204">
              <w:rPr>
                <w:rFonts w:eastAsia="Aptos" w:cs="Aptos"/>
                <w:sz w:val="18"/>
                <w:szCs w:val="18"/>
              </w:rPr>
              <w:t xml:space="preserve"> 2025 se leto 2025 vodi kot posebna referenčna vrednost, redno izhodišče pa se določi s prvo primerljivo celoletno meritvijo po njem.</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23D815DC" w14:textId="31C02AF0" w:rsidR="29A8477B" w:rsidRPr="00156204" w:rsidRDefault="29A8477B" w:rsidP="00624BCD">
            <w:pPr>
              <w:rPr>
                <w:sz w:val="18"/>
                <w:szCs w:val="18"/>
              </w:rPr>
            </w:pPr>
            <w:r w:rsidRPr="00156204">
              <w:rPr>
                <w:rFonts w:eastAsia="Aptos" w:cs="Aptos"/>
                <w:sz w:val="18"/>
                <w:szCs w:val="18"/>
              </w:rPr>
              <w:lastRenderedPageBreak/>
              <w:t xml:space="preserve">število in delež udeležencev oziroma obiskovalcev iz držav </w:t>
            </w:r>
            <w:r w:rsidRPr="00156204">
              <w:rPr>
                <w:rFonts w:eastAsia="Aptos" w:cs="Aptos"/>
                <w:sz w:val="18"/>
                <w:szCs w:val="18"/>
              </w:rPr>
              <w:lastRenderedPageBreak/>
              <w:t>zunaj Slovenije in Italije; ločeno udeležba iz Slovenije in Italije</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79B0A8DB" w14:textId="3A8CFEC2" w:rsidR="29A8477B" w:rsidRPr="00156204" w:rsidRDefault="29A8477B" w:rsidP="00624BCD">
            <w:pPr>
              <w:rPr>
                <w:sz w:val="18"/>
                <w:szCs w:val="18"/>
              </w:rPr>
            </w:pPr>
            <w:r w:rsidRPr="00156204">
              <w:rPr>
                <w:rFonts w:eastAsia="Aptos" w:cs="Aptos"/>
                <w:sz w:val="18"/>
                <w:szCs w:val="18"/>
              </w:rPr>
              <w:lastRenderedPageBreak/>
              <w:t xml:space="preserve">Standardizirane evidence prijav, vstopnic in obiskovalcev pri MONG, </w:t>
            </w:r>
            <w:r w:rsidRPr="00156204">
              <w:rPr>
                <w:rFonts w:eastAsia="Aptos" w:cs="Aptos"/>
                <w:sz w:val="18"/>
                <w:szCs w:val="18"/>
              </w:rPr>
              <w:lastRenderedPageBreak/>
              <w:t xml:space="preserve">EZTS GO, Občini Gorica, </w:t>
            </w:r>
            <w:r w:rsidR="007A3CC8">
              <w:rPr>
                <w:rFonts w:eastAsia="Aptos" w:cs="Aptos"/>
                <w:sz w:val="18"/>
                <w:szCs w:val="18"/>
              </w:rPr>
              <w:t>J</w:t>
            </w:r>
            <w:r w:rsidR="001F09CA">
              <w:rPr>
                <w:rFonts w:eastAsia="Aptos" w:cs="Aptos"/>
                <w:sz w:val="18"/>
                <w:szCs w:val="18"/>
              </w:rPr>
              <w:t>avnem zavodu</w:t>
            </w:r>
            <w:r w:rsidR="007A3CC8">
              <w:rPr>
                <w:rFonts w:eastAsia="Aptos" w:cs="Aptos"/>
                <w:sz w:val="18"/>
                <w:szCs w:val="18"/>
              </w:rPr>
              <w:t xml:space="preserve"> </w:t>
            </w:r>
            <w:r w:rsidRPr="00156204">
              <w:rPr>
                <w:rFonts w:eastAsia="Aptos" w:cs="Aptos"/>
                <w:sz w:val="18"/>
                <w:szCs w:val="18"/>
              </w:rPr>
              <w:t>GO! 2025 oziroma nasledstvenih organizacijah, javnih zavodih, turističnih organizacijah in drugih izbranih izvajalcih skupnih programov.</w:t>
            </w:r>
          </w:p>
        </w:tc>
        <w:tc>
          <w:tcPr>
            <w:tcW w:w="2105"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4F147B82" w14:textId="11169F36" w:rsidR="29A8477B" w:rsidRPr="00156204" w:rsidRDefault="29A8477B" w:rsidP="00624BCD">
            <w:pPr>
              <w:rPr>
                <w:sz w:val="18"/>
                <w:szCs w:val="18"/>
              </w:rPr>
            </w:pPr>
            <w:r w:rsidRPr="00156204">
              <w:rPr>
                <w:rFonts w:eastAsia="Aptos" w:cs="Aptos"/>
                <w:sz w:val="18"/>
                <w:szCs w:val="18"/>
              </w:rPr>
              <w:lastRenderedPageBreak/>
              <w:t xml:space="preserve">ohranitev visoke oziroma povečanje mednarodne udeležbe glede na </w:t>
            </w:r>
            <w:r w:rsidRPr="00156204">
              <w:rPr>
                <w:rFonts w:eastAsia="Aptos" w:cs="Aptos"/>
                <w:sz w:val="18"/>
                <w:szCs w:val="18"/>
              </w:rPr>
              <w:lastRenderedPageBreak/>
              <w:t>primerljivo 2025 izhodišče</w:t>
            </w:r>
            <w:r w:rsidR="00FD34A4">
              <w:rPr>
                <w:rFonts w:eastAsia="Aptos" w:cs="Aptos"/>
                <w:sz w:val="18"/>
                <w:szCs w:val="18"/>
              </w:rPr>
              <w:t xml:space="preserve"> po izvedbi EPK 2025</w:t>
            </w:r>
          </w:p>
        </w:tc>
        <w:tc>
          <w:tcPr>
            <w:tcW w:w="1168" w:type="dxa"/>
            <w:tcBorders>
              <w:top w:val="single" w:sz="8" w:space="0" w:color="auto"/>
              <w:left w:val="single" w:sz="8" w:space="0" w:color="auto"/>
              <w:bottom w:val="single" w:sz="8" w:space="0" w:color="auto"/>
              <w:right w:val="single" w:sz="8" w:space="0" w:color="auto"/>
            </w:tcBorders>
            <w:tcMar>
              <w:top w:w="60" w:type="dxa"/>
              <w:left w:w="65" w:type="dxa"/>
              <w:bottom w:w="60" w:type="dxa"/>
              <w:right w:w="65" w:type="dxa"/>
            </w:tcMar>
            <w:vAlign w:val="center"/>
          </w:tcPr>
          <w:p w14:paraId="368C8886" w14:textId="3BE16ED9" w:rsidR="29A8477B" w:rsidRPr="00156204" w:rsidRDefault="29A8477B" w:rsidP="00624BCD">
            <w:pPr>
              <w:rPr>
                <w:sz w:val="18"/>
                <w:szCs w:val="18"/>
              </w:rPr>
            </w:pPr>
            <w:r w:rsidRPr="00156204">
              <w:rPr>
                <w:rFonts w:eastAsia="Aptos" w:cs="Aptos"/>
                <w:sz w:val="18"/>
                <w:szCs w:val="18"/>
              </w:rPr>
              <w:lastRenderedPageBreak/>
              <w:t>letno</w:t>
            </w:r>
          </w:p>
        </w:tc>
      </w:tr>
    </w:tbl>
    <w:p w14:paraId="45BF4A9D" w14:textId="4942F974" w:rsidR="29A8477B" w:rsidRPr="00156204" w:rsidRDefault="00624BCD" w:rsidP="00550803">
      <w:pPr>
        <w:spacing w:after="0"/>
      </w:pPr>
      <w: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8080"/>
      </w:tblGrid>
      <w:tr w:rsidR="00714E07" w:rsidRPr="00A95D42" w14:paraId="31B1853B" w14:textId="77777777" w:rsidTr="00C84B47">
        <w:trPr>
          <w:cantSplit/>
          <w:trHeight w:val="21"/>
          <w:tblHeader/>
        </w:trPr>
        <w:tc>
          <w:tcPr>
            <w:tcW w:w="3114" w:type="dxa"/>
            <w:tcMar>
              <w:top w:w="70" w:type="dxa"/>
              <w:left w:w="90" w:type="dxa"/>
              <w:bottom w:w="70" w:type="dxa"/>
              <w:right w:w="90" w:type="dxa"/>
            </w:tcMar>
            <w:vAlign w:val="center"/>
          </w:tcPr>
          <w:p w14:paraId="1822B74E" w14:textId="3D72F503" w:rsidR="00714E07" w:rsidRPr="00A95D42" w:rsidRDefault="00714E07" w:rsidP="00045B5C">
            <w:pPr>
              <w:spacing w:after="0"/>
              <w:rPr>
                <w:bCs/>
                <w:sz w:val="18"/>
                <w:szCs w:val="18"/>
              </w:rPr>
            </w:pPr>
            <w:r w:rsidRPr="00A95D42">
              <w:rPr>
                <w:bCs/>
                <w:sz w:val="18"/>
                <w:szCs w:val="18"/>
              </w:rPr>
              <w:lastRenderedPageBreak/>
              <w:t>Kratic</w:t>
            </w:r>
            <w:r w:rsidR="00045B5C" w:rsidRPr="00A95D42">
              <w:rPr>
                <w:bCs/>
                <w:sz w:val="18"/>
                <w:szCs w:val="18"/>
              </w:rPr>
              <w:t>e</w:t>
            </w:r>
            <w:r w:rsidRPr="00A95D42">
              <w:rPr>
                <w:bCs/>
                <w:sz w:val="18"/>
                <w:szCs w:val="18"/>
              </w:rPr>
              <w:t xml:space="preserve"> </w:t>
            </w:r>
            <w:r w:rsidR="00D54D86" w:rsidRPr="00A95D42">
              <w:rPr>
                <w:bCs/>
                <w:sz w:val="18"/>
                <w:szCs w:val="18"/>
              </w:rPr>
              <w:t>uporabljene v Prilogi 2</w:t>
            </w:r>
          </w:p>
        </w:tc>
        <w:tc>
          <w:tcPr>
            <w:tcW w:w="8080" w:type="dxa"/>
            <w:tcMar>
              <w:top w:w="70" w:type="dxa"/>
              <w:left w:w="90" w:type="dxa"/>
              <w:bottom w:w="70" w:type="dxa"/>
              <w:right w:w="90" w:type="dxa"/>
            </w:tcMar>
            <w:vAlign w:val="center"/>
          </w:tcPr>
          <w:p w14:paraId="06DEF033" w14:textId="29069064" w:rsidR="00714E07" w:rsidRPr="00A95D42" w:rsidRDefault="00714E07" w:rsidP="00045B5C">
            <w:pPr>
              <w:spacing w:after="0"/>
              <w:rPr>
                <w:bCs/>
                <w:sz w:val="18"/>
                <w:szCs w:val="18"/>
              </w:rPr>
            </w:pPr>
          </w:p>
        </w:tc>
      </w:tr>
      <w:tr w:rsidR="00714E07" w:rsidRPr="00A95D42" w14:paraId="2BB1141F" w14:textId="77777777" w:rsidTr="00C84B47">
        <w:trPr>
          <w:cantSplit/>
          <w:tblHeader/>
        </w:trPr>
        <w:tc>
          <w:tcPr>
            <w:tcW w:w="3114" w:type="dxa"/>
            <w:tcMar>
              <w:top w:w="70" w:type="dxa"/>
              <w:left w:w="90" w:type="dxa"/>
              <w:bottom w:w="70" w:type="dxa"/>
              <w:right w:w="90" w:type="dxa"/>
            </w:tcMar>
            <w:vAlign w:val="center"/>
          </w:tcPr>
          <w:p w14:paraId="025104D3" w14:textId="77777777" w:rsidR="00714E07" w:rsidRPr="00A95D42" w:rsidRDefault="00714E07" w:rsidP="00A95D42">
            <w:pPr>
              <w:spacing w:after="0" w:line="240" w:lineRule="auto"/>
              <w:rPr>
                <w:bCs/>
                <w:sz w:val="18"/>
                <w:szCs w:val="18"/>
              </w:rPr>
            </w:pPr>
            <w:r w:rsidRPr="00A95D42">
              <w:rPr>
                <w:bCs/>
                <w:sz w:val="18"/>
                <w:szCs w:val="18"/>
              </w:rPr>
              <w:t>AJPES</w:t>
            </w:r>
          </w:p>
        </w:tc>
        <w:tc>
          <w:tcPr>
            <w:tcW w:w="8080" w:type="dxa"/>
            <w:tcMar>
              <w:top w:w="70" w:type="dxa"/>
              <w:left w:w="90" w:type="dxa"/>
              <w:bottom w:w="70" w:type="dxa"/>
              <w:right w:w="90" w:type="dxa"/>
            </w:tcMar>
            <w:vAlign w:val="center"/>
          </w:tcPr>
          <w:p w14:paraId="7932C4B4" w14:textId="77777777" w:rsidR="00714E07" w:rsidRPr="00A95D42" w:rsidRDefault="00714E07" w:rsidP="00A95D42">
            <w:pPr>
              <w:spacing w:after="0" w:line="240" w:lineRule="auto"/>
              <w:rPr>
                <w:bCs/>
                <w:sz w:val="18"/>
                <w:szCs w:val="18"/>
              </w:rPr>
            </w:pPr>
            <w:r w:rsidRPr="00A95D42">
              <w:rPr>
                <w:bCs/>
                <w:sz w:val="18"/>
                <w:szCs w:val="18"/>
              </w:rPr>
              <w:t>Agencija Republike Slovenije za javnopravne evidence in storitve</w:t>
            </w:r>
          </w:p>
        </w:tc>
      </w:tr>
      <w:tr w:rsidR="00714E07" w:rsidRPr="00A95D42" w14:paraId="2DA05710" w14:textId="77777777" w:rsidTr="00C84B47">
        <w:trPr>
          <w:cantSplit/>
          <w:tblHeader/>
        </w:trPr>
        <w:tc>
          <w:tcPr>
            <w:tcW w:w="3114" w:type="dxa"/>
            <w:tcMar>
              <w:top w:w="70" w:type="dxa"/>
              <w:left w:w="90" w:type="dxa"/>
              <w:bottom w:w="70" w:type="dxa"/>
              <w:right w:w="90" w:type="dxa"/>
            </w:tcMar>
            <w:vAlign w:val="center"/>
          </w:tcPr>
          <w:p w14:paraId="435DB4DD" w14:textId="77777777" w:rsidR="00714E07" w:rsidRPr="00A95D42" w:rsidRDefault="00714E07" w:rsidP="00550803">
            <w:pPr>
              <w:spacing w:after="0" w:line="240" w:lineRule="auto"/>
              <w:rPr>
                <w:bCs/>
                <w:sz w:val="18"/>
                <w:szCs w:val="18"/>
              </w:rPr>
            </w:pPr>
            <w:r w:rsidRPr="00A95D42">
              <w:rPr>
                <w:bCs/>
                <w:sz w:val="18"/>
                <w:szCs w:val="18"/>
              </w:rPr>
              <w:t>DUJPP</w:t>
            </w:r>
          </w:p>
        </w:tc>
        <w:tc>
          <w:tcPr>
            <w:tcW w:w="8080" w:type="dxa"/>
            <w:tcMar>
              <w:top w:w="70" w:type="dxa"/>
              <w:left w:w="90" w:type="dxa"/>
              <w:bottom w:w="70" w:type="dxa"/>
              <w:right w:w="90" w:type="dxa"/>
            </w:tcMar>
            <w:vAlign w:val="center"/>
          </w:tcPr>
          <w:p w14:paraId="7CF066B0" w14:textId="77777777" w:rsidR="00714E07" w:rsidRPr="00A95D42" w:rsidRDefault="00714E07" w:rsidP="00550803">
            <w:pPr>
              <w:spacing w:after="0" w:line="240" w:lineRule="auto"/>
              <w:rPr>
                <w:bCs/>
                <w:sz w:val="18"/>
                <w:szCs w:val="18"/>
              </w:rPr>
            </w:pPr>
            <w:r w:rsidRPr="00A95D42">
              <w:rPr>
                <w:bCs/>
                <w:sz w:val="18"/>
                <w:szCs w:val="18"/>
              </w:rPr>
              <w:t>Družba za upravljanje javnega potniškega prometa</w:t>
            </w:r>
          </w:p>
        </w:tc>
      </w:tr>
      <w:tr w:rsidR="00714E07" w:rsidRPr="00A95D42" w14:paraId="7E7D6DE3" w14:textId="77777777" w:rsidTr="00C84B47">
        <w:trPr>
          <w:cantSplit/>
          <w:tblHeader/>
        </w:trPr>
        <w:tc>
          <w:tcPr>
            <w:tcW w:w="3114" w:type="dxa"/>
            <w:tcMar>
              <w:top w:w="70" w:type="dxa"/>
              <w:left w:w="90" w:type="dxa"/>
              <w:bottom w:w="70" w:type="dxa"/>
              <w:right w:w="90" w:type="dxa"/>
            </w:tcMar>
            <w:vAlign w:val="center"/>
          </w:tcPr>
          <w:p w14:paraId="7B38D4A7" w14:textId="77777777" w:rsidR="00714E07" w:rsidRPr="00A95D42" w:rsidRDefault="00714E07" w:rsidP="00550803">
            <w:pPr>
              <w:spacing w:after="0" w:line="240" w:lineRule="auto"/>
              <w:rPr>
                <w:bCs/>
                <w:sz w:val="18"/>
                <w:szCs w:val="18"/>
              </w:rPr>
            </w:pPr>
            <w:r w:rsidRPr="00A95D42">
              <w:rPr>
                <w:bCs/>
                <w:sz w:val="18"/>
                <w:szCs w:val="18"/>
              </w:rPr>
              <w:t>EZTS GO</w:t>
            </w:r>
          </w:p>
        </w:tc>
        <w:tc>
          <w:tcPr>
            <w:tcW w:w="8080" w:type="dxa"/>
            <w:tcMar>
              <w:top w:w="70" w:type="dxa"/>
              <w:left w:w="90" w:type="dxa"/>
              <w:bottom w:w="70" w:type="dxa"/>
              <w:right w:w="90" w:type="dxa"/>
            </w:tcMar>
            <w:vAlign w:val="center"/>
          </w:tcPr>
          <w:p w14:paraId="4E4314AF" w14:textId="77777777" w:rsidR="00714E07" w:rsidRPr="00A95D42" w:rsidRDefault="00714E07" w:rsidP="00550803">
            <w:pPr>
              <w:spacing w:after="0" w:line="240" w:lineRule="auto"/>
              <w:rPr>
                <w:bCs/>
                <w:sz w:val="18"/>
                <w:szCs w:val="18"/>
              </w:rPr>
            </w:pPr>
            <w:r w:rsidRPr="00A95D42">
              <w:rPr>
                <w:bCs/>
                <w:sz w:val="18"/>
                <w:szCs w:val="18"/>
              </w:rPr>
              <w:t>Evropsko združenje za teritorialno sodelovanje GO</w:t>
            </w:r>
          </w:p>
        </w:tc>
      </w:tr>
      <w:tr w:rsidR="00714E07" w:rsidRPr="00A95D42" w14:paraId="1CBC7D3F" w14:textId="77777777" w:rsidTr="00C84B47">
        <w:trPr>
          <w:cantSplit/>
          <w:tblHeader/>
        </w:trPr>
        <w:tc>
          <w:tcPr>
            <w:tcW w:w="3114" w:type="dxa"/>
            <w:tcMar>
              <w:top w:w="70" w:type="dxa"/>
              <w:left w:w="90" w:type="dxa"/>
              <w:bottom w:w="70" w:type="dxa"/>
              <w:right w:w="90" w:type="dxa"/>
            </w:tcMar>
            <w:vAlign w:val="center"/>
          </w:tcPr>
          <w:p w14:paraId="2CEDA862" w14:textId="77777777" w:rsidR="00714E07" w:rsidRPr="00A95D42" w:rsidRDefault="00714E07" w:rsidP="00550803">
            <w:pPr>
              <w:spacing w:after="0" w:line="240" w:lineRule="auto"/>
              <w:rPr>
                <w:bCs/>
                <w:sz w:val="18"/>
                <w:szCs w:val="18"/>
              </w:rPr>
            </w:pPr>
            <w:r w:rsidRPr="00A95D42">
              <w:rPr>
                <w:bCs/>
                <w:sz w:val="18"/>
                <w:szCs w:val="18"/>
              </w:rPr>
              <w:t>GIS</w:t>
            </w:r>
          </w:p>
        </w:tc>
        <w:tc>
          <w:tcPr>
            <w:tcW w:w="8080" w:type="dxa"/>
            <w:tcMar>
              <w:top w:w="70" w:type="dxa"/>
              <w:left w:w="90" w:type="dxa"/>
              <w:bottom w:w="70" w:type="dxa"/>
              <w:right w:w="90" w:type="dxa"/>
            </w:tcMar>
            <w:vAlign w:val="center"/>
          </w:tcPr>
          <w:p w14:paraId="34618873" w14:textId="77777777" w:rsidR="00714E07" w:rsidRPr="00A95D42" w:rsidRDefault="00714E07" w:rsidP="00550803">
            <w:pPr>
              <w:spacing w:after="0" w:line="240" w:lineRule="auto"/>
              <w:rPr>
                <w:bCs/>
                <w:sz w:val="18"/>
                <w:szCs w:val="18"/>
              </w:rPr>
            </w:pPr>
            <w:r w:rsidRPr="00A95D42">
              <w:rPr>
                <w:bCs/>
                <w:sz w:val="18"/>
                <w:szCs w:val="18"/>
              </w:rPr>
              <w:t>Geografski informacijski sistem</w:t>
            </w:r>
          </w:p>
        </w:tc>
      </w:tr>
      <w:tr w:rsidR="00714E07" w:rsidRPr="00A95D42" w14:paraId="08BB8EAD" w14:textId="77777777" w:rsidTr="00C84B47">
        <w:trPr>
          <w:cantSplit/>
          <w:tblHeader/>
        </w:trPr>
        <w:tc>
          <w:tcPr>
            <w:tcW w:w="3114" w:type="dxa"/>
            <w:tcMar>
              <w:top w:w="70" w:type="dxa"/>
              <w:left w:w="90" w:type="dxa"/>
              <w:bottom w:w="70" w:type="dxa"/>
              <w:right w:w="90" w:type="dxa"/>
            </w:tcMar>
            <w:vAlign w:val="center"/>
          </w:tcPr>
          <w:p w14:paraId="061D88B9" w14:textId="77777777" w:rsidR="00714E07" w:rsidRPr="00A95D42" w:rsidRDefault="00714E07" w:rsidP="00550803">
            <w:pPr>
              <w:spacing w:after="0" w:line="240" w:lineRule="auto"/>
              <w:rPr>
                <w:bCs/>
                <w:sz w:val="18"/>
                <w:szCs w:val="18"/>
              </w:rPr>
            </w:pPr>
            <w:r w:rsidRPr="00A95D42">
              <w:rPr>
                <w:bCs/>
                <w:sz w:val="18"/>
                <w:szCs w:val="18"/>
              </w:rPr>
              <w:t>GURS</w:t>
            </w:r>
          </w:p>
        </w:tc>
        <w:tc>
          <w:tcPr>
            <w:tcW w:w="8080" w:type="dxa"/>
            <w:tcMar>
              <w:top w:w="70" w:type="dxa"/>
              <w:left w:w="90" w:type="dxa"/>
              <w:bottom w:w="70" w:type="dxa"/>
              <w:right w:w="90" w:type="dxa"/>
            </w:tcMar>
            <w:vAlign w:val="center"/>
          </w:tcPr>
          <w:p w14:paraId="3612C27A" w14:textId="77777777" w:rsidR="00714E07" w:rsidRPr="00A95D42" w:rsidRDefault="00714E07" w:rsidP="00550803">
            <w:pPr>
              <w:spacing w:after="0" w:line="240" w:lineRule="auto"/>
              <w:rPr>
                <w:bCs/>
                <w:sz w:val="18"/>
                <w:szCs w:val="18"/>
              </w:rPr>
            </w:pPr>
            <w:r w:rsidRPr="00A95D42">
              <w:rPr>
                <w:bCs/>
                <w:sz w:val="18"/>
                <w:szCs w:val="18"/>
              </w:rPr>
              <w:t>Geodetska uprava Republike Slovenije</w:t>
            </w:r>
          </w:p>
        </w:tc>
      </w:tr>
      <w:tr w:rsidR="00714E07" w:rsidRPr="00A95D42" w14:paraId="63F9EBE7" w14:textId="77777777" w:rsidTr="00C84B47">
        <w:trPr>
          <w:cantSplit/>
          <w:tblHeader/>
        </w:trPr>
        <w:tc>
          <w:tcPr>
            <w:tcW w:w="3114" w:type="dxa"/>
            <w:tcMar>
              <w:top w:w="70" w:type="dxa"/>
              <w:left w:w="90" w:type="dxa"/>
              <w:bottom w:w="70" w:type="dxa"/>
              <w:right w:w="90" w:type="dxa"/>
            </w:tcMar>
            <w:vAlign w:val="center"/>
          </w:tcPr>
          <w:p w14:paraId="1E5D39D9" w14:textId="77777777" w:rsidR="00714E07" w:rsidRPr="00A95D42" w:rsidRDefault="00714E07" w:rsidP="00550803">
            <w:pPr>
              <w:spacing w:after="0" w:line="240" w:lineRule="auto"/>
              <w:rPr>
                <w:bCs/>
                <w:sz w:val="18"/>
                <w:szCs w:val="18"/>
              </w:rPr>
            </w:pPr>
            <w:r w:rsidRPr="00A95D42">
              <w:rPr>
                <w:bCs/>
                <w:sz w:val="18"/>
                <w:szCs w:val="18"/>
              </w:rPr>
              <w:t>MKGP</w:t>
            </w:r>
          </w:p>
        </w:tc>
        <w:tc>
          <w:tcPr>
            <w:tcW w:w="8080" w:type="dxa"/>
            <w:tcMar>
              <w:top w:w="70" w:type="dxa"/>
              <w:left w:w="90" w:type="dxa"/>
              <w:bottom w:w="70" w:type="dxa"/>
              <w:right w:w="90" w:type="dxa"/>
            </w:tcMar>
            <w:vAlign w:val="center"/>
          </w:tcPr>
          <w:p w14:paraId="7980F9BE" w14:textId="77777777" w:rsidR="00714E07" w:rsidRPr="00A95D42" w:rsidRDefault="00714E07" w:rsidP="00550803">
            <w:pPr>
              <w:spacing w:after="0" w:line="240" w:lineRule="auto"/>
              <w:rPr>
                <w:bCs/>
                <w:sz w:val="18"/>
                <w:szCs w:val="18"/>
              </w:rPr>
            </w:pPr>
            <w:r w:rsidRPr="00A95D42">
              <w:rPr>
                <w:bCs/>
                <w:sz w:val="18"/>
                <w:szCs w:val="18"/>
              </w:rPr>
              <w:t>Ministrstvo za kmetijstvo, gozdarstvo in prehrano</w:t>
            </w:r>
          </w:p>
        </w:tc>
      </w:tr>
      <w:tr w:rsidR="00714E07" w:rsidRPr="00A95D42" w14:paraId="37BC7C73" w14:textId="77777777" w:rsidTr="00C84B47">
        <w:trPr>
          <w:cantSplit/>
          <w:tblHeader/>
        </w:trPr>
        <w:tc>
          <w:tcPr>
            <w:tcW w:w="3114" w:type="dxa"/>
            <w:tcMar>
              <w:top w:w="70" w:type="dxa"/>
              <w:left w:w="90" w:type="dxa"/>
              <w:bottom w:w="70" w:type="dxa"/>
              <w:right w:w="90" w:type="dxa"/>
            </w:tcMar>
            <w:vAlign w:val="center"/>
          </w:tcPr>
          <w:p w14:paraId="05DBDCC1" w14:textId="77777777" w:rsidR="00714E07" w:rsidRPr="00A95D42" w:rsidRDefault="00714E07" w:rsidP="00550803">
            <w:pPr>
              <w:spacing w:after="0" w:line="240" w:lineRule="auto"/>
              <w:rPr>
                <w:bCs/>
                <w:sz w:val="18"/>
                <w:szCs w:val="18"/>
              </w:rPr>
            </w:pPr>
            <w:r w:rsidRPr="00A95D42">
              <w:rPr>
                <w:bCs/>
                <w:sz w:val="18"/>
                <w:szCs w:val="18"/>
              </w:rPr>
              <w:t>MONG</w:t>
            </w:r>
          </w:p>
        </w:tc>
        <w:tc>
          <w:tcPr>
            <w:tcW w:w="8080" w:type="dxa"/>
            <w:tcMar>
              <w:top w:w="70" w:type="dxa"/>
              <w:left w:w="90" w:type="dxa"/>
              <w:bottom w:w="70" w:type="dxa"/>
              <w:right w:w="90" w:type="dxa"/>
            </w:tcMar>
            <w:vAlign w:val="center"/>
          </w:tcPr>
          <w:p w14:paraId="5EB097CD" w14:textId="77777777" w:rsidR="00714E07" w:rsidRPr="00A95D42" w:rsidRDefault="00714E07" w:rsidP="00550803">
            <w:pPr>
              <w:spacing w:after="0" w:line="240" w:lineRule="auto"/>
              <w:rPr>
                <w:bCs/>
                <w:sz w:val="18"/>
                <w:szCs w:val="18"/>
              </w:rPr>
            </w:pPr>
            <w:r w:rsidRPr="00A95D42">
              <w:rPr>
                <w:bCs/>
                <w:sz w:val="18"/>
                <w:szCs w:val="18"/>
              </w:rPr>
              <w:t>Mestna občina Nova Gorica</w:t>
            </w:r>
          </w:p>
        </w:tc>
      </w:tr>
      <w:tr w:rsidR="00714E07" w:rsidRPr="00A95D42" w14:paraId="15692720" w14:textId="77777777" w:rsidTr="00C84B47">
        <w:trPr>
          <w:cantSplit/>
          <w:tblHeader/>
        </w:trPr>
        <w:tc>
          <w:tcPr>
            <w:tcW w:w="3114" w:type="dxa"/>
            <w:tcMar>
              <w:top w:w="70" w:type="dxa"/>
              <w:left w:w="90" w:type="dxa"/>
              <w:bottom w:w="70" w:type="dxa"/>
              <w:right w:w="90" w:type="dxa"/>
            </w:tcMar>
            <w:vAlign w:val="center"/>
          </w:tcPr>
          <w:p w14:paraId="54FF0D9C" w14:textId="77777777" w:rsidR="00714E07" w:rsidRPr="00A95D42" w:rsidRDefault="00714E07" w:rsidP="00550803">
            <w:pPr>
              <w:spacing w:after="0" w:line="240" w:lineRule="auto"/>
              <w:rPr>
                <w:bCs/>
                <w:sz w:val="18"/>
                <w:szCs w:val="18"/>
              </w:rPr>
            </w:pPr>
            <w:r w:rsidRPr="00A95D42">
              <w:rPr>
                <w:bCs/>
                <w:sz w:val="18"/>
                <w:szCs w:val="18"/>
              </w:rPr>
              <w:t>MOPE</w:t>
            </w:r>
          </w:p>
        </w:tc>
        <w:tc>
          <w:tcPr>
            <w:tcW w:w="8080" w:type="dxa"/>
            <w:tcMar>
              <w:top w:w="70" w:type="dxa"/>
              <w:left w:w="90" w:type="dxa"/>
              <w:bottom w:w="70" w:type="dxa"/>
              <w:right w:w="90" w:type="dxa"/>
            </w:tcMar>
            <w:vAlign w:val="center"/>
          </w:tcPr>
          <w:p w14:paraId="57B9FE99" w14:textId="77777777" w:rsidR="00714E07" w:rsidRPr="00A95D42" w:rsidRDefault="00714E07" w:rsidP="00550803">
            <w:pPr>
              <w:spacing w:after="0" w:line="240" w:lineRule="auto"/>
              <w:rPr>
                <w:bCs/>
                <w:sz w:val="18"/>
                <w:szCs w:val="18"/>
              </w:rPr>
            </w:pPr>
            <w:r w:rsidRPr="00A95D42">
              <w:rPr>
                <w:bCs/>
                <w:sz w:val="18"/>
                <w:szCs w:val="18"/>
              </w:rPr>
              <w:t>Ministrstvo za okolje, podnebje in energijo</w:t>
            </w:r>
          </w:p>
        </w:tc>
      </w:tr>
      <w:tr w:rsidR="00714E07" w:rsidRPr="00A95D42" w14:paraId="5EFA5442" w14:textId="77777777" w:rsidTr="00C84B47">
        <w:trPr>
          <w:cantSplit/>
          <w:tblHeader/>
        </w:trPr>
        <w:tc>
          <w:tcPr>
            <w:tcW w:w="3114" w:type="dxa"/>
            <w:tcMar>
              <w:top w:w="70" w:type="dxa"/>
              <w:left w:w="90" w:type="dxa"/>
              <w:bottom w:w="70" w:type="dxa"/>
              <w:right w:w="90" w:type="dxa"/>
            </w:tcMar>
            <w:vAlign w:val="center"/>
          </w:tcPr>
          <w:p w14:paraId="7E0EAD8B" w14:textId="77777777" w:rsidR="00714E07" w:rsidRPr="00A95D42" w:rsidRDefault="00714E07" w:rsidP="00550803">
            <w:pPr>
              <w:spacing w:after="0" w:line="240" w:lineRule="auto"/>
              <w:rPr>
                <w:bCs/>
                <w:sz w:val="18"/>
                <w:szCs w:val="18"/>
              </w:rPr>
            </w:pPr>
            <w:r w:rsidRPr="00A95D42">
              <w:rPr>
                <w:bCs/>
                <w:sz w:val="18"/>
                <w:szCs w:val="18"/>
              </w:rPr>
              <w:t>OCPS</w:t>
            </w:r>
          </w:p>
        </w:tc>
        <w:tc>
          <w:tcPr>
            <w:tcW w:w="8080" w:type="dxa"/>
            <w:tcMar>
              <w:top w:w="70" w:type="dxa"/>
              <w:left w:w="90" w:type="dxa"/>
              <w:bottom w:w="70" w:type="dxa"/>
              <w:right w:w="90" w:type="dxa"/>
            </w:tcMar>
            <w:vAlign w:val="center"/>
          </w:tcPr>
          <w:p w14:paraId="1424B32C" w14:textId="77777777" w:rsidR="00714E07" w:rsidRPr="00A95D42" w:rsidRDefault="00714E07" w:rsidP="00550803">
            <w:pPr>
              <w:spacing w:after="0" w:line="240" w:lineRule="auto"/>
              <w:rPr>
                <w:bCs/>
                <w:sz w:val="18"/>
                <w:szCs w:val="18"/>
              </w:rPr>
            </w:pPr>
            <w:r w:rsidRPr="00A95D42">
              <w:rPr>
                <w:bCs/>
                <w:sz w:val="18"/>
                <w:szCs w:val="18"/>
              </w:rPr>
              <w:t>Občinska celostna prometna strategija</w:t>
            </w:r>
          </w:p>
        </w:tc>
      </w:tr>
      <w:tr w:rsidR="00714E07" w:rsidRPr="00A95D42" w14:paraId="0FE68CC6" w14:textId="77777777" w:rsidTr="00C84B47">
        <w:trPr>
          <w:cantSplit/>
          <w:tblHeader/>
        </w:trPr>
        <w:tc>
          <w:tcPr>
            <w:tcW w:w="3114" w:type="dxa"/>
            <w:tcMar>
              <w:top w:w="70" w:type="dxa"/>
              <w:left w:w="90" w:type="dxa"/>
              <w:bottom w:w="70" w:type="dxa"/>
              <w:right w:w="90" w:type="dxa"/>
            </w:tcMar>
            <w:vAlign w:val="center"/>
          </w:tcPr>
          <w:p w14:paraId="447F476F" w14:textId="77777777" w:rsidR="00714E07" w:rsidRPr="00A95D42" w:rsidRDefault="00714E07" w:rsidP="00550803">
            <w:pPr>
              <w:spacing w:after="0" w:line="240" w:lineRule="auto"/>
              <w:rPr>
                <w:bCs/>
                <w:sz w:val="18"/>
                <w:szCs w:val="18"/>
              </w:rPr>
            </w:pPr>
            <w:r w:rsidRPr="00A95D42">
              <w:rPr>
                <w:bCs/>
                <w:sz w:val="18"/>
                <w:szCs w:val="18"/>
              </w:rPr>
              <w:t>RRA SP</w:t>
            </w:r>
          </w:p>
        </w:tc>
        <w:tc>
          <w:tcPr>
            <w:tcW w:w="8080" w:type="dxa"/>
            <w:tcMar>
              <w:top w:w="70" w:type="dxa"/>
              <w:left w:w="90" w:type="dxa"/>
              <w:bottom w:w="70" w:type="dxa"/>
              <w:right w:w="90" w:type="dxa"/>
            </w:tcMar>
            <w:vAlign w:val="center"/>
          </w:tcPr>
          <w:p w14:paraId="61E456E5" w14:textId="77777777" w:rsidR="00714E07" w:rsidRPr="00A95D42" w:rsidRDefault="00714E07" w:rsidP="00550803">
            <w:pPr>
              <w:spacing w:after="0" w:line="240" w:lineRule="auto"/>
              <w:rPr>
                <w:bCs/>
                <w:sz w:val="18"/>
                <w:szCs w:val="18"/>
              </w:rPr>
            </w:pPr>
            <w:r w:rsidRPr="00A95D42">
              <w:rPr>
                <w:bCs/>
                <w:sz w:val="18"/>
                <w:szCs w:val="18"/>
              </w:rPr>
              <w:t>RRA Severne Primorske d. o. o. Nova Gorica</w:t>
            </w:r>
          </w:p>
        </w:tc>
      </w:tr>
      <w:tr w:rsidR="00714E07" w:rsidRPr="00A95D42" w14:paraId="3E84F97A" w14:textId="77777777" w:rsidTr="00C84B47">
        <w:trPr>
          <w:cantSplit/>
          <w:tblHeader/>
        </w:trPr>
        <w:tc>
          <w:tcPr>
            <w:tcW w:w="3114" w:type="dxa"/>
            <w:tcMar>
              <w:top w:w="70" w:type="dxa"/>
              <w:left w:w="90" w:type="dxa"/>
              <w:bottom w:w="70" w:type="dxa"/>
              <w:right w:w="90" w:type="dxa"/>
            </w:tcMar>
            <w:vAlign w:val="center"/>
          </w:tcPr>
          <w:p w14:paraId="1AB34BE4" w14:textId="77777777" w:rsidR="00714E07" w:rsidRPr="00A95D42" w:rsidRDefault="00714E07" w:rsidP="00550803">
            <w:pPr>
              <w:spacing w:after="0" w:line="240" w:lineRule="auto"/>
              <w:rPr>
                <w:bCs/>
                <w:sz w:val="18"/>
                <w:szCs w:val="18"/>
              </w:rPr>
            </w:pPr>
            <w:proofErr w:type="spellStart"/>
            <w:r w:rsidRPr="00A95D42">
              <w:rPr>
                <w:bCs/>
                <w:sz w:val="18"/>
                <w:szCs w:val="18"/>
              </w:rPr>
              <w:t>SiStat</w:t>
            </w:r>
            <w:proofErr w:type="spellEnd"/>
          </w:p>
        </w:tc>
        <w:tc>
          <w:tcPr>
            <w:tcW w:w="8080" w:type="dxa"/>
            <w:tcMar>
              <w:top w:w="70" w:type="dxa"/>
              <w:left w:w="90" w:type="dxa"/>
              <w:bottom w:w="70" w:type="dxa"/>
              <w:right w:w="90" w:type="dxa"/>
            </w:tcMar>
            <w:vAlign w:val="center"/>
          </w:tcPr>
          <w:p w14:paraId="6B733A00" w14:textId="77777777" w:rsidR="00714E07" w:rsidRPr="00A95D42" w:rsidRDefault="00714E07" w:rsidP="00550803">
            <w:pPr>
              <w:spacing w:after="0" w:line="240" w:lineRule="auto"/>
              <w:rPr>
                <w:bCs/>
                <w:sz w:val="18"/>
                <w:szCs w:val="18"/>
              </w:rPr>
            </w:pPr>
            <w:r w:rsidRPr="00A95D42">
              <w:rPr>
                <w:bCs/>
                <w:sz w:val="18"/>
                <w:szCs w:val="18"/>
              </w:rPr>
              <w:t>Podatkovna baza Statističnega urada Republike Slovenije</w:t>
            </w:r>
          </w:p>
        </w:tc>
      </w:tr>
      <w:tr w:rsidR="00714E07" w:rsidRPr="00A95D42" w14:paraId="23C23D98" w14:textId="77777777" w:rsidTr="00C84B47">
        <w:trPr>
          <w:cantSplit/>
          <w:tblHeader/>
        </w:trPr>
        <w:tc>
          <w:tcPr>
            <w:tcW w:w="3114" w:type="dxa"/>
            <w:tcMar>
              <w:top w:w="70" w:type="dxa"/>
              <w:left w:w="90" w:type="dxa"/>
              <w:bottom w:w="70" w:type="dxa"/>
              <w:right w:w="90" w:type="dxa"/>
            </w:tcMar>
            <w:vAlign w:val="center"/>
          </w:tcPr>
          <w:p w14:paraId="0E639151" w14:textId="77777777" w:rsidR="00714E07" w:rsidRPr="00A95D42" w:rsidRDefault="00714E07" w:rsidP="00550803">
            <w:pPr>
              <w:spacing w:after="0" w:line="240" w:lineRule="auto"/>
              <w:rPr>
                <w:bCs/>
                <w:sz w:val="18"/>
                <w:szCs w:val="18"/>
              </w:rPr>
            </w:pPr>
            <w:r w:rsidRPr="00A95D42">
              <w:rPr>
                <w:bCs/>
                <w:sz w:val="18"/>
                <w:szCs w:val="18"/>
              </w:rPr>
              <w:t>SPTM</w:t>
            </w:r>
          </w:p>
        </w:tc>
        <w:tc>
          <w:tcPr>
            <w:tcW w:w="8080" w:type="dxa"/>
            <w:tcMar>
              <w:top w:w="70" w:type="dxa"/>
              <w:left w:w="90" w:type="dxa"/>
              <w:bottom w:w="70" w:type="dxa"/>
              <w:right w:w="90" w:type="dxa"/>
            </w:tcMar>
            <w:vAlign w:val="center"/>
          </w:tcPr>
          <w:p w14:paraId="1CCA9BA8" w14:textId="77777777" w:rsidR="00714E07" w:rsidRPr="00A95D42" w:rsidRDefault="00714E07" w:rsidP="00550803">
            <w:pPr>
              <w:spacing w:after="0" w:line="240" w:lineRule="auto"/>
              <w:rPr>
                <w:bCs/>
                <w:sz w:val="18"/>
                <w:szCs w:val="18"/>
              </w:rPr>
            </w:pPr>
            <w:r w:rsidRPr="00A95D42">
              <w:rPr>
                <w:bCs/>
                <w:sz w:val="18"/>
                <w:szCs w:val="18"/>
              </w:rPr>
              <w:t>Slovenska platforma za trajnostno mobilnost</w:t>
            </w:r>
          </w:p>
        </w:tc>
      </w:tr>
      <w:tr w:rsidR="00714E07" w:rsidRPr="00A95D42" w14:paraId="6A469F55" w14:textId="77777777" w:rsidTr="00C84B47">
        <w:trPr>
          <w:cantSplit/>
          <w:trHeight w:val="22"/>
          <w:tblHeader/>
        </w:trPr>
        <w:tc>
          <w:tcPr>
            <w:tcW w:w="3114" w:type="dxa"/>
            <w:tcMar>
              <w:top w:w="70" w:type="dxa"/>
              <w:left w:w="90" w:type="dxa"/>
              <w:bottom w:w="70" w:type="dxa"/>
              <w:right w:w="90" w:type="dxa"/>
            </w:tcMar>
            <w:vAlign w:val="center"/>
          </w:tcPr>
          <w:p w14:paraId="6DC1C795" w14:textId="77777777" w:rsidR="00714E07" w:rsidRPr="00A95D42" w:rsidRDefault="00714E07" w:rsidP="00550803">
            <w:pPr>
              <w:spacing w:after="0" w:line="240" w:lineRule="auto"/>
              <w:rPr>
                <w:bCs/>
                <w:sz w:val="18"/>
                <w:szCs w:val="18"/>
              </w:rPr>
            </w:pPr>
            <w:r w:rsidRPr="00A95D42">
              <w:rPr>
                <w:bCs/>
                <w:sz w:val="18"/>
                <w:szCs w:val="18"/>
              </w:rPr>
              <w:t>SURS</w:t>
            </w:r>
          </w:p>
        </w:tc>
        <w:tc>
          <w:tcPr>
            <w:tcW w:w="8080" w:type="dxa"/>
            <w:tcMar>
              <w:top w:w="70" w:type="dxa"/>
              <w:left w:w="90" w:type="dxa"/>
              <w:bottom w:w="70" w:type="dxa"/>
              <w:right w:w="90" w:type="dxa"/>
            </w:tcMar>
            <w:vAlign w:val="center"/>
          </w:tcPr>
          <w:p w14:paraId="3E129764" w14:textId="77777777" w:rsidR="00714E07" w:rsidRPr="00A95D42" w:rsidRDefault="00714E07" w:rsidP="00550803">
            <w:pPr>
              <w:spacing w:after="0" w:line="240" w:lineRule="auto"/>
              <w:rPr>
                <w:bCs/>
                <w:sz w:val="18"/>
                <w:szCs w:val="18"/>
              </w:rPr>
            </w:pPr>
            <w:r w:rsidRPr="00A95D42">
              <w:rPr>
                <w:bCs/>
                <w:sz w:val="18"/>
                <w:szCs w:val="18"/>
              </w:rPr>
              <w:t>Statistični urad Republike Slovenije</w:t>
            </w:r>
          </w:p>
        </w:tc>
      </w:tr>
      <w:tr w:rsidR="00714E07" w:rsidRPr="00A95D42" w14:paraId="1D76B92F" w14:textId="77777777" w:rsidTr="00C84B47">
        <w:trPr>
          <w:cantSplit/>
          <w:trHeight w:val="161"/>
          <w:tblHeader/>
        </w:trPr>
        <w:tc>
          <w:tcPr>
            <w:tcW w:w="3114" w:type="dxa"/>
            <w:tcMar>
              <w:top w:w="70" w:type="dxa"/>
              <w:left w:w="90" w:type="dxa"/>
              <w:bottom w:w="70" w:type="dxa"/>
              <w:right w:w="90" w:type="dxa"/>
            </w:tcMar>
            <w:vAlign w:val="center"/>
          </w:tcPr>
          <w:p w14:paraId="325B6F13" w14:textId="77777777" w:rsidR="00714E07" w:rsidRPr="00A95D42" w:rsidRDefault="00714E07" w:rsidP="00550803">
            <w:pPr>
              <w:spacing w:after="0" w:line="240" w:lineRule="auto"/>
              <w:rPr>
                <w:bCs/>
                <w:sz w:val="18"/>
                <w:szCs w:val="18"/>
              </w:rPr>
            </w:pPr>
            <w:r w:rsidRPr="00A95D42">
              <w:rPr>
                <w:bCs/>
                <w:sz w:val="18"/>
                <w:szCs w:val="18"/>
              </w:rPr>
              <w:t>UNG</w:t>
            </w:r>
          </w:p>
        </w:tc>
        <w:tc>
          <w:tcPr>
            <w:tcW w:w="8080" w:type="dxa"/>
            <w:tcMar>
              <w:top w:w="70" w:type="dxa"/>
              <w:left w:w="90" w:type="dxa"/>
              <w:bottom w:w="70" w:type="dxa"/>
              <w:right w:w="90" w:type="dxa"/>
            </w:tcMar>
            <w:vAlign w:val="center"/>
          </w:tcPr>
          <w:p w14:paraId="78C0F4A8" w14:textId="77777777" w:rsidR="00714E07" w:rsidRPr="00A95D42" w:rsidRDefault="00714E07" w:rsidP="00550803">
            <w:pPr>
              <w:spacing w:after="0" w:line="240" w:lineRule="auto"/>
              <w:rPr>
                <w:bCs/>
                <w:sz w:val="18"/>
                <w:szCs w:val="18"/>
              </w:rPr>
            </w:pPr>
            <w:r w:rsidRPr="00A95D42">
              <w:rPr>
                <w:bCs/>
                <w:sz w:val="18"/>
                <w:szCs w:val="18"/>
              </w:rPr>
              <w:t>Univerza v Novi Gorici</w:t>
            </w:r>
          </w:p>
        </w:tc>
      </w:tr>
      <w:tr w:rsidR="00714E07" w:rsidRPr="00A95D42" w14:paraId="3B46749E" w14:textId="77777777" w:rsidTr="00C84B47">
        <w:trPr>
          <w:cantSplit/>
          <w:tblHeader/>
        </w:trPr>
        <w:tc>
          <w:tcPr>
            <w:tcW w:w="3114" w:type="dxa"/>
            <w:tcMar>
              <w:top w:w="70" w:type="dxa"/>
              <w:left w:w="90" w:type="dxa"/>
              <w:bottom w:w="70" w:type="dxa"/>
              <w:right w:w="90" w:type="dxa"/>
            </w:tcMar>
          </w:tcPr>
          <w:p w14:paraId="6EAB0621" w14:textId="77777777" w:rsidR="00714E07" w:rsidRPr="00A95D42" w:rsidRDefault="00714E07" w:rsidP="00550803">
            <w:pPr>
              <w:spacing w:after="0" w:line="240" w:lineRule="auto"/>
              <w:rPr>
                <w:bCs/>
                <w:sz w:val="18"/>
                <w:szCs w:val="18"/>
              </w:rPr>
            </w:pPr>
            <w:r w:rsidRPr="00A95D42">
              <w:rPr>
                <w:bCs/>
                <w:sz w:val="18"/>
                <w:szCs w:val="18"/>
              </w:rPr>
              <w:t>e-Prostor</w:t>
            </w:r>
          </w:p>
        </w:tc>
        <w:tc>
          <w:tcPr>
            <w:tcW w:w="8080" w:type="dxa"/>
            <w:tcMar>
              <w:top w:w="70" w:type="dxa"/>
              <w:left w:w="90" w:type="dxa"/>
              <w:bottom w:w="70" w:type="dxa"/>
              <w:right w:w="90" w:type="dxa"/>
            </w:tcMar>
          </w:tcPr>
          <w:p w14:paraId="321719D3" w14:textId="77777777" w:rsidR="00714E07" w:rsidRPr="00A95D42" w:rsidRDefault="00714E07" w:rsidP="00550803">
            <w:pPr>
              <w:spacing w:after="0" w:line="240" w:lineRule="auto"/>
              <w:rPr>
                <w:bCs/>
                <w:sz w:val="18"/>
                <w:szCs w:val="18"/>
              </w:rPr>
            </w:pPr>
            <w:r w:rsidRPr="00A95D42">
              <w:rPr>
                <w:bCs/>
                <w:sz w:val="18"/>
                <w:szCs w:val="18"/>
              </w:rPr>
              <w:t>Portal prostorskih in nepremičninskih podatkov Geodetske uprave Republike Slovenije</w:t>
            </w:r>
          </w:p>
        </w:tc>
      </w:tr>
      <w:tr w:rsidR="00714E07" w:rsidRPr="00A95D42" w14:paraId="5CFA6BBE" w14:textId="77777777" w:rsidTr="00C84B47">
        <w:trPr>
          <w:cantSplit/>
          <w:tblHeader/>
        </w:trPr>
        <w:tc>
          <w:tcPr>
            <w:tcW w:w="3114" w:type="dxa"/>
            <w:tcMar>
              <w:top w:w="70" w:type="dxa"/>
              <w:left w:w="90" w:type="dxa"/>
              <w:bottom w:w="70" w:type="dxa"/>
              <w:right w:w="90" w:type="dxa"/>
            </w:tcMar>
          </w:tcPr>
          <w:p w14:paraId="18F49762" w14:textId="77777777" w:rsidR="00714E07" w:rsidRPr="00A95D42" w:rsidRDefault="00714E07" w:rsidP="00550803">
            <w:pPr>
              <w:spacing w:after="0" w:line="240" w:lineRule="auto"/>
              <w:rPr>
                <w:bCs/>
                <w:sz w:val="18"/>
                <w:szCs w:val="18"/>
              </w:rPr>
            </w:pPr>
            <w:r w:rsidRPr="00A95D42">
              <w:rPr>
                <w:bCs/>
                <w:sz w:val="18"/>
                <w:szCs w:val="18"/>
              </w:rPr>
              <w:t>Go2Go</w:t>
            </w:r>
          </w:p>
        </w:tc>
        <w:tc>
          <w:tcPr>
            <w:tcW w:w="8080" w:type="dxa"/>
            <w:tcMar>
              <w:top w:w="70" w:type="dxa"/>
              <w:left w:w="90" w:type="dxa"/>
              <w:bottom w:w="70" w:type="dxa"/>
              <w:right w:w="90" w:type="dxa"/>
            </w:tcMar>
          </w:tcPr>
          <w:p w14:paraId="7A60571A" w14:textId="77777777" w:rsidR="00714E07" w:rsidRPr="00A95D42" w:rsidRDefault="00714E07" w:rsidP="00550803">
            <w:pPr>
              <w:spacing w:after="0" w:line="240" w:lineRule="auto"/>
              <w:rPr>
                <w:bCs/>
                <w:sz w:val="18"/>
                <w:szCs w:val="18"/>
              </w:rPr>
            </w:pPr>
            <w:r w:rsidRPr="00A95D42">
              <w:rPr>
                <w:bCs/>
                <w:sz w:val="18"/>
                <w:szCs w:val="18"/>
              </w:rPr>
              <w:t>Sistem čezmejne izposoje koles</w:t>
            </w:r>
          </w:p>
        </w:tc>
      </w:tr>
    </w:tbl>
    <w:p w14:paraId="22723CE7" w14:textId="77777777" w:rsidR="00337910" w:rsidRDefault="00337910" w:rsidP="29A8477B">
      <w:pPr>
        <w:sectPr w:rsidR="00337910" w:rsidSect="003024E7">
          <w:headerReference w:type="default" r:id="rId21"/>
          <w:footerReference w:type="default" r:id="rId22"/>
          <w:headerReference w:type="first" r:id="rId23"/>
          <w:pgSz w:w="16838" w:h="11906" w:orient="landscape"/>
          <w:pgMar w:top="1134" w:right="1247" w:bottom="1134" w:left="1247" w:header="794" w:footer="850" w:gutter="0"/>
          <w:cols w:space="708"/>
          <w:docGrid w:linePitch="360"/>
        </w:sectPr>
      </w:pPr>
    </w:p>
    <w:p w14:paraId="4FDC859A" w14:textId="7ECA0769" w:rsidR="1633040D" w:rsidRDefault="110F542D" w:rsidP="003C7257">
      <w:pPr>
        <w:pStyle w:val="Naslov2"/>
        <w:spacing w:before="240" w:after="120"/>
      </w:pPr>
      <w:bookmarkStart w:id="76" w:name="_Toc735000027"/>
      <w:bookmarkStart w:id="77" w:name="_Toc1420853035"/>
      <w:bookmarkStart w:id="78" w:name="_Toc239414918"/>
      <w:r>
        <w:lastRenderedPageBreak/>
        <w:t>Priloga 3:</w:t>
      </w:r>
      <w:r w:rsidR="1B9AFA9A">
        <w:t xml:space="preserve"> </w:t>
      </w:r>
      <w:bookmarkEnd w:id="76"/>
      <w:bookmarkEnd w:id="77"/>
      <w:r w:rsidR="1B9AFA9A">
        <w:t>Pregled strateških dokumentov in strokovnih podlag</w:t>
      </w:r>
      <w:bookmarkEnd w:id="78"/>
    </w:p>
    <w:p w14:paraId="2EA4BDB6" w14:textId="654611A3" w:rsidR="1633040D" w:rsidRDefault="278BCBDD" w:rsidP="00317111">
      <w:pPr>
        <w:spacing w:line="257" w:lineRule="auto"/>
        <w:jc w:val="both"/>
        <w:rPr>
          <w:rFonts w:eastAsiaTheme="minorEastAsia"/>
        </w:rPr>
      </w:pPr>
      <w:r w:rsidRPr="29A8477B">
        <w:rPr>
          <w:rFonts w:eastAsiaTheme="minorEastAsia"/>
        </w:rPr>
        <w:t xml:space="preserve">V začetni fazi priprave Strategije razvoja MONG 2045 so bili pregledani različni obstoječi strateški dokumenti, sektorske strategije MONG in strokovne podlage, kjer se je osredotočilo predvsem na vizijo, strateške usmeritve ali cilje. Namen pregleda različnih dokumentov je bil seznanitev z obstoječimi, že zapisanimi cilji in usmeritvami tako državnih strateških dokumentov kot občinskih sektorskih strategij. </w:t>
      </w:r>
    </w:p>
    <w:p w14:paraId="0A458788" w14:textId="10E5DEE0" w:rsidR="1633040D" w:rsidRDefault="278BCBDD" w:rsidP="00317111">
      <w:pPr>
        <w:spacing w:line="257" w:lineRule="auto"/>
        <w:jc w:val="both"/>
        <w:rPr>
          <w:rFonts w:eastAsiaTheme="minorEastAsia"/>
        </w:rPr>
      </w:pPr>
      <w:r w:rsidRPr="29A8477B">
        <w:rPr>
          <w:rFonts w:eastAsiaTheme="minorEastAsia"/>
        </w:rPr>
        <w:t xml:space="preserve">Od hierarhično nadrejenih strateških dokumentov sta bila podrobneje pregledana Strategija razvoja Slovenije 2030 in Strategija prostorskega razvoja Slovenije 2050. Na občinski ravni pa so bile v pregled vključene sektorske strategije navedene pod 2. poglavjem. </w:t>
      </w:r>
    </w:p>
    <w:p w14:paraId="08BA9A43" w14:textId="54CAA89B" w:rsidR="1633040D" w:rsidRDefault="278BCBDD" w:rsidP="00317111">
      <w:pPr>
        <w:spacing w:line="257" w:lineRule="auto"/>
        <w:rPr>
          <w:rFonts w:eastAsiaTheme="minorEastAsia"/>
        </w:rPr>
      </w:pPr>
      <w:r w:rsidRPr="29A8477B">
        <w:rPr>
          <w:rFonts w:eastAsiaTheme="minorEastAsia"/>
        </w:rPr>
        <w:t xml:space="preserve">V začetni fazi se je pregledalo tudi že izdelane strokovne podlage za novo generacijo prostorskih aktov, torej </w:t>
      </w:r>
      <w:proofErr w:type="spellStart"/>
      <w:r w:rsidRPr="29A8477B">
        <w:rPr>
          <w:rFonts w:eastAsiaTheme="minorEastAsia"/>
        </w:rPr>
        <w:t>novelacijo</w:t>
      </w:r>
      <w:proofErr w:type="spellEnd"/>
      <w:r w:rsidRPr="29A8477B">
        <w:rPr>
          <w:rFonts w:eastAsiaTheme="minorEastAsia"/>
        </w:rPr>
        <w:t xml:space="preserve"> strateškega prostorskega akta oz. pripravo občinskega prostorskega plana in v nadaljevanju tudi občinskega prostorskega načrta. V strokovnih podlagah so prepoznani trenutni izzivi s katerimi se MONG sooča in predlagani nekateri ukrepi, ki jih naslavljajo.</w:t>
      </w:r>
    </w:p>
    <w:p w14:paraId="13C6A8EF" w14:textId="7E7723EF" w:rsidR="1633040D" w:rsidRDefault="00DF9DDC" w:rsidP="003C7257">
      <w:pPr>
        <w:pStyle w:val="Naslov3"/>
        <w:spacing w:before="240" w:after="120"/>
        <w:rPr>
          <w:rFonts w:eastAsiaTheme="minorEastAsia" w:cstheme="minorBidi"/>
          <w:b/>
          <w:bCs/>
          <w:i/>
          <w:iCs/>
          <w:sz w:val="22"/>
          <w:szCs w:val="22"/>
        </w:rPr>
      </w:pPr>
      <w:bookmarkStart w:id="79" w:name="_Toc239414919"/>
      <w:r w:rsidRPr="29A8477B">
        <w:rPr>
          <w:rStyle w:val="Naslov3Znak"/>
        </w:rPr>
        <w:t xml:space="preserve">1 </w:t>
      </w:r>
      <w:r w:rsidR="278BCBDD" w:rsidRPr="29A8477B">
        <w:rPr>
          <w:rStyle w:val="Naslov3Znak"/>
        </w:rPr>
        <w:t>Strateške usmeritve države</w:t>
      </w:r>
      <w:bookmarkEnd w:id="79"/>
      <w:r w:rsidR="278BCBDD" w:rsidRPr="29A8477B">
        <w:rPr>
          <w:rFonts w:eastAsiaTheme="minorEastAsia" w:cstheme="minorBidi"/>
          <w:sz w:val="22"/>
          <w:szCs w:val="22"/>
        </w:rPr>
        <w:t xml:space="preserve"> </w:t>
      </w:r>
    </w:p>
    <w:p w14:paraId="0C8320B9" w14:textId="4C582F55" w:rsidR="1633040D" w:rsidRPr="00AA3686" w:rsidRDefault="0ED42B25" w:rsidP="00AA3686">
      <w:pPr>
        <w:pStyle w:val="Naslov4"/>
        <w:spacing w:before="240" w:after="120"/>
        <w:jc w:val="both"/>
      </w:pPr>
      <w:r w:rsidRPr="00AA3686">
        <w:t xml:space="preserve">1.1 </w:t>
      </w:r>
      <w:r w:rsidR="278BCBDD" w:rsidRPr="00AA3686">
        <w:t>Strategija razvoja Slovenije 2030</w:t>
      </w:r>
    </w:p>
    <w:p w14:paraId="2C93DDD4" w14:textId="632BD691" w:rsidR="1633040D" w:rsidRDefault="278BCBDD" w:rsidP="29A8477B">
      <w:pPr>
        <w:spacing w:after="0" w:line="257" w:lineRule="auto"/>
        <w:rPr>
          <w:rFonts w:eastAsiaTheme="minorEastAsia"/>
          <w:b/>
          <w:bCs/>
        </w:rPr>
      </w:pPr>
      <w:r w:rsidRPr="29A8477B">
        <w:rPr>
          <w:rFonts w:eastAsiaTheme="minorEastAsia"/>
          <w:b/>
          <w:bCs/>
        </w:rPr>
        <w:t>Vizija:</w:t>
      </w:r>
    </w:p>
    <w:p w14:paraId="4A5E6A58" w14:textId="30DC7A34" w:rsidR="1633040D" w:rsidRPr="003C7257" w:rsidRDefault="278BCBDD" w:rsidP="003C7257">
      <w:pPr>
        <w:spacing w:line="257" w:lineRule="auto"/>
        <w:jc w:val="both"/>
        <w:rPr>
          <w:rFonts w:eastAsiaTheme="minorEastAsia"/>
        </w:rPr>
      </w:pPr>
      <w:r w:rsidRPr="003C7257">
        <w:rPr>
          <w:rFonts w:eastAsiaTheme="minorEastAsia"/>
        </w:rPr>
        <w:t>V sozvočju z okoljem in časom smo našli ravnovesje kakovostnega življenja. S pomočjo učenja se uspešno soočamo z največjimi izzivi. Smo inovativni, ideje spreminjamo v dejanja. Z zaupanjem ustvarjamo dobre odnose ter gradimo solidarno in strpno družbo. Slovenijo samozavestno odpiramo partnerjem, pripravljenim na sodelovanje. Ponosni bogatimo globalno mrežo s svojo kulturno edinstvenostjo.</w:t>
      </w:r>
    </w:p>
    <w:p w14:paraId="2568A1B2" w14:textId="38A94DAF" w:rsidR="1633040D" w:rsidRPr="003C7257" w:rsidRDefault="278BCBDD" w:rsidP="29A8477B">
      <w:pPr>
        <w:spacing w:line="257" w:lineRule="auto"/>
        <w:rPr>
          <w:rFonts w:eastAsiaTheme="minorEastAsia"/>
        </w:rPr>
      </w:pPr>
      <w:r w:rsidRPr="003C7257">
        <w:rPr>
          <w:rFonts w:eastAsiaTheme="minorEastAsia"/>
        </w:rPr>
        <w:t xml:space="preserve">Osrednji cilj strategije razvoja: zagotoviti kakovost življenja za vse. </w:t>
      </w:r>
    </w:p>
    <w:p w14:paraId="2F0BB313" w14:textId="1E24F07A" w:rsidR="1633040D" w:rsidRDefault="278BCBDD" w:rsidP="29A8477B">
      <w:pPr>
        <w:spacing w:after="0" w:line="257" w:lineRule="auto"/>
        <w:rPr>
          <w:rFonts w:eastAsiaTheme="minorEastAsia"/>
        </w:rPr>
      </w:pPr>
      <w:r w:rsidRPr="29A8477B">
        <w:rPr>
          <w:rFonts w:eastAsiaTheme="minorEastAsia"/>
          <w:b/>
          <w:bCs/>
        </w:rPr>
        <w:t>Strateške usmeritve</w:t>
      </w:r>
      <w:r w:rsidRPr="29A8477B">
        <w:rPr>
          <w:rFonts w:eastAsiaTheme="minorEastAsia"/>
        </w:rPr>
        <w:t xml:space="preserve">: </w:t>
      </w:r>
    </w:p>
    <w:p w14:paraId="46FEB4D6" w14:textId="6AE68A45" w:rsidR="1633040D" w:rsidRDefault="278BCBDD" w:rsidP="004A1C14">
      <w:pPr>
        <w:pStyle w:val="Odstavekseznama"/>
        <w:numPr>
          <w:ilvl w:val="0"/>
          <w:numId w:val="39"/>
        </w:numPr>
        <w:spacing w:after="0" w:line="257" w:lineRule="auto"/>
        <w:rPr>
          <w:rFonts w:eastAsiaTheme="minorEastAsia"/>
        </w:rPr>
      </w:pPr>
      <w:r w:rsidRPr="29A8477B">
        <w:rPr>
          <w:rFonts w:eastAsiaTheme="minorEastAsia"/>
        </w:rPr>
        <w:t xml:space="preserve">vključujoča, zdrava, varna in odgovorna družba, </w:t>
      </w:r>
    </w:p>
    <w:p w14:paraId="1A64F9DB" w14:textId="3764B515" w:rsidR="1633040D" w:rsidRDefault="278BCBDD" w:rsidP="004A1C14">
      <w:pPr>
        <w:pStyle w:val="Odstavekseznama"/>
        <w:numPr>
          <w:ilvl w:val="0"/>
          <w:numId w:val="39"/>
        </w:numPr>
        <w:spacing w:after="0" w:line="257" w:lineRule="auto"/>
        <w:rPr>
          <w:rFonts w:eastAsiaTheme="minorEastAsia"/>
        </w:rPr>
      </w:pPr>
      <w:r w:rsidRPr="29A8477B">
        <w:rPr>
          <w:rFonts w:eastAsiaTheme="minorEastAsia"/>
        </w:rPr>
        <w:t xml:space="preserve">učenje za in skozi vse življenje, </w:t>
      </w:r>
    </w:p>
    <w:p w14:paraId="7B6083EA" w14:textId="68C21239" w:rsidR="1633040D" w:rsidRDefault="278BCBDD" w:rsidP="004A1C14">
      <w:pPr>
        <w:pStyle w:val="Odstavekseznama"/>
        <w:numPr>
          <w:ilvl w:val="0"/>
          <w:numId w:val="39"/>
        </w:numPr>
        <w:spacing w:after="0" w:line="257" w:lineRule="auto"/>
        <w:rPr>
          <w:rFonts w:eastAsiaTheme="minorEastAsia"/>
        </w:rPr>
      </w:pPr>
      <w:r w:rsidRPr="29A8477B">
        <w:rPr>
          <w:rFonts w:eastAsiaTheme="minorEastAsia"/>
        </w:rPr>
        <w:t xml:space="preserve">visoko produktivno gospodarstvo, ki ustvarja dodano vrednost za vse, </w:t>
      </w:r>
    </w:p>
    <w:p w14:paraId="0A456A63" w14:textId="40A55DA0" w:rsidR="1633040D" w:rsidRDefault="278BCBDD" w:rsidP="004A1C14">
      <w:pPr>
        <w:pStyle w:val="Odstavekseznama"/>
        <w:numPr>
          <w:ilvl w:val="0"/>
          <w:numId w:val="39"/>
        </w:numPr>
        <w:spacing w:after="0" w:line="257" w:lineRule="auto"/>
        <w:rPr>
          <w:rFonts w:eastAsiaTheme="minorEastAsia"/>
        </w:rPr>
      </w:pPr>
      <w:r w:rsidRPr="29A8477B">
        <w:rPr>
          <w:rFonts w:eastAsiaTheme="minorEastAsia"/>
        </w:rPr>
        <w:t xml:space="preserve">ohranjeno zdravo naravno okolje, </w:t>
      </w:r>
    </w:p>
    <w:p w14:paraId="4DCDC4E1" w14:textId="5B19FF88" w:rsidR="1633040D" w:rsidRDefault="278BCBDD" w:rsidP="004A1C14">
      <w:pPr>
        <w:pStyle w:val="Odstavekseznama"/>
        <w:numPr>
          <w:ilvl w:val="0"/>
          <w:numId w:val="39"/>
        </w:numPr>
        <w:spacing w:after="0" w:line="257" w:lineRule="auto"/>
        <w:rPr>
          <w:rFonts w:eastAsiaTheme="minorEastAsia"/>
        </w:rPr>
      </w:pPr>
      <w:r w:rsidRPr="29A8477B">
        <w:rPr>
          <w:rFonts w:eastAsiaTheme="minorEastAsia"/>
        </w:rPr>
        <w:t>Visoka stopnja sodelovanja, usposobljenosti in učinkovitosti upravljanja.</w:t>
      </w:r>
    </w:p>
    <w:p w14:paraId="07EC22F2" w14:textId="2E6EB7E1" w:rsidR="1633040D" w:rsidRDefault="278BCBDD" w:rsidP="29A8477B">
      <w:pPr>
        <w:spacing w:after="0" w:line="257" w:lineRule="auto"/>
        <w:rPr>
          <w:rFonts w:eastAsiaTheme="minorEastAsia"/>
        </w:rPr>
      </w:pPr>
      <w:r w:rsidRPr="29A8477B">
        <w:rPr>
          <w:rFonts w:eastAsiaTheme="minorEastAsia"/>
        </w:rPr>
        <w:t xml:space="preserve"> </w:t>
      </w:r>
    </w:p>
    <w:p w14:paraId="336A43A1" w14:textId="79BA7AEF" w:rsidR="1633040D" w:rsidRDefault="1633040D" w:rsidP="29A8477B">
      <w:pPr>
        <w:spacing w:line="257" w:lineRule="auto"/>
        <w:rPr>
          <w:rFonts w:eastAsiaTheme="minorEastAsia"/>
        </w:rPr>
      </w:pPr>
    </w:p>
    <w:p w14:paraId="27E1DC6D" w14:textId="77777777" w:rsidR="00850FBA" w:rsidRDefault="00850FBA" w:rsidP="29A8477B">
      <w:pPr>
        <w:spacing w:line="257" w:lineRule="auto"/>
        <w:rPr>
          <w:rFonts w:eastAsiaTheme="minorEastAsia"/>
        </w:rPr>
      </w:pPr>
    </w:p>
    <w:p w14:paraId="0C9EC681" w14:textId="77777777" w:rsidR="00850FBA" w:rsidRDefault="00850FBA" w:rsidP="29A8477B">
      <w:pPr>
        <w:spacing w:line="257" w:lineRule="auto"/>
        <w:rPr>
          <w:rFonts w:eastAsiaTheme="minorEastAsia"/>
        </w:rPr>
      </w:pPr>
    </w:p>
    <w:p w14:paraId="4D406D81" w14:textId="77777777" w:rsidR="00850FBA" w:rsidRDefault="00850FBA" w:rsidP="29A8477B">
      <w:pPr>
        <w:spacing w:line="257" w:lineRule="auto"/>
        <w:rPr>
          <w:rFonts w:eastAsiaTheme="minorEastAsia"/>
        </w:rPr>
      </w:pPr>
    </w:p>
    <w:p w14:paraId="0181B10B" w14:textId="20D202EC" w:rsidR="00C84B47" w:rsidRPr="00C84B47" w:rsidRDefault="00224542" w:rsidP="00C84B47">
      <w:pPr>
        <w:rPr>
          <w:rFonts w:eastAsiaTheme="minorEastAsia"/>
        </w:rPr>
      </w:pPr>
      <w:r>
        <w:rPr>
          <w:rFonts w:eastAsiaTheme="minorEastAsia"/>
        </w:rPr>
        <w:br w:type="page"/>
      </w:r>
    </w:p>
    <w:p w14:paraId="7F38A913" w14:textId="3BBB4419" w:rsidR="00C84B47" w:rsidRPr="00C84B47" w:rsidRDefault="00C84B47" w:rsidP="00C84B47">
      <w:pPr>
        <w:tabs>
          <w:tab w:val="left" w:pos="2554"/>
        </w:tabs>
        <w:rPr>
          <w:rFonts w:eastAsiaTheme="minorEastAsia"/>
        </w:rPr>
      </w:pPr>
      <w:r>
        <w:rPr>
          <w:rFonts w:eastAsiaTheme="minorEastAsia"/>
        </w:rPr>
        <w:lastRenderedPageBreak/>
        <w:tab/>
      </w:r>
    </w:p>
    <w:p w14:paraId="6B2CB391" w14:textId="77777777" w:rsidR="00605A9B" w:rsidRPr="00605A9B" w:rsidRDefault="00605A9B" w:rsidP="00605A9B">
      <w:pPr>
        <w:spacing w:line="257" w:lineRule="auto"/>
        <w:rPr>
          <w:rStyle w:val="Naslov4Znak"/>
          <w:rFonts w:eastAsiaTheme="minorEastAsia" w:cstheme="minorBidi"/>
          <w:i w:val="0"/>
          <w:iCs w:val="0"/>
          <w:color w:val="auto"/>
          <w:sz w:val="18"/>
          <w:szCs w:val="18"/>
        </w:rPr>
      </w:pPr>
      <w:r w:rsidRPr="00605A9B">
        <w:rPr>
          <w:rFonts w:eastAsiaTheme="minorEastAsia"/>
          <w:sz w:val="18"/>
          <w:szCs w:val="18"/>
        </w:rPr>
        <w:t>Slika prikazuje matriko razvojnih ciljev in strateških usmeritev iz Strategije razvoja Slovenije 2030</w:t>
      </w:r>
    </w:p>
    <w:p w14:paraId="09E225BF" w14:textId="641FE5B6" w:rsidR="00400BA3" w:rsidRDefault="00850FBA" w:rsidP="1706C59B">
      <w:pPr>
        <w:spacing w:line="257" w:lineRule="auto"/>
        <w:jc w:val="center"/>
        <w:rPr>
          <w:rStyle w:val="Naslov4Znak"/>
          <w:rFonts w:eastAsiaTheme="minorEastAsia" w:cstheme="minorBidi"/>
          <w:b/>
          <w:bCs/>
          <w:i w:val="0"/>
          <w:iCs w:val="0"/>
          <w:color w:val="auto"/>
        </w:rPr>
      </w:pPr>
      <w:r>
        <w:rPr>
          <w:noProof/>
        </w:rPr>
        <w:drawing>
          <wp:inline distT="0" distB="0" distL="0" distR="0" wp14:anchorId="6EA58B1E" wp14:editId="7C86EDA5">
            <wp:extent cx="4943898" cy="4752975"/>
            <wp:effectExtent l="0" t="0" r="0" b="0"/>
            <wp:docPr id="2082680855" name="drawing" title="Slika, ki vsebuje besede besedilo, posnetek zaslona, številka, pisav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0855" name="Picture 2082680855"/>
                    <pic:cNvPicPr/>
                  </pic:nvPicPr>
                  <pic:blipFill>
                    <a:blip r:embed="rId24">
                      <a:extLst>
                        <a:ext uri="{28A0092B-C50C-407E-A947-70E740481C1C}">
                          <a14:useLocalDpi xmlns:a14="http://schemas.microsoft.com/office/drawing/2010/main"/>
                        </a:ext>
                      </a:extLst>
                    </a:blip>
                    <a:stretch>
                      <a:fillRect/>
                    </a:stretch>
                  </pic:blipFill>
                  <pic:spPr>
                    <a:xfrm>
                      <a:off x="0" y="0"/>
                      <a:ext cx="4943898" cy="4752975"/>
                    </a:xfrm>
                    <a:prstGeom prst="rect">
                      <a:avLst/>
                    </a:prstGeom>
                  </pic:spPr>
                </pic:pic>
              </a:graphicData>
            </a:graphic>
          </wp:inline>
        </w:drawing>
      </w:r>
    </w:p>
    <w:p w14:paraId="268020CF" w14:textId="77777777" w:rsidR="00605A9B" w:rsidRPr="00400BA3" w:rsidRDefault="00605A9B" w:rsidP="1706C59B">
      <w:pPr>
        <w:spacing w:line="257" w:lineRule="auto"/>
        <w:jc w:val="center"/>
        <w:rPr>
          <w:rStyle w:val="Naslov4Znak"/>
          <w:rFonts w:eastAsiaTheme="minorEastAsia" w:cstheme="minorBidi"/>
          <w:b/>
          <w:bCs/>
          <w:i w:val="0"/>
          <w:iCs w:val="0"/>
          <w:color w:val="auto"/>
        </w:rPr>
      </w:pPr>
    </w:p>
    <w:p w14:paraId="2B42FC9C" w14:textId="49C39E94" w:rsidR="1633040D" w:rsidRPr="00AA3686" w:rsidRDefault="009C657A" w:rsidP="00AA3686">
      <w:pPr>
        <w:pStyle w:val="Naslov4"/>
        <w:spacing w:before="240" w:after="120"/>
        <w:jc w:val="both"/>
      </w:pPr>
      <w:r w:rsidRPr="00AA3686">
        <w:t>1</w:t>
      </w:r>
      <w:r w:rsidR="5C42B3D7" w:rsidRPr="00AA3686">
        <w:t>.</w:t>
      </w:r>
      <w:r w:rsidRPr="00AA3686">
        <w:t xml:space="preserve">2 </w:t>
      </w:r>
      <w:r w:rsidR="278BCBDD" w:rsidRPr="00AA3686">
        <w:t>Strategija prostorskega razvoja Slovenije 2050</w:t>
      </w:r>
    </w:p>
    <w:p w14:paraId="487AC726" w14:textId="5A2B3D02" w:rsidR="1633040D" w:rsidRDefault="278BCBDD" w:rsidP="29A8477B">
      <w:pPr>
        <w:spacing w:line="257" w:lineRule="auto"/>
        <w:rPr>
          <w:rFonts w:eastAsiaTheme="minorEastAsia"/>
          <w:b/>
          <w:bCs/>
        </w:rPr>
      </w:pPr>
      <w:r w:rsidRPr="29A8477B">
        <w:rPr>
          <w:rFonts w:eastAsiaTheme="minorEastAsia"/>
          <w:b/>
          <w:bCs/>
        </w:rPr>
        <w:t>Vizija prostorskega razvoja:</w:t>
      </w:r>
    </w:p>
    <w:p w14:paraId="041332C4" w14:textId="2D70A3FE" w:rsidR="1633040D" w:rsidRDefault="278BCBDD" w:rsidP="004A1C14">
      <w:pPr>
        <w:pStyle w:val="Odstavekseznama"/>
        <w:numPr>
          <w:ilvl w:val="0"/>
          <w:numId w:val="38"/>
        </w:numPr>
        <w:tabs>
          <w:tab w:val="left" w:pos="0"/>
          <w:tab w:val="left" w:pos="720"/>
        </w:tabs>
        <w:spacing w:line="257" w:lineRule="auto"/>
        <w:jc w:val="both"/>
        <w:rPr>
          <w:rFonts w:eastAsiaTheme="minorEastAsia"/>
        </w:rPr>
      </w:pPr>
      <w:r w:rsidRPr="00400BA3">
        <w:rPr>
          <w:rFonts w:eastAsiaTheme="minorEastAsia"/>
        </w:rPr>
        <w:t>Slovenija bo premišljeno upravljala s svojim prostorom in bo svojim prebivalcem zagotavljala optimalne razmere za varno in zdravo okolje ter visoko kakovost življenja. Svoj razvoj bo snovala na lastnih prostorskih potencialih, prepoznavnosti in identiteti</w:t>
      </w:r>
      <w:r w:rsidRPr="29A8477B">
        <w:rPr>
          <w:rFonts w:eastAsiaTheme="minorEastAsia"/>
        </w:rPr>
        <w:t xml:space="preserve">. </w:t>
      </w:r>
    </w:p>
    <w:p w14:paraId="7E7AE87C" w14:textId="4037D6AD" w:rsidR="1633040D" w:rsidRDefault="278BCBDD" w:rsidP="004A1C14">
      <w:pPr>
        <w:pStyle w:val="Odstavekseznama"/>
        <w:numPr>
          <w:ilvl w:val="0"/>
          <w:numId w:val="38"/>
        </w:numPr>
        <w:tabs>
          <w:tab w:val="left" w:pos="0"/>
          <w:tab w:val="left" w:pos="720"/>
        </w:tabs>
        <w:spacing w:line="257" w:lineRule="auto"/>
        <w:jc w:val="both"/>
        <w:rPr>
          <w:rFonts w:eastAsiaTheme="minorEastAsia"/>
        </w:rPr>
      </w:pPr>
      <w:r w:rsidRPr="29A8477B">
        <w:rPr>
          <w:rFonts w:eastAsiaTheme="minorEastAsia"/>
        </w:rPr>
        <w:t xml:space="preserve">Naravo in naravne vire bomo varovali in z njimi trajnostno gospodarili. </w:t>
      </w:r>
    </w:p>
    <w:p w14:paraId="6515078C" w14:textId="32615135" w:rsidR="1633040D" w:rsidRDefault="278BCBDD" w:rsidP="004A1C14">
      <w:pPr>
        <w:pStyle w:val="Odstavekseznama"/>
        <w:numPr>
          <w:ilvl w:val="0"/>
          <w:numId w:val="38"/>
        </w:numPr>
        <w:tabs>
          <w:tab w:val="left" w:pos="0"/>
          <w:tab w:val="left" w:pos="720"/>
        </w:tabs>
        <w:spacing w:line="257" w:lineRule="auto"/>
        <w:jc w:val="both"/>
        <w:rPr>
          <w:rFonts w:eastAsiaTheme="minorEastAsia"/>
        </w:rPr>
      </w:pPr>
      <w:r w:rsidRPr="29A8477B">
        <w:rPr>
          <w:rFonts w:eastAsiaTheme="minorEastAsia"/>
        </w:rPr>
        <w:t xml:space="preserve">S premišljenimi urbanističnimi, krajinskimi in arhitekturnimi rešitvami bomo ustvarili prepoznaven red v prostoru. </w:t>
      </w:r>
    </w:p>
    <w:p w14:paraId="69370C4A" w14:textId="097EE9D9" w:rsidR="1633040D" w:rsidRDefault="278BCBDD" w:rsidP="004A1C14">
      <w:pPr>
        <w:pStyle w:val="Odstavekseznama"/>
        <w:numPr>
          <w:ilvl w:val="0"/>
          <w:numId w:val="38"/>
        </w:numPr>
        <w:tabs>
          <w:tab w:val="left" w:pos="0"/>
          <w:tab w:val="left" w:pos="720"/>
        </w:tabs>
        <w:spacing w:line="257" w:lineRule="auto"/>
        <w:jc w:val="both"/>
        <w:rPr>
          <w:rFonts w:eastAsiaTheme="minorEastAsia"/>
        </w:rPr>
      </w:pPr>
      <w:r w:rsidRPr="29A8477B">
        <w:rPr>
          <w:rFonts w:eastAsiaTheme="minorEastAsia"/>
        </w:rPr>
        <w:t xml:space="preserve">V poselitveni strukturi bomo ohranili sestavo naselij po meri človeka, mesta in druga naselja bodo med seboj sodelovala pri reševanju skupnih izzivov. </w:t>
      </w:r>
    </w:p>
    <w:p w14:paraId="70073AC7" w14:textId="05BAB379" w:rsidR="1633040D" w:rsidRDefault="278BCBDD" w:rsidP="004A1C14">
      <w:pPr>
        <w:pStyle w:val="Odstavekseznama"/>
        <w:numPr>
          <w:ilvl w:val="0"/>
          <w:numId w:val="38"/>
        </w:numPr>
        <w:tabs>
          <w:tab w:val="left" w:pos="0"/>
          <w:tab w:val="left" w:pos="720"/>
        </w:tabs>
        <w:spacing w:line="257" w:lineRule="auto"/>
        <w:jc w:val="both"/>
        <w:rPr>
          <w:rFonts w:eastAsiaTheme="minorEastAsia"/>
        </w:rPr>
      </w:pPr>
      <w:r w:rsidRPr="29A8477B">
        <w:rPr>
          <w:rFonts w:eastAsiaTheme="minorEastAsia"/>
        </w:rPr>
        <w:t xml:space="preserve">Središča bo povezoval udoben, učinkovit in cenovno dostopen javni potniški promet. </w:t>
      </w:r>
    </w:p>
    <w:p w14:paraId="5085F409" w14:textId="7CE32E17" w:rsidR="1633040D" w:rsidRDefault="278BCBDD" w:rsidP="004A1C14">
      <w:pPr>
        <w:pStyle w:val="Odstavekseznama"/>
        <w:numPr>
          <w:ilvl w:val="0"/>
          <w:numId w:val="38"/>
        </w:numPr>
        <w:tabs>
          <w:tab w:val="left" w:pos="0"/>
          <w:tab w:val="left" w:pos="720"/>
        </w:tabs>
        <w:spacing w:line="257" w:lineRule="auto"/>
        <w:jc w:val="both"/>
        <w:rPr>
          <w:rFonts w:eastAsiaTheme="minorEastAsia"/>
        </w:rPr>
      </w:pPr>
      <w:r w:rsidRPr="29A8477B">
        <w:rPr>
          <w:rFonts w:eastAsiaTheme="minorEastAsia"/>
        </w:rPr>
        <w:t xml:space="preserve">Slovenska naselja bodo prijetna za bivanje in delo, uspešna, </w:t>
      </w:r>
      <w:proofErr w:type="spellStart"/>
      <w:r w:rsidRPr="29A8477B">
        <w:rPr>
          <w:rFonts w:eastAsiaTheme="minorEastAsia"/>
        </w:rPr>
        <w:t>okoljsko</w:t>
      </w:r>
      <w:proofErr w:type="spellEnd"/>
      <w:r w:rsidRPr="29A8477B">
        <w:rPr>
          <w:rFonts w:eastAsiaTheme="minorEastAsia"/>
        </w:rPr>
        <w:t xml:space="preserve"> vzdržna in podnebno nevtralna. </w:t>
      </w:r>
    </w:p>
    <w:p w14:paraId="2BC5CFF9" w14:textId="3F953687" w:rsidR="1633040D" w:rsidRDefault="278BCBDD" w:rsidP="004A1C14">
      <w:pPr>
        <w:pStyle w:val="Odstavekseznama"/>
        <w:numPr>
          <w:ilvl w:val="0"/>
          <w:numId w:val="38"/>
        </w:numPr>
        <w:tabs>
          <w:tab w:val="left" w:pos="0"/>
          <w:tab w:val="left" w:pos="720"/>
        </w:tabs>
        <w:spacing w:line="257" w:lineRule="auto"/>
        <w:jc w:val="both"/>
        <w:rPr>
          <w:rFonts w:eastAsiaTheme="minorEastAsia"/>
        </w:rPr>
      </w:pPr>
      <w:r w:rsidRPr="29A8477B">
        <w:rPr>
          <w:rFonts w:eastAsiaTheme="minorEastAsia"/>
        </w:rPr>
        <w:lastRenderedPageBreak/>
        <w:t>Urbana naselja so središča znanja in inovacij, v njih so razviti vrhunski znanstvenoraziskovalni centri.</w:t>
      </w:r>
    </w:p>
    <w:p w14:paraId="4FE4E0F0" w14:textId="34E169A6" w:rsidR="1633040D" w:rsidRDefault="278BCBDD" w:rsidP="004A1C14">
      <w:pPr>
        <w:pStyle w:val="Odstavekseznama"/>
        <w:numPr>
          <w:ilvl w:val="0"/>
          <w:numId w:val="38"/>
        </w:numPr>
        <w:tabs>
          <w:tab w:val="left" w:pos="0"/>
          <w:tab w:val="left" w:pos="720"/>
        </w:tabs>
        <w:spacing w:line="257" w:lineRule="auto"/>
        <w:jc w:val="both"/>
        <w:rPr>
          <w:rFonts w:eastAsiaTheme="minorEastAsia"/>
        </w:rPr>
      </w:pPr>
      <w:r w:rsidRPr="29A8477B">
        <w:rPr>
          <w:rFonts w:eastAsiaTheme="minorEastAsia"/>
        </w:rPr>
        <w:t xml:space="preserve">Podeželje bo kljub modernizaciji obdržalo prepoznavno krajinsko podobo.  </w:t>
      </w:r>
    </w:p>
    <w:p w14:paraId="0C71DF75" w14:textId="318CC2FA" w:rsidR="1633040D" w:rsidRDefault="4E8336DA" w:rsidP="004A1C14">
      <w:pPr>
        <w:numPr>
          <w:ilvl w:val="0"/>
          <w:numId w:val="38"/>
        </w:numPr>
        <w:tabs>
          <w:tab w:val="left" w:pos="0"/>
          <w:tab w:val="left" w:pos="720"/>
        </w:tabs>
        <w:spacing w:line="257" w:lineRule="auto"/>
        <w:jc w:val="both"/>
        <w:rPr>
          <w:rFonts w:eastAsiaTheme="minorEastAsia"/>
        </w:rPr>
      </w:pPr>
      <w:r w:rsidRPr="1F30B503">
        <w:rPr>
          <w:rFonts w:eastAsiaTheme="minorEastAsia"/>
        </w:rPr>
        <w:t xml:space="preserve">Ohranjena naravna neposeljena območja in zeleni sistemi bodo medsebojno povezani. </w:t>
      </w:r>
    </w:p>
    <w:p w14:paraId="7FA3913D" w14:textId="495DB0B5" w:rsidR="1633040D" w:rsidRDefault="278BCBDD" w:rsidP="004A1C14">
      <w:pPr>
        <w:pStyle w:val="Odstavekseznama"/>
        <w:numPr>
          <w:ilvl w:val="0"/>
          <w:numId w:val="38"/>
        </w:numPr>
        <w:tabs>
          <w:tab w:val="left" w:pos="0"/>
          <w:tab w:val="left" w:pos="720"/>
        </w:tabs>
        <w:spacing w:line="257" w:lineRule="auto"/>
        <w:jc w:val="both"/>
        <w:rPr>
          <w:rFonts w:eastAsiaTheme="minorEastAsia"/>
        </w:rPr>
      </w:pPr>
      <w:r w:rsidRPr="29A8477B">
        <w:rPr>
          <w:rFonts w:eastAsiaTheme="minorEastAsia"/>
        </w:rPr>
        <w:t xml:space="preserve"> Morje in obala bosta kot del nacionalne identitete med ključnimi razvojnimi priložnostmi Slovenije. </w:t>
      </w:r>
    </w:p>
    <w:p w14:paraId="4C0571C3" w14:textId="338AB0E8" w:rsidR="1633040D" w:rsidRDefault="278BCBDD" w:rsidP="004A1C14">
      <w:pPr>
        <w:pStyle w:val="Odstavekseznama"/>
        <w:numPr>
          <w:ilvl w:val="0"/>
          <w:numId w:val="38"/>
        </w:numPr>
        <w:tabs>
          <w:tab w:val="left" w:pos="0"/>
          <w:tab w:val="left" w:pos="720"/>
        </w:tabs>
        <w:spacing w:line="257" w:lineRule="auto"/>
        <w:jc w:val="both"/>
        <w:rPr>
          <w:rFonts w:eastAsiaTheme="minorEastAsia"/>
        </w:rPr>
      </w:pPr>
      <w:r w:rsidRPr="29A8477B">
        <w:rPr>
          <w:rFonts w:eastAsiaTheme="minorEastAsia"/>
        </w:rPr>
        <w:t xml:space="preserve"> Energetski sistem bo zanesljivo oskrboval gospodinjstva in gospodarstva z energijo.</w:t>
      </w:r>
    </w:p>
    <w:p w14:paraId="7CB9E2B7" w14:textId="6D2F366A" w:rsidR="1633040D" w:rsidRDefault="278BCBDD" w:rsidP="004A1C14">
      <w:pPr>
        <w:pStyle w:val="Odstavekseznama"/>
        <w:numPr>
          <w:ilvl w:val="0"/>
          <w:numId w:val="38"/>
        </w:numPr>
        <w:tabs>
          <w:tab w:val="left" w:pos="0"/>
          <w:tab w:val="left" w:pos="720"/>
        </w:tabs>
        <w:spacing w:line="257" w:lineRule="auto"/>
        <w:jc w:val="both"/>
        <w:rPr>
          <w:rFonts w:eastAsiaTheme="minorEastAsia"/>
        </w:rPr>
      </w:pPr>
      <w:r w:rsidRPr="29A8477B">
        <w:rPr>
          <w:rFonts w:eastAsiaTheme="minorEastAsia"/>
        </w:rPr>
        <w:t xml:space="preserve"> Prometna, energetska, infrastruktura elektronskih komunikacij bodo učinkovito povezovale središča.  </w:t>
      </w:r>
    </w:p>
    <w:p w14:paraId="241E495A" w14:textId="5DD57BDA" w:rsidR="1633040D" w:rsidRDefault="278BCBDD" w:rsidP="001C6BBF">
      <w:pPr>
        <w:spacing w:after="0" w:line="257" w:lineRule="auto"/>
        <w:jc w:val="both"/>
        <w:rPr>
          <w:rFonts w:eastAsiaTheme="minorEastAsia"/>
          <w:b/>
          <w:bCs/>
        </w:rPr>
      </w:pPr>
      <w:r w:rsidRPr="29A8477B">
        <w:rPr>
          <w:rFonts w:eastAsiaTheme="minorEastAsia"/>
          <w:b/>
          <w:bCs/>
        </w:rPr>
        <w:t>Cilji:</w:t>
      </w:r>
    </w:p>
    <w:p w14:paraId="59CD14C8" w14:textId="77C819E3" w:rsidR="1633040D" w:rsidRDefault="278BCBDD" w:rsidP="004A1C14">
      <w:pPr>
        <w:pStyle w:val="Odstavekseznama"/>
        <w:numPr>
          <w:ilvl w:val="0"/>
          <w:numId w:val="37"/>
        </w:numPr>
        <w:spacing w:after="0" w:line="257" w:lineRule="auto"/>
        <w:jc w:val="both"/>
        <w:rPr>
          <w:rFonts w:eastAsiaTheme="minorEastAsia"/>
        </w:rPr>
      </w:pPr>
      <w:r w:rsidRPr="29A8477B">
        <w:rPr>
          <w:rFonts w:eastAsiaTheme="minorEastAsia"/>
        </w:rPr>
        <w:t>Vzpostaviti ustrezne razmere za prehod v podnebno nevtralno družbo</w:t>
      </w:r>
    </w:p>
    <w:p w14:paraId="40ED8616" w14:textId="01DB23FE" w:rsidR="1633040D" w:rsidRDefault="278BCBDD" w:rsidP="004A1C14">
      <w:pPr>
        <w:pStyle w:val="Odstavekseznama"/>
        <w:numPr>
          <w:ilvl w:val="0"/>
          <w:numId w:val="37"/>
        </w:numPr>
        <w:spacing w:after="0" w:line="257" w:lineRule="auto"/>
        <w:jc w:val="both"/>
        <w:rPr>
          <w:rFonts w:eastAsiaTheme="minorEastAsia"/>
        </w:rPr>
      </w:pPr>
      <w:r w:rsidRPr="29A8477B">
        <w:rPr>
          <w:rFonts w:eastAsiaTheme="minorEastAsia"/>
        </w:rPr>
        <w:t>Doseči mednarodno konkurenčnost slovenskih mest</w:t>
      </w:r>
    </w:p>
    <w:p w14:paraId="1761FBCE" w14:textId="783164C3" w:rsidR="1633040D" w:rsidRDefault="278BCBDD" w:rsidP="004A1C14">
      <w:pPr>
        <w:pStyle w:val="Odstavekseznama"/>
        <w:numPr>
          <w:ilvl w:val="0"/>
          <w:numId w:val="37"/>
        </w:numPr>
        <w:spacing w:after="0" w:line="257" w:lineRule="auto"/>
        <w:jc w:val="both"/>
        <w:rPr>
          <w:rFonts w:eastAsiaTheme="minorEastAsia"/>
        </w:rPr>
      </w:pPr>
      <w:r w:rsidRPr="29A8477B">
        <w:rPr>
          <w:rFonts w:eastAsiaTheme="minorEastAsia"/>
        </w:rPr>
        <w:t xml:space="preserve">Zagotoviti kakovost življenja na urbanih in </w:t>
      </w:r>
      <w:proofErr w:type="spellStart"/>
      <w:r w:rsidRPr="29A8477B">
        <w:rPr>
          <w:rFonts w:eastAsiaTheme="minorEastAsia"/>
        </w:rPr>
        <w:t>podeželjskih</w:t>
      </w:r>
      <w:proofErr w:type="spellEnd"/>
      <w:r w:rsidRPr="29A8477B">
        <w:rPr>
          <w:rFonts w:eastAsiaTheme="minorEastAsia"/>
        </w:rPr>
        <w:t xml:space="preserve"> območjih</w:t>
      </w:r>
    </w:p>
    <w:p w14:paraId="5DF1423E" w14:textId="3025F2B9" w:rsidR="1633040D" w:rsidRDefault="278BCBDD" w:rsidP="004A1C14">
      <w:pPr>
        <w:pStyle w:val="Odstavekseznama"/>
        <w:numPr>
          <w:ilvl w:val="0"/>
          <w:numId w:val="37"/>
        </w:numPr>
        <w:spacing w:after="0" w:line="257" w:lineRule="auto"/>
        <w:jc w:val="both"/>
        <w:rPr>
          <w:rFonts w:eastAsiaTheme="minorEastAsia"/>
        </w:rPr>
      </w:pPr>
      <w:r w:rsidRPr="29A8477B">
        <w:rPr>
          <w:rFonts w:eastAsiaTheme="minorEastAsia"/>
        </w:rPr>
        <w:t>Okrepiti prostorsko identiteto</w:t>
      </w:r>
    </w:p>
    <w:p w14:paraId="580EB0A3" w14:textId="11A74CCD" w:rsidR="1633040D" w:rsidRPr="00605A9B" w:rsidRDefault="278BCBDD" w:rsidP="004A1C14">
      <w:pPr>
        <w:pStyle w:val="Odstavekseznama"/>
        <w:numPr>
          <w:ilvl w:val="0"/>
          <w:numId w:val="37"/>
        </w:numPr>
        <w:spacing w:after="0" w:line="257" w:lineRule="auto"/>
        <w:jc w:val="both"/>
        <w:rPr>
          <w:rFonts w:eastAsiaTheme="minorEastAsia"/>
        </w:rPr>
      </w:pPr>
      <w:r w:rsidRPr="29A8477B">
        <w:rPr>
          <w:rFonts w:eastAsiaTheme="minorEastAsia"/>
        </w:rPr>
        <w:t>Izboljšati odpornost in prilagodljivost prostora na spremembe</w:t>
      </w:r>
    </w:p>
    <w:p w14:paraId="3DFFC7CD" w14:textId="6D0FEE71" w:rsidR="1633040D" w:rsidRPr="009C657A" w:rsidRDefault="4A320736" w:rsidP="00E169DA">
      <w:pPr>
        <w:pStyle w:val="Naslov3"/>
        <w:spacing w:before="240" w:after="120"/>
        <w:rPr>
          <w:rStyle w:val="Naslov3Znak"/>
        </w:rPr>
      </w:pPr>
      <w:bookmarkStart w:id="80" w:name="_Toc239414920"/>
      <w:r w:rsidRPr="29A8477B">
        <w:rPr>
          <w:rStyle w:val="Naslov3Znak"/>
        </w:rPr>
        <w:t xml:space="preserve">2 </w:t>
      </w:r>
      <w:r w:rsidR="278BCBDD" w:rsidRPr="29A8477B">
        <w:rPr>
          <w:rStyle w:val="Naslov3Znak"/>
        </w:rPr>
        <w:t>Obstoječe sektorske strategije Mestne občine Nova Gorica</w:t>
      </w:r>
      <w:bookmarkEnd w:id="80"/>
      <w:r w:rsidR="278BCBDD" w:rsidRPr="009C657A">
        <w:rPr>
          <w:rStyle w:val="Naslov3Znak"/>
        </w:rPr>
        <w:t xml:space="preserve"> </w:t>
      </w:r>
    </w:p>
    <w:p w14:paraId="0566467C" w14:textId="5C07F777" w:rsidR="1633040D" w:rsidRPr="00AA3686" w:rsidRDefault="78FB64E7" w:rsidP="00AA3686">
      <w:pPr>
        <w:pStyle w:val="Naslov4"/>
        <w:spacing w:before="240" w:after="120" w:line="257" w:lineRule="auto"/>
      </w:pPr>
      <w:r w:rsidRPr="00AA3686">
        <w:t xml:space="preserve">2.1 </w:t>
      </w:r>
      <w:r w:rsidR="278BCBDD" w:rsidRPr="00AA3686">
        <w:t>Trajnostna urbana strategij</w:t>
      </w:r>
      <w:r w:rsidR="00052C03" w:rsidRPr="00AA3686">
        <w:t>a</w:t>
      </w:r>
      <w:r w:rsidR="278BCBDD" w:rsidRPr="00AA3686">
        <w:t xml:space="preserve"> – TUS 2030</w:t>
      </w:r>
    </w:p>
    <w:p w14:paraId="61FCAC45" w14:textId="32AF8423" w:rsidR="1633040D" w:rsidRDefault="278BCBDD" w:rsidP="001C6BBF">
      <w:pPr>
        <w:spacing w:after="0" w:line="257" w:lineRule="auto"/>
        <w:jc w:val="both"/>
        <w:rPr>
          <w:rFonts w:eastAsiaTheme="minorEastAsia"/>
          <w:b/>
          <w:bCs/>
        </w:rPr>
      </w:pPr>
      <w:r w:rsidRPr="29A8477B">
        <w:rPr>
          <w:rFonts w:eastAsiaTheme="minorEastAsia"/>
          <w:b/>
          <w:bCs/>
        </w:rPr>
        <w:t>Vizija 2030 – Kakšno mesto je Nova Gorica leta 2030?</w:t>
      </w:r>
    </w:p>
    <w:p w14:paraId="7715EB10" w14:textId="70D28AC5" w:rsidR="1633040D" w:rsidRDefault="278BCBDD" w:rsidP="004A1C14">
      <w:pPr>
        <w:pStyle w:val="Odstavekseznama"/>
        <w:numPr>
          <w:ilvl w:val="0"/>
          <w:numId w:val="37"/>
        </w:numPr>
        <w:spacing w:after="0" w:line="257" w:lineRule="auto"/>
        <w:jc w:val="both"/>
        <w:rPr>
          <w:rStyle w:val="Naslov4Znak"/>
          <w:rFonts w:eastAsiaTheme="minorEastAsia" w:cstheme="minorBidi"/>
        </w:rPr>
      </w:pPr>
      <w:r w:rsidRPr="29A8477B">
        <w:rPr>
          <w:rFonts w:eastAsiaTheme="minorEastAsia"/>
        </w:rPr>
        <w:t xml:space="preserve">Pametno in podjetno </w:t>
      </w:r>
    </w:p>
    <w:p w14:paraId="69EBC3BC" w14:textId="5D7F83C7" w:rsidR="1633040D" w:rsidRDefault="278BCBDD" w:rsidP="004A1C14">
      <w:pPr>
        <w:pStyle w:val="Odstavekseznama"/>
        <w:numPr>
          <w:ilvl w:val="0"/>
          <w:numId w:val="37"/>
        </w:numPr>
        <w:spacing w:after="0" w:line="257" w:lineRule="auto"/>
        <w:jc w:val="both"/>
        <w:rPr>
          <w:rFonts w:eastAsiaTheme="minorEastAsia"/>
        </w:rPr>
      </w:pPr>
      <w:r w:rsidRPr="29A8477B">
        <w:rPr>
          <w:rFonts w:eastAsiaTheme="minorEastAsia"/>
        </w:rPr>
        <w:t>Pravično in privlačno</w:t>
      </w:r>
    </w:p>
    <w:p w14:paraId="7A9E03D9" w14:textId="7054B910" w:rsidR="1633040D" w:rsidRDefault="278BCBDD" w:rsidP="004A1C14">
      <w:pPr>
        <w:pStyle w:val="Odstavekseznama"/>
        <w:numPr>
          <w:ilvl w:val="0"/>
          <w:numId w:val="37"/>
        </w:numPr>
        <w:spacing w:after="0" w:line="257" w:lineRule="auto"/>
        <w:jc w:val="both"/>
        <w:rPr>
          <w:rFonts w:eastAsiaTheme="minorEastAsia"/>
        </w:rPr>
      </w:pPr>
      <w:r w:rsidRPr="29A8477B">
        <w:rPr>
          <w:rFonts w:eastAsiaTheme="minorEastAsia"/>
        </w:rPr>
        <w:t>Zeleno in zdravo</w:t>
      </w:r>
    </w:p>
    <w:p w14:paraId="01D76762" w14:textId="78CAED04" w:rsidR="1633040D" w:rsidRDefault="278BCBDD" w:rsidP="004A1C14">
      <w:pPr>
        <w:pStyle w:val="Odstavekseznama"/>
        <w:numPr>
          <w:ilvl w:val="0"/>
          <w:numId w:val="37"/>
        </w:numPr>
        <w:spacing w:after="0" w:line="257" w:lineRule="auto"/>
        <w:jc w:val="both"/>
        <w:rPr>
          <w:rFonts w:eastAsiaTheme="minorEastAsia"/>
        </w:rPr>
      </w:pPr>
      <w:r w:rsidRPr="29A8477B">
        <w:rPr>
          <w:rFonts w:eastAsiaTheme="minorEastAsia"/>
        </w:rPr>
        <w:t>Povezano in dostopno</w:t>
      </w:r>
    </w:p>
    <w:p w14:paraId="6E507751" w14:textId="01304451" w:rsidR="1633040D" w:rsidRDefault="278BCBDD" w:rsidP="004A1C14">
      <w:pPr>
        <w:pStyle w:val="Odstavekseznama"/>
        <w:numPr>
          <w:ilvl w:val="0"/>
          <w:numId w:val="37"/>
        </w:numPr>
        <w:spacing w:after="0" w:line="257" w:lineRule="auto"/>
        <w:jc w:val="both"/>
        <w:rPr>
          <w:rFonts w:eastAsiaTheme="minorEastAsia"/>
        </w:rPr>
      </w:pPr>
      <w:r w:rsidRPr="29A8477B">
        <w:rPr>
          <w:rFonts w:eastAsiaTheme="minorEastAsia"/>
        </w:rPr>
        <w:t xml:space="preserve">Čezmejno in evropsko </w:t>
      </w:r>
    </w:p>
    <w:p w14:paraId="50C2A6D7" w14:textId="77777777" w:rsidR="00AC579D" w:rsidRDefault="00AC579D" w:rsidP="001C6BBF">
      <w:pPr>
        <w:spacing w:after="0" w:line="257" w:lineRule="auto"/>
        <w:jc w:val="both"/>
        <w:rPr>
          <w:rFonts w:eastAsiaTheme="minorEastAsia"/>
        </w:rPr>
      </w:pPr>
    </w:p>
    <w:p w14:paraId="73570BB7" w14:textId="6159E568" w:rsidR="1633040D" w:rsidRDefault="278BCBDD" w:rsidP="001C6BBF">
      <w:pPr>
        <w:spacing w:after="0" w:line="257" w:lineRule="auto"/>
        <w:jc w:val="both"/>
        <w:rPr>
          <w:rFonts w:eastAsiaTheme="minorEastAsia"/>
        </w:rPr>
      </w:pPr>
      <w:r w:rsidRPr="29A8477B">
        <w:rPr>
          <w:rFonts w:eastAsiaTheme="minorEastAsia"/>
        </w:rPr>
        <w:t>Razvojni izzivi:</w:t>
      </w:r>
    </w:p>
    <w:p w14:paraId="5196246E" w14:textId="30C70E17" w:rsidR="1633040D" w:rsidRDefault="278BCBDD" w:rsidP="004A1C14">
      <w:pPr>
        <w:pStyle w:val="Odstavekseznama"/>
        <w:numPr>
          <w:ilvl w:val="0"/>
          <w:numId w:val="36"/>
        </w:numPr>
        <w:spacing w:after="0" w:line="257" w:lineRule="auto"/>
        <w:ind w:left="714" w:hanging="357"/>
        <w:jc w:val="both"/>
        <w:rPr>
          <w:rFonts w:eastAsiaTheme="minorEastAsia"/>
        </w:rPr>
      </w:pPr>
      <w:r w:rsidRPr="29A8477B">
        <w:rPr>
          <w:rFonts w:eastAsiaTheme="minorEastAsia"/>
        </w:rPr>
        <w:t>Gospodarska transformacija</w:t>
      </w:r>
    </w:p>
    <w:p w14:paraId="491D2DE7" w14:textId="517F7E45" w:rsidR="1633040D" w:rsidRDefault="278BCBDD" w:rsidP="004A1C14">
      <w:pPr>
        <w:pStyle w:val="Odstavekseznama"/>
        <w:numPr>
          <w:ilvl w:val="0"/>
          <w:numId w:val="36"/>
        </w:numPr>
        <w:spacing w:after="0" w:line="257" w:lineRule="auto"/>
        <w:ind w:left="714" w:hanging="357"/>
        <w:jc w:val="both"/>
        <w:rPr>
          <w:rFonts w:eastAsiaTheme="minorEastAsia"/>
        </w:rPr>
      </w:pPr>
      <w:r w:rsidRPr="29A8477B">
        <w:rPr>
          <w:rFonts w:eastAsiaTheme="minorEastAsia"/>
        </w:rPr>
        <w:t>Vitalnost mesta in socialno vključevanje meščanov vseh starostnih skupin</w:t>
      </w:r>
    </w:p>
    <w:p w14:paraId="1D646D47" w14:textId="4B479A2D" w:rsidR="1633040D" w:rsidRDefault="278BCBDD" w:rsidP="004A1C14">
      <w:pPr>
        <w:pStyle w:val="Odstavekseznama"/>
        <w:numPr>
          <w:ilvl w:val="0"/>
          <w:numId w:val="36"/>
        </w:numPr>
        <w:spacing w:after="0" w:line="257" w:lineRule="auto"/>
        <w:ind w:left="714" w:hanging="357"/>
        <w:jc w:val="both"/>
        <w:rPr>
          <w:rFonts w:eastAsiaTheme="minorEastAsia"/>
        </w:rPr>
      </w:pPr>
      <w:r w:rsidRPr="29A8477B">
        <w:rPr>
          <w:rFonts w:eastAsiaTheme="minorEastAsia"/>
        </w:rPr>
        <w:t xml:space="preserve">Zmanjševanje </w:t>
      </w:r>
      <w:proofErr w:type="spellStart"/>
      <w:r w:rsidRPr="29A8477B">
        <w:rPr>
          <w:rFonts w:eastAsiaTheme="minorEastAsia"/>
        </w:rPr>
        <w:t>ogljičnega</w:t>
      </w:r>
      <w:proofErr w:type="spellEnd"/>
      <w:r w:rsidRPr="29A8477B">
        <w:rPr>
          <w:rFonts w:eastAsiaTheme="minorEastAsia"/>
        </w:rPr>
        <w:t xml:space="preserve"> odtisa in novi obnovljivi viri energije</w:t>
      </w:r>
    </w:p>
    <w:p w14:paraId="0860B21F" w14:textId="1352707B" w:rsidR="1633040D" w:rsidRDefault="278BCBDD" w:rsidP="004A1C14">
      <w:pPr>
        <w:pStyle w:val="Odstavekseznama"/>
        <w:numPr>
          <w:ilvl w:val="0"/>
          <w:numId w:val="36"/>
        </w:numPr>
        <w:spacing w:after="0" w:line="257" w:lineRule="auto"/>
        <w:ind w:left="714" w:hanging="357"/>
        <w:jc w:val="both"/>
        <w:rPr>
          <w:rFonts w:eastAsiaTheme="minorEastAsia"/>
        </w:rPr>
      </w:pPr>
      <w:proofErr w:type="spellStart"/>
      <w:r w:rsidRPr="29A8477B">
        <w:rPr>
          <w:rFonts w:eastAsiaTheme="minorEastAsia"/>
        </w:rPr>
        <w:t>Pozicioniranje</w:t>
      </w:r>
      <w:proofErr w:type="spellEnd"/>
      <w:r w:rsidRPr="29A8477B">
        <w:rPr>
          <w:rFonts w:eastAsiaTheme="minorEastAsia"/>
        </w:rPr>
        <w:t xml:space="preserve"> in povezanost mesta v slovenskem, regijskem ter evropskem prostoru</w:t>
      </w:r>
    </w:p>
    <w:p w14:paraId="65AB0780" w14:textId="4DC227EF" w:rsidR="1633040D" w:rsidRDefault="278BCBDD" w:rsidP="004A1C14">
      <w:pPr>
        <w:pStyle w:val="Odstavekseznama"/>
        <w:numPr>
          <w:ilvl w:val="0"/>
          <w:numId w:val="36"/>
        </w:numPr>
        <w:spacing w:after="0" w:line="257" w:lineRule="auto"/>
        <w:ind w:left="714" w:hanging="357"/>
        <w:jc w:val="both"/>
        <w:rPr>
          <w:rFonts w:eastAsiaTheme="minorEastAsia"/>
        </w:rPr>
      </w:pPr>
      <w:r w:rsidRPr="29A8477B">
        <w:rPr>
          <w:rFonts w:eastAsiaTheme="minorEastAsia"/>
        </w:rPr>
        <w:t>Učinkovitost mestnih sistemov in procesov ter digitalna transformacija</w:t>
      </w:r>
    </w:p>
    <w:p w14:paraId="0041838F" w14:textId="66F78A10" w:rsidR="1633040D" w:rsidRDefault="278BCBDD" w:rsidP="001C6BBF">
      <w:pPr>
        <w:spacing w:line="257" w:lineRule="auto"/>
        <w:jc w:val="both"/>
        <w:rPr>
          <w:rFonts w:eastAsiaTheme="minorEastAsia"/>
          <w:b/>
          <w:bCs/>
        </w:rPr>
      </w:pPr>
      <w:r w:rsidRPr="29A8477B">
        <w:rPr>
          <w:rFonts w:eastAsiaTheme="minorEastAsia"/>
          <w:b/>
          <w:bCs/>
        </w:rPr>
        <w:t xml:space="preserve"> </w:t>
      </w:r>
    </w:p>
    <w:p w14:paraId="66C47BF6" w14:textId="0C9A8FDA" w:rsidR="1706C59B" w:rsidRPr="00605A9B" w:rsidRDefault="73DF5FA5" w:rsidP="00605A9B">
      <w:pPr>
        <w:spacing w:line="257" w:lineRule="auto"/>
        <w:jc w:val="both"/>
        <w:rPr>
          <w:rFonts w:eastAsiaTheme="minorEastAsia"/>
        </w:rPr>
      </w:pPr>
      <w:r w:rsidRPr="1706C59B">
        <w:rPr>
          <w:rFonts w:eastAsiaTheme="minorEastAsia"/>
        </w:rPr>
        <w:t>TUS v nadaljevanju za prepoznane izzive opredeljuje prednostne usmeritve s cilji in sklopi ukrepov, konkretnimi aktivnostmi in kazalniki uspešnosti.</w:t>
      </w:r>
    </w:p>
    <w:p w14:paraId="0DC9F439" w14:textId="3EDBC23C" w:rsidR="1633040D" w:rsidRDefault="0E288998" w:rsidP="1706C59B">
      <w:pPr>
        <w:pStyle w:val="Naslov4"/>
        <w:spacing w:before="240" w:after="120" w:line="257" w:lineRule="auto"/>
        <w:rPr>
          <w:rStyle w:val="Naslov4Znak"/>
        </w:rPr>
      </w:pPr>
      <w:r>
        <w:t xml:space="preserve">2.2 </w:t>
      </w:r>
      <w:r w:rsidR="278BCBDD">
        <w:t xml:space="preserve">Strategija kmetijstva </w:t>
      </w:r>
    </w:p>
    <w:p w14:paraId="126E1BA7" w14:textId="72E5C323" w:rsidR="1633040D" w:rsidRDefault="278BCBDD" w:rsidP="001C6BBF">
      <w:pPr>
        <w:spacing w:after="0" w:line="257" w:lineRule="auto"/>
        <w:jc w:val="both"/>
        <w:rPr>
          <w:rFonts w:eastAsiaTheme="minorEastAsia"/>
          <w:b/>
          <w:bCs/>
        </w:rPr>
      </w:pPr>
      <w:r w:rsidRPr="29A8477B">
        <w:rPr>
          <w:rFonts w:eastAsiaTheme="minorEastAsia"/>
          <w:b/>
          <w:bCs/>
        </w:rPr>
        <w:t>Vizija</w:t>
      </w:r>
    </w:p>
    <w:p w14:paraId="7408DE7D" w14:textId="64ACCC13" w:rsidR="1633040D" w:rsidRDefault="278BCBDD" w:rsidP="001C6BBF">
      <w:pPr>
        <w:spacing w:after="0" w:line="257" w:lineRule="auto"/>
        <w:jc w:val="both"/>
        <w:rPr>
          <w:rFonts w:eastAsiaTheme="minorEastAsia"/>
        </w:rPr>
      </w:pPr>
      <w:r w:rsidRPr="29A8477B">
        <w:rPr>
          <w:rFonts w:eastAsiaTheme="minorEastAsia"/>
        </w:rPr>
        <w:t xml:space="preserve">Kmetijstvo na območju Mestne občine Nova Gorica bo do leta 2034 uspešna in rastoča gospodarska dejavnost.  </w:t>
      </w:r>
    </w:p>
    <w:p w14:paraId="61061EB2" w14:textId="74B3CF27" w:rsidR="1633040D" w:rsidRDefault="278BCBDD" w:rsidP="001C6BBF">
      <w:pPr>
        <w:spacing w:after="0" w:line="257" w:lineRule="auto"/>
        <w:jc w:val="both"/>
        <w:rPr>
          <w:rFonts w:eastAsiaTheme="minorEastAsia"/>
        </w:rPr>
      </w:pPr>
      <w:r w:rsidRPr="29A8477B">
        <w:rPr>
          <w:rFonts w:eastAsiaTheme="minorEastAsia"/>
        </w:rPr>
        <w:t xml:space="preserve">Pridelava kakovostne hrane ob skrbi za okolje bo pomemben element trajnostnega in prostorskega razvoja občine ter ključni nosilec razvoja podjetniških aktivnosti na podeželju.  </w:t>
      </w:r>
    </w:p>
    <w:p w14:paraId="3220C636" w14:textId="1CDF43D5" w:rsidR="1706C59B" w:rsidRPr="00224542" w:rsidRDefault="278BCBDD" w:rsidP="1706C59B">
      <w:pPr>
        <w:spacing w:after="0" w:line="257" w:lineRule="auto"/>
        <w:jc w:val="both"/>
      </w:pPr>
      <w:r w:rsidRPr="1706C59B">
        <w:rPr>
          <w:rFonts w:eastAsiaTheme="minorEastAsia"/>
        </w:rPr>
        <w:t xml:space="preserve">Kmetijska gospodarstva v občini bo primerljiva s kmetijskimi gospodarstvi v Sloveniji in v širšem čezmejnem prostoru z vidika velikosti, dohodkov in inovativnosti. </w:t>
      </w:r>
    </w:p>
    <w:p w14:paraId="4C0894D2" w14:textId="1B089469" w:rsidR="1633040D" w:rsidRDefault="278BCBDD" w:rsidP="1706C59B">
      <w:pPr>
        <w:spacing w:after="0" w:line="257" w:lineRule="auto"/>
        <w:jc w:val="both"/>
        <w:rPr>
          <w:rFonts w:eastAsiaTheme="minorEastAsia"/>
          <w:b/>
          <w:bCs/>
        </w:rPr>
      </w:pPr>
      <w:r w:rsidRPr="1706C59B">
        <w:rPr>
          <w:rFonts w:eastAsiaTheme="minorEastAsia"/>
          <w:b/>
          <w:bCs/>
        </w:rPr>
        <w:lastRenderedPageBreak/>
        <w:t>Strateški cilj</w:t>
      </w:r>
    </w:p>
    <w:p w14:paraId="3CEB3F87" w14:textId="1F13B56A" w:rsidR="1633040D" w:rsidRDefault="278BCBDD" w:rsidP="001C6BBF">
      <w:pPr>
        <w:spacing w:line="257" w:lineRule="auto"/>
        <w:jc w:val="both"/>
        <w:rPr>
          <w:rFonts w:eastAsiaTheme="minorEastAsia"/>
        </w:rPr>
      </w:pPr>
      <w:r w:rsidRPr="29A8477B">
        <w:rPr>
          <w:rFonts w:eastAsiaTheme="minorEastAsia"/>
        </w:rPr>
        <w:t xml:space="preserve">Dvig kmetijske proizvodnje s ciljem spodbujanja lokalne oskrbe in prehranske varnosti in izboljšanje dohodkovnega položaja kmetijskih gospodarstev. </w:t>
      </w:r>
    </w:p>
    <w:p w14:paraId="70CF2F1F" w14:textId="2E3E79A5" w:rsidR="1633040D" w:rsidRDefault="278BCBDD" w:rsidP="001C6BBF">
      <w:pPr>
        <w:spacing w:after="0" w:line="257" w:lineRule="auto"/>
        <w:jc w:val="both"/>
        <w:rPr>
          <w:rFonts w:eastAsiaTheme="minorEastAsia"/>
        </w:rPr>
      </w:pPr>
      <w:r w:rsidRPr="29A8477B">
        <w:rPr>
          <w:rFonts w:eastAsiaTheme="minorEastAsia"/>
        </w:rPr>
        <w:t>Prednostne usmeritve:</w:t>
      </w:r>
    </w:p>
    <w:p w14:paraId="6B5BAC6A" w14:textId="4E331898" w:rsidR="1633040D" w:rsidRDefault="278BCBDD" w:rsidP="001C6BBF">
      <w:pPr>
        <w:spacing w:after="0" w:line="257" w:lineRule="auto"/>
        <w:jc w:val="both"/>
        <w:rPr>
          <w:rFonts w:eastAsiaTheme="minorEastAsia"/>
        </w:rPr>
      </w:pPr>
      <w:r w:rsidRPr="29A8477B">
        <w:rPr>
          <w:rFonts w:eastAsiaTheme="minorEastAsia"/>
        </w:rPr>
        <w:t>1 - Izboljšanje infrastrukture in povečanje tržne usmerjenosti kmetijskih gospodarstev</w:t>
      </w:r>
    </w:p>
    <w:p w14:paraId="5A1EAEF6" w14:textId="3110E34C" w:rsidR="1633040D" w:rsidRDefault="278BCBDD" w:rsidP="001C6BBF">
      <w:pPr>
        <w:spacing w:after="0" w:line="257" w:lineRule="auto"/>
        <w:jc w:val="both"/>
        <w:rPr>
          <w:rFonts w:eastAsiaTheme="minorEastAsia"/>
        </w:rPr>
      </w:pPr>
      <w:r w:rsidRPr="29A8477B">
        <w:rPr>
          <w:rFonts w:eastAsiaTheme="minorEastAsia"/>
        </w:rPr>
        <w:t>2 - Trajnostno kmetovanje in upravljanje z gozdovi</w:t>
      </w:r>
    </w:p>
    <w:p w14:paraId="0D00E98A" w14:textId="00FA8048" w:rsidR="1633040D" w:rsidRDefault="278BCBDD" w:rsidP="001C6BBF">
      <w:pPr>
        <w:spacing w:after="0" w:line="257" w:lineRule="auto"/>
        <w:jc w:val="both"/>
        <w:rPr>
          <w:rFonts w:eastAsiaTheme="minorEastAsia"/>
        </w:rPr>
      </w:pPr>
      <w:r w:rsidRPr="29A8477B">
        <w:rPr>
          <w:rFonts w:eastAsiaTheme="minorEastAsia"/>
        </w:rPr>
        <w:t xml:space="preserve">3 - Prilagajanje podnebnim spremembam </w:t>
      </w:r>
    </w:p>
    <w:p w14:paraId="6B959CBC" w14:textId="422166D0" w:rsidR="1633040D" w:rsidRDefault="278BCBDD" w:rsidP="001C6BBF">
      <w:pPr>
        <w:spacing w:after="0" w:line="257" w:lineRule="auto"/>
        <w:jc w:val="both"/>
        <w:rPr>
          <w:rFonts w:eastAsiaTheme="minorEastAsia"/>
        </w:rPr>
      </w:pPr>
      <w:r w:rsidRPr="29A8477B">
        <w:rPr>
          <w:rFonts w:eastAsiaTheme="minorEastAsia"/>
        </w:rPr>
        <w:t xml:space="preserve">4 - Medsektorsko povezovanje  </w:t>
      </w:r>
    </w:p>
    <w:p w14:paraId="4F495671" w14:textId="00713739" w:rsidR="1633040D" w:rsidRPr="00152C08" w:rsidRDefault="278BCBDD" w:rsidP="27AA74E1">
      <w:pPr>
        <w:spacing w:after="0" w:line="257" w:lineRule="auto"/>
        <w:jc w:val="both"/>
        <w:rPr>
          <w:rFonts w:eastAsiaTheme="minorEastAsia"/>
        </w:rPr>
      </w:pPr>
      <w:r w:rsidRPr="29A8477B">
        <w:rPr>
          <w:rFonts w:eastAsiaTheme="minorEastAsia"/>
        </w:rPr>
        <w:t xml:space="preserve">5 - Ohranjanje tradicij, kulturne dediščine in podeželske krajine </w:t>
      </w:r>
    </w:p>
    <w:p w14:paraId="3E99BC1D" w14:textId="09F83A43" w:rsidR="1633040D" w:rsidRDefault="61295D8E" w:rsidP="1F30B503">
      <w:pPr>
        <w:pStyle w:val="Naslov4"/>
        <w:spacing w:before="240" w:after="120"/>
        <w:jc w:val="both"/>
        <w:rPr>
          <w:rFonts w:eastAsiaTheme="minorEastAsia" w:cstheme="minorBidi"/>
          <w:b/>
          <w:bCs/>
        </w:rPr>
      </w:pPr>
      <w:r>
        <w:t xml:space="preserve">2.3 </w:t>
      </w:r>
      <w:r w:rsidR="4E8336DA">
        <w:t>Celostna prometna strategija 2025</w:t>
      </w:r>
    </w:p>
    <w:p w14:paraId="0A481472" w14:textId="1BCC1817" w:rsidR="1633040D" w:rsidRDefault="278BCBDD" w:rsidP="001C6BBF">
      <w:pPr>
        <w:spacing w:after="0" w:line="257" w:lineRule="auto"/>
        <w:jc w:val="both"/>
        <w:rPr>
          <w:rFonts w:eastAsiaTheme="minorEastAsia"/>
          <w:b/>
          <w:bCs/>
        </w:rPr>
      </w:pPr>
      <w:r w:rsidRPr="29A8477B">
        <w:rPr>
          <w:rFonts w:eastAsiaTheme="minorEastAsia"/>
          <w:b/>
          <w:bCs/>
        </w:rPr>
        <w:t>Vizija:</w:t>
      </w:r>
    </w:p>
    <w:p w14:paraId="790BB8B3" w14:textId="3484C09E" w:rsidR="1633040D" w:rsidRDefault="278BCBDD" w:rsidP="001C6BBF">
      <w:pPr>
        <w:spacing w:line="257" w:lineRule="auto"/>
        <w:jc w:val="both"/>
        <w:rPr>
          <w:rFonts w:eastAsiaTheme="minorEastAsia"/>
        </w:rPr>
      </w:pPr>
      <w:r w:rsidRPr="29A8477B">
        <w:rPr>
          <w:rFonts w:eastAsiaTheme="minorEastAsia"/>
        </w:rPr>
        <w:t>Mestna občina Nova Gorica je varen in zelen prostor, kjer s trajnostnimi potovalnimi navadami prispevamo k blaginji občine in kakovosti bivanja za vse, promet pa učinkovito zadovoljuje potrebe gospodarstva in prebivalcev.</w:t>
      </w:r>
    </w:p>
    <w:p w14:paraId="38AB2C27" w14:textId="62A49433" w:rsidR="1633040D" w:rsidRDefault="278BCBDD" w:rsidP="001C6BBF">
      <w:pPr>
        <w:spacing w:after="0" w:line="257" w:lineRule="auto"/>
        <w:jc w:val="both"/>
        <w:rPr>
          <w:rFonts w:eastAsiaTheme="minorEastAsia"/>
          <w:b/>
          <w:bCs/>
        </w:rPr>
      </w:pPr>
      <w:r w:rsidRPr="29A8477B">
        <w:rPr>
          <w:rFonts w:eastAsiaTheme="minorEastAsia"/>
          <w:b/>
          <w:bCs/>
        </w:rPr>
        <w:t>Cilji:</w:t>
      </w:r>
    </w:p>
    <w:p w14:paraId="100A8E31" w14:textId="4D015CDE" w:rsidR="1633040D" w:rsidRDefault="278BCBDD" w:rsidP="004A1C14">
      <w:pPr>
        <w:pStyle w:val="Odstavekseznama"/>
        <w:numPr>
          <w:ilvl w:val="0"/>
          <w:numId w:val="37"/>
        </w:numPr>
        <w:spacing w:after="0" w:line="257" w:lineRule="auto"/>
        <w:jc w:val="both"/>
        <w:rPr>
          <w:rFonts w:eastAsiaTheme="minorEastAsia"/>
        </w:rPr>
      </w:pPr>
      <w:r w:rsidRPr="29A8477B">
        <w:rPr>
          <w:rFonts w:eastAsiaTheme="minorEastAsia"/>
        </w:rPr>
        <w:t xml:space="preserve">Izboljšana kakovost življenja za vse generacije, zlasti za ranljive skupine, v privlačni, zeleni in povezani skupnosti. </w:t>
      </w:r>
    </w:p>
    <w:p w14:paraId="6FF0E781" w14:textId="58CA46D9" w:rsidR="1633040D" w:rsidRDefault="278BCBDD" w:rsidP="004A1C14">
      <w:pPr>
        <w:pStyle w:val="Odstavekseznama"/>
        <w:numPr>
          <w:ilvl w:val="0"/>
          <w:numId w:val="37"/>
        </w:numPr>
        <w:spacing w:after="0" w:line="257" w:lineRule="auto"/>
        <w:jc w:val="both"/>
        <w:rPr>
          <w:rFonts w:eastAsiaTheme="minorEastAsia"/>
        </w:rPr>
      </w:pPr>
      <w:r w:rsidRPr="29A8477B">
        <w:rPr>
          <w:rFonts w:eastAsiaTheme="minorEastAsia"/>
        </w:rPr>
        <w:t xml:space="preserve">Vsem dostopen prometni sistem, ki omogoča socialno vključenost. </w:t>
      </w:r>
    </w:p>
    <w:p w14:paraId="23A65A84" w14:textId="1AFB5001" w:rsidR="1633040D" w:rsidRDefault="278BCBDD" w:rsidP="004A1C14">
      <w:pPr>
        <w:pStyle w:val="Odstavekseznama"/>
        <w:numPr>
          <w:ilvl w:val="0"/>
          <w:numId w:val="37"/>
        </w:numPr>
        <w:spacing w:after="0" w:line="257" w:lineRule="auto"/>
        <w:jc w:val="both"/>
        <w:rPr>
          <w:rFonts w:eastAsiaTheme="minorEastAsia"/>
        </w:rPr>
      </w:pPr>
      <w:r w:rsidRPr="29A8477B">
        <w:rPr>
          <w:rFonts w:eastAsiaTheme="minorEastAsia"/>
        </w:rPr>
        <w:t>Večja varnost vseh udeležencev cestnega prometa.</w:t>
      </w:r>
    </w:p>
    <w:p w14:paraId="1028A75B" w14:textId="62EC3E4F" w:rsidR="1633040D" w:rsidRDefault="278BCBDD" w:rsidP="004A1C14">
      <w:pPr>
        <w:pStyle w:val="Odstavekseznama"/>
        <w:numPr>
          <w:ilvl w:val="0"/>
          <w:numId w:val="37"/>
        </w:numPr>
        <w:spacing w:after="0" w:line="257" w:lineRule="auto"/>
        <w:jc w:val="both"/>
        <w:rPr>
          <w:rFonts w:eastAsiaTheme="minorEastAsia"/>
        </w:rPr>
      </w:pPr>
      <w:r w:rsidRPr="29A8477B">
        <w:rPr>
          <w:rFonts w:eastAsiaTheme="minorEastAsia"/>
        </w:rPr>
        <w:t xml:space="preserve">Izboljšana dostopnost do osnovnih storitev in aktivnosti. </w:t>
      </w:r>
    </w:p>
    <w:p w14:paraId="6E3362C8" w14:textId="061C3E36" w:rsidR="1633040D" w:rsidRDefault="278BCBDD" w:rsidP="004A1C14">
      <w:pPr>
        <w:pStyle w:val="Odstavekseznama"/>
        <w:numPr>
          <w:ilvl w:val="0"/>
          <w:numId w:val="37"/>
        </w:numPr>
        <w:spacing w:after="0" w:line="257" w:lineRule="auto"/>
        <w:jc w:val="both"/>
        <w:rPr>
          <w:rFonts w:eastAsiaTheme="minorEastAsia"/>
        </w:rPr>
      </w:pPr>
      <w:r w:rsidRPr="29A8477B">
        <w:rPr>
          <w:rFonts w:eastAsiaTheme="minorEastAsia"/>
        </w:rPr>
        <w:t xml:space="preserve">Bolj zdravi in bolj telesno aktivni prebivalci. </w:t>
      </w:r>
    </w:p>
    <w:p w14:paraId="507D6559" w14:textId="46E102F9" w:rsidR="1633040D" w:rsidRDefault="278BCBDD" w:rsidP="004A1C14">
      <w:pPr>
        <w:pStyle w:val="Odstavekseznama"/>
        <w:numPr>
          <w:ilvl w:val="0"/>
          <w:numId w:val="37"/>
        </w:numPr>
        <w:spacing w:after="0" w:line="257" w:lineRule="auto"/>
        <w:jc w:val="both"/>
        <w:rPr>
          <w:rFonts w:eastAsiaTheme="minorEastAsia"/>
        </w:rPr>
      </w:pPr>
      <w:r w:rsidRPr="29A8477B">
        <w:rPr>
          <w:rFonts w:eastAsiaTheme="minorEastAsia"/>
        </w:rPr>
        <w:t xml:space="preserve">Okrepljeno lokalno in regionalno gospodarstvo, ki temelji na pozitivnih demografskih trendih in izboljšani dostopnosti. </w:t>
      </w:r>
    </w:p>
    <w:p w14:paraId="631B368D" w14:textId="3B09342A" w:rsidR="1706C59B" w:rsidRPr="00605A9B" w:rsidRDefault="278BCBDD" w:rsidP="004A1C14">
      <w:pPr>
        <w:pStyle w:val="Odstavekseznama"/>
        <w:numPr>
          <w:ilvl w:val="0"/>
          <w:numId w:val="37"/>
        </w:numPr>
        <w:spacing w:after="0" w:line="257" w:lineRule="auto"/>
        <w:jc w:val="both"/>
        <w:rPr>
          <w:rFonts w:eastAsiaTheme="minorEastAsia"/>
        </w:rPr>
      </w:pPr>
      <w:r w:rsidRPr="1706C59B">
        <w:rPr>
          <w:rFonts w:eastAsiaTheme="minorEastAsia"/>
        </w:rPr>
        <w:t>Znižane lokalne emisije onesnaževal in toplogrednih plinov iz prometa.</w:t>
      </w:r>
    </w:p>
    <w:p w14:paraId="45136ECE" w14:textId="0A8C8944" w:rsidR="1633040D" w:rsidRPr="003F7081" w:rsidRDefault="2C2B9295" w:rsidP="00AA3686">
      <w:pPr>
        <w:pStyle w:val="Naslov4"/>
        <w:spacing w:before="240" w:after="120"/>
        <w:jc w:val="both"/>
      </w:pPr>
      <w:r w:rsidRPr="29A8477B">
        <w:t xml:space="preserve">2.4 </w:t>
      </w:r>
      <w:r w:rsidR="278BCBDD" w:rsidRPr="29A8477B">
        <w:t>Strategija razvoja trajnostnega turizma v destinaciji Nova Gorica in Vipavska dolina 2024-2030</w:t>
      </w:r>
      <w:r w:rsidR="278BCBDD" w:rsidRPr="00AA3686">
        <w:t xml:space="preserve"> </w:t>
      </w:r>
    </w:p>
    <w:p w14:paraId="730B0719" w14:textId="33F174FD" w:rsidR="1633040D" w:rsidRDefault="278BCBDD" w:rsidP="29A8477B">
      <w:pPr>
        <w:spacing w:after="0" w:line="257" w:lineRule="auto"/>
        <w:rPr>
          <w:rFonts w:eastAsiaTheme="minorEastAsia"/>
          <w:b/>
          <w:bCs/>
        </w:rPr>
      </w:pPr>
      <w:r w:rsidRPr="29A8477B">
        <w:rPr>
          <w:rFonts w:eastAsiaTheme="minorEastAsia"/>
          <w:b/>
          <w:bCs/>
        </w:rPr>
        <w:t xml:space="preserve">Vizija:  </w:t>
      </w:r>
    </w:p>
    <w:p w14:paraId="314416B9" w14:textId="5A2C6664" w:rsidR="1633040D" w:rsidRDefault="278BCBDD" w:rsidP="29A8477B">
      <w:pPr>
        <w:spacing w:after="0" w:line="257" w:lineRule="auto"/>
        <w:rPr>
          <w:rFonts w:eastAsiaTheme="minorEastAsia"/>
        </w:rPr>
      </w:pPr>
      <w:r w:rsidRPr="29A8477B">
        <w:rPr>
          <w:rFonts w:eastAsiaTheme="minorEastAsia"/>
        </w:rPr>
        <w:t>Destinacija Nova Gorica in Vipavska dolina:</w:t>
      </w:r>
    </w:p>
    <w:p w14:paraId="404A3F09" w14:textId="429FFD95" w:rsidR="004F7821" w:rsidRPr="004F7821" w:rsidRDefault="73DF5FA5" w:rsidP="004A1C14">
      <w:pPr>
        <w:pStyle w:val="Odstavekseznama"/>
        <w:numPr>
          <w:ilvl w:val="0"/>
          <w:numId w:val="39"/>
        </w:numPr>
        <w:spacing w:after="0" w:line="257" w:lineRule="auto"/>
        <w:rPr>
          <w:rFonts w:eastAsiaTheme="minorEastAsia"/>
        </w:rPr>
      </w:pPr>
      <w:r w:rsidRPr="23C3E973">
        <w:rPr>
          <w:rFonts w:eastAsiaTheme="minorEastAsia"/>
        </w:rPr>
        <w:t xml:space="preserve">je biser med destinacijami na preseku svetov Krasa, Alp in Mediterana. Je dežela kontrastov, ki ponuja pristna in zelena turistična doživetja, izvrstno kulinariko, tisočletno zgodovino ter zgodbo edinstvenega Evropskega </w:t>
      </w:r>
      <w:proofErr w:type="spellStart"/>
      <w:r w:rsidRPr="23C3E973">
        <w:rPr>
          <w:rFonts w:eastAsiaTheme="minorEastAsia"/>
        </w:rPr>
        <w:t>somestja</w:t>
      </w:r>
      <w:proofErr w:type="spellEnd"/>
      <w:r w:rsidRPr="23C3E973">
        <w:rPr>
          <w:rFonts w:eastAsiaTheme="minorEastAsia"/>
        </w:rPr>
        <w:t xml:space="preserve">. </w:t>
      </w:r>
    </w:p>
    <w:p w14:paraId="2E90E232" w14:textId="333F7FB3" w:rsidR="1633040D" w:rsidRPr="00605A9B" w:rsidRDefault="278BCBDD" w:rsidP="004A1C14">
      <w:pPr>
        <w:pStyle w:val="Odstavekseznama"/>
        <w:numPr>
          <w:ilvl w:val="0"/>
          <w:numId w:val="39"/>
        </w:numPr>
        <w:spacing w:after="0" w:line="257" w:lineRule="auto"/>
        <w:jc w:val="both"/>
        <w:rPr>
          <w:rFonts w:eastAsiaTheme="minorEastAsia"/>
        </w:rPr>
      </w:pPr>
      <w:r w:rsidRPr="29A8477B">
        <w:rPr>
          <w:rFonts w:eastAsiaTheme="minorEastAsia"/>
        </w:rPr>
        <w:t>je prva izbira gostov, ki se želijo potopiti v nepozabne običaje in kulturo; uživati v odlični hrani, vinu, športnih, adrenalinskih doživetjih in neokrnjeni naravi; ter sobivati z gostoljubnim lokalnim prebivalstvom.</w:t>
      </w:r>
    </w:p>
    <w:p w14:paraId="57AF4E09" w14:textId="746E88F3" w:rsidR="1633040D" w:rsidRDefault="278BCBDD" w:rsidP="00671680">
      <w:pPr>
        <w:spacing w:after="0" w:line="257" w:lineRule="auto"/>
        <w:jc w:val="both"/>
        <w:rPr>
          <w:rFonts w:eastAsiaTheme="minorEastAsia"/>
        </w:rPr>
      </w:pPr>
      <w:r w:rsidRPr="29A8477B">
        <w:rPr>
          <w:rFonts w:eastAsiaTheme="minorEastAsia"/>
        </w:rPr>
        <w:t xml:space="preserve">Destinacija Nova Gorica in Vipavska dolina ponuja: </w:t>
      </w:r>
    </w:p>
    <w:p w14:paraId="16018C52" w14:textId="0E5895B8" w:rsidR="1633040D" w:rsidRDefault="278BCBDD" w:rsidP="004A1C14">
      <w:pPr>
        <w:pStyle w:val="Odstavekseznama"/>
        <w:numPr>
          <w:ilvl w:val="0"/>
          <w:numId w:val="39"/>
        </w:numPr>
        <w:spacing w:after="0" w:line="257" w:lineRule="auto"/>
        <w:jc w:val="both"/>
        <w:rPr>
          <w:rFonts w:eastAsiaTheme="minorEastAsia"/>
        </w:rPr>
      </w:pPr>
      <w:r w:rsidRPr="29A8477B">
        <w:rPr>
          <w:rFonts w:eastAsiaTheme="minorEastAsia"/>
        </w:rPr>
        <w:t>Na kožo pisano pristno, butično doživetje, ki vedno prijetno preseneča z visoko kakovostjo</w:t>
      </w:r>
    </w:p>
    <w:p w14:paraId="436580AE" w14:textId="333E0168" w:rsidR="1633040D" w:rsidRDefault="278BCBDD" w:rsidP="004A1C14">
      <w:pPr>
        <w:pStyle w:val="Odstavekseznama"/>
        <w:numPr>
          <w:ilvl w:val="0"/>
          <w:numId w:val="39"/>
        </w:numPr>
        <w:spacing w:after="0" w:line="257" w:lineRule="auto"/>
        <w:jc w:val="both"/>
        <w:rPr>
          <w:rFonts w:eastAsiaTheme="minorEastAsia"/>
        </w:rPr>
      </w:pPr>
      <w:r w:rsidRPr="29A8477B">
        <w:rPr>
          <w:rFonts w:eastAsiaTheme="minorEastAsia"/>
        </w:rPr>
        <w:t xml:space="preserve">Nepozabna kulturna, gastronomska in zgodovinska odkritja, ki jih ni mogoče doživeti nikjer drugje </w:t>
      </w:r>
    </w:p>
    <w:p w14:paraId="6CB6C330" w14:textId="095E3C03" w:rsidR="1633040D" w:rsidRDefault="278BCBDD" w:rsidP="004A1C14">
      <w:pPr>
        <w:pStyle w:val="Odstavekseznama"/>
        <w:numPr>
          <w:ilvl w:val="0"/>
          <w:numId w:val="39"/>
        </w:numPr>
        <w:spacing w:after="0" w:line="257" w:lineRule="auto"/>
        <w:jc w:val="both"/>
        <w:rPr>
          <w:rFonts w:eastAsiaTheme="minorEastAsia"/>
        </w:rPr>
      </w:pPr>
      <w:r w:rsidRPr="29A8477B">
        <w:rPr>
          <w:rFonts w:eastAsiaTheme="minorEastAsia"/>
        </w:rPr>
        <w:t xml:space="preserve">Prijazno in milo klimo ter neokrnjeno naravo, ki vabi celo leto </w:t>
      </w:r>
    </w:p>
    <w:p w14:paraId="5E268B07" w14:textId="64F7E80C" w:rsidR="1633040D" w:rsidRDefault="278BCBDD" w:rsidP="004A1C14">
      <w:pPr>
        <w:pStyle w:val="Odstavekseznama"/>
        <w:numPr>
          <w:ilvl w:val="0"/>
          <w:numId w:val="39"/>
        </w:numPr>
        <w:spacing w:after="0" w:line="257" w:lineRule="auto"/>
        <w:jc w:val="both"/>
        <w:rPr>
          <w:rFonts w:eastAsiaTheme="minorEastAsia"/>
        </w:rPr>
      </w:pPr>
      <w:r w:rsidRPr="29A8477B">
        <w:rPr>
          <w:rFonts w:eastAsiaTheme="minorEastAsia"/>
        </w:rPr>
        <w:t xml:space="preserve">Simpatične in sproščene športne izzive, ki telo napolnijo z malo več ali malo manj adrenalina </w:t>
      </w:r>
    </w:p>
    <w:p w14:paraId="7E974205" w14:textId="01A5A50F" w:rsidR="1633040D" w:rsidRDefault="278BCBDD" w:rsidP="004A1C14">
      <w:pPr>
        <w:pStyle w:val="Odstavekseznama"/>
        <w:numPr>
          <w:ilvl w:val="0"/>
          <w:numId w:val="39"/>
        </w:numPr>
        <w:spacing w:after="0" w:line="257" w:lineRule="auto"/>
        <w:jc w:val="both"/>
        <w:rPr>
          <w:rFonts w:eastAsiaTheme="minorEastAsia"/>
        </w:rPr>
      </w:pPr>
      <w:r w:rsidRPr="29A8477B">
        <w:rPr>
          <w:rFonts w:eastAsiaTheme="minorEastAsia"/>
        </w:rPr>
        <w:t xml:space="preserve">Trajnostni pristop v sožitju z naravo, lokalnim prebivalstvom, obiskovalci in ponudniki. </w:t>
      </w:r>
    </w:p>
    <w:p w14:paraId="4FC45ED5" w14:textId="4CE65781" w:rsidR="1633040D" w:rsidRDefault="278BCBDD" w:rsidP="00671680">
      <w:pPr>
        <w:spacing w:after="0" w:line="257" w:lineRule="auto"/>
        <w:jc w:val="both"/>
        <w:rPr>
          <w:rFonts w:eastAsiaTheme="minorEastAsia"/>
        </w:rPr>
      </w:pPr>
      <w:r w:rsidRPr="29A8477B">
        <w:rPr>
          <w:rFonts w:eastAsiaTheme="minorEastAsia"/>
        </w:rPr>
        <w:t xml:space="preserve"> </w:t>
      </w:r>
    </w:p>
    <w:p w14:paraId="3BEFDDAB" w14:textId="1507A489" w:rsidR="1633040D" w:rsidRDefault="278BCBDD" w:rsidP="00671680">
      <w:pPr>
        <w:spacing w:after="0" w:line="257" w:lineRule="auto"/>
        <w:jc w:val="both"/>
        <w:rPr>
          <w:rFonts w:eastAsiaTheme="minorEastAsia"/>
          <w:b/>
          <w:bCs/>
        </w:rPr>
      </w:pPr>
      <w:r w:rsidRPr="29A8477B">
        <w:rPr>
          <w:rFonts w:eastAsiaTheme="minorEastAsia"/>
          <w:b/>
          <w:bCs/>
        </w:rPr>
        <w:t>Strateški cilji do leta 2030:</w:t>
      </w:r>
    </w:p>
    <w:p w14:paraId="08610234" w14:textId="7022735F" w:rsidR="1633040D" w:rsidRDefault="278BCBDD" w:rsidP="004A1C14">
      <w:pPr>
        <w:pStyle w:val="Odstavekseznama"/>
        <w:numPr>
          <w:ilvl w:val="0"/>
          <w:numId w:val="39"/>
        </w:numPr>
        <w:spacing w:after="0" w:line="257" w:lineRule="auto"/>
        <w:jc w:val="both"/>
        <w:rPr>
          <w:rFonts w:eastAsiaTheme="minorEastAsia"/>
        </w:rPr>
      </w:pPr>
      <w:r w:rsidRPr="29A8477B">
        <w:rPr>
          <w:rFonts w:eastAsiaTheme="minorEastAsia"/>
        </w:rPr>
        <w:t>Učinkovito upravljanje s turistično destinacijo</w:t>
      </w:r>
    </w:p>
    <w:p w14:paraId="71BDC8BC" w14:textId="53F920A6" w:rsidR="1633040D" w:rsidRDefault="278BCBDD" w:rsidP="004A1C14">
      <w:pPr>
        <w:pStyle w:val="Odstavekseznama"/>
        <w:numPr>
          <w:ilvl w:val="0"/>
          <w:numId w:val="39"/>
        </w:numPr>
        <w:spacing w:after="0" w:line="257" w:lineRule="auto"/>
        <w:jc w:val="both"/>
        <w:rPr>
          <w:rFonts w:eastAsiaTheme="minorEastAsia"/>
        </w:rPr>
      </w:pPr>
      <w:r w:rsidRPr="29A8477B">
        <w:rPr>
          <w:rFonts w:eastAsiaTheme="minorEastAsia"/>
        </w:rPr>
        <w:lastRenderedPageBreak/>
        <w:t>Povečanje kakovosti in vrednosti turistične dejavnosti</w:t>
      </w:r>
    </w:p>
    <w:p w14:paraId="529B92CB" w14:textId="34ADCC46" w:rsidR="1633040D" w:rsidRDefault="278BCBDD" w:rsidP="004A1C14">
      <w:pPr>
        <w:pStyle w:val="Odstavekseznama"/>
        <w:numPr>
          <w:ilvl w:val="0"/>
          <w:numId w:val="39"/>
        </w:numPr>
        <w:spacing w:after="0" w:line="257" w:lineRule="auto"/>
        <w:jc w:val="both"/>
        <w:rPr>
          <w:rFonts w:eastAsiaTheme="minorEastAsia"/>
        </w:rPr>
      </w:pPr>
      <w:r w:rsidRPr="29A8477B">
        <w:rPr>
          <w:rFonts w:eastAsiaTheme="minorEastAsia"/>
        </w:rPr>
        <w:t>Skladen in trajnosten razvoj turizma</w:t>
      </w:r>
    </w:p>
    <w:p w14:paraId="1E683831" w14:textId="413B8847" w:rsidR="1633040D" w:rsidRDefault="278BCBDD" w:rsidP="29A8477B">
      <w:pPr>
        <w:spacing w:after="0" w:line="257" w:lineRule="auto"/>
        <w:rPr>
          <w:rFonts w:eastAsiaTheme="minorEastAsia"/>
        </w:rPr>
      </w:pPr>
      <w:r w:rsidRPr="29A8477B">
        <w:rPr>
          <w:rFonts w:eastAsiaTheme="minorEastAsia"/>
        </w:rPr>
        <w:t xml:space="preserve"> </w:t>
      </w:r>
    </w:p>
    <w:p w14:paraId="1CA6E788" w14:textId="7042FB31" w:rsidR="1633040D" w:rsidRDefault="278BCBDD" w:rsidP="00671680">
      <w:pPr>
        <w:spacing w:after="0" w:line="257" w:lineRule="auto"/>
        <w:jc w:val="both"/>
        <w:rPr>
          <w:rFonts w:eastAsiaTheme="minorEastAsia"/>
          <w:b/>
          <w:bCs/>
        </w:rPr>
      </w:pPr>
      <w:r w:rsidRPr="29A8477B">
        <w:rPr>
          <w:rFonts w:eastAsiaTheme="minorEastAsia"/>
          <w:b/>
          <w:bCs/>
        </w:rPr>
        <w:t>Razvojni cilji:</w:t>
      </w:r>
    </w:p>
    <w:p w14:paraId="3ACC5175" w14:textId="5288B96D" w:rsidR="1633040D" w:rsidRDefault="278BCBDD" w:rsidP="004A1C14">
      <w:pPr>
        <w:pStyle w:val="Odstavekseznama"/>
        <w:numPr>
          <w:ilvl w:val="0"/>
          <w:numId w:val="35"/>
        </w:numPr>
        <w:spacing w:after="0" w:line="257" w:lineRule="auto"/>
        <w:ind w:left="709"/>
        <w:jc w:val="both"/>
        <w:rPr>
          <w:rFonts w:eastAsiaTheme="minorEastAsia"/>
        </w:rPr>
      </w:pPr>
      <w:r w:rsidRPr="29A8477B">
        <w:rPr>
          <w:rFonts w:eastAsiaTheme="minorEastAsia"/>
        </w:rPr>
        <w:t xml:space="preserve">Učinkovito upravljanje s turistično destinacijo </w:t>
      </w:r>
    </w:p>
    <w:p w14:paraId="7E4B9B34" w14:textId="659BF93D" w:rsidR="1633040D" w:rsidRDefault="278BCBDD" w:rsidP="004A1C14">
      <w:pPr>
        <w:pStyle w:val="Odstavekseznama"/>
        <w:numPr>
          <w:ilvl w:val="0"/>
          <w:numId w:val="35"/>
        </w:numPr>
        <w:spacing w:after="0" w:line="257" w:lineRule="auto"/>
        <w:ind w:left="709"/>
        <w:jc w:val="both"/>
        <w:rPr>
          <w:rFonts w:eastAsiaTheme="minorEastAsia"/>
        </w:rPr>
      </w:pPr>
      <w:r w:rsidRPr="29A8477B">
        <w:rPr>
          <w:rFonts w:eastAsiaTheme="minorEastAsia"/>
        </w:rPr>
        <w:t xml:space="preserve">Skupna športna infrastruktura </w:t>
      </w:r>
    </w:p>
    <w:p w14:paraId="10483445" w14:textId="5F60DD7E" w:rsidR="1633040D" w:rsidRDefault="278BCBDD" w:rsidP="004A1C14">
      <w:pPr>
        <w:pStyle w:val="Odstavekseznama"/>
        <w:numPr>
          <w:ilvl w:val="0"/>
          <w:numId w:val="35"/>
        </w:numPr>
        <w:spacing w:after="0" w:line="257" w:lineRule="auto"/>
        <w:ind w:left="709"/>
        <w:jc w:val="both"/>
        <w:rPr>
          <w:rFonts w:eastAsiaTheme="minorEastAsia"/>
        </w:rPr>
      </w:pPr>
      <w:r w:rsidRPr="29A8477B">
        <w:rPr>
          <w:rFonts w:eastAsiaTheme="minorEastAsia"/>
        </w:rPr>
        <w:t xml:space="preserve">Obogatena in dostopna turistična infrastruktura s področja kulture </w:t>
      </w:r>
    </w:p>
    <w:p w14:paraId="3A38518E" w14:textId="38B24F0D" w:rsidR="1633040D" w:rsidRDefault="278BCBDD" w:rsidP="004A1C14">
      <w:pPr>
        <w:pStyle w:val="Odstavekseznama"/>
        <w:numPr>
          <w:ilvl w:val="0"/>
          <w:numId w:val="35"/>
        </w:numPr>
        <w:spacing w:after="0" w:line="257" w:lineRule="auto"/>
        <w:ind w:left="709"/>
        <w:jc w:val="both"/>
        <w:rPr>
          <w:rFonts w:eastAsiaTheme="minorEastAsia"/>
        </w:rPr>
      </w:pPr>
      <w:r w:rsidRPr="29A8477B">
        <w:rPr>
          <w:rFonts w:eastAsiaTheme="minorEastAsia"/>
        </w:rPr>
        <w:t xml:space="preserve">Inovativna in celovita ponudba doživetij za strateške tržne segmente </w:t>
      </w:r>
    </w:p>
    <w:p w14:paraId="3D7CEF72" w14:textId="0E44550D" w:rsidR="1633040D" w:rsidRDefault="278BCBDD" w:rsidP="004A1C14">
      <w:pPr>
        <w:pStyle w:val="Odstavekseznama"/>
        <w:numPr>
          <w:ilvl w:val="0"/>
          <w:numId w:val="35"/>
        </w:numPr>
        <w:spacing w:after="0" w:line="257" w:lineRule="auto"/>
        <w:ind w:left="709"/>
        <w:jc w:val="both"/>
        <w:rPr>
          <w:rFonts w:eastAsiaTheme="minorEastAsia"/>
        </w:rPr>
      </w:pPr>
      <w:r w:rsidRPr="29A8477B">
        <w:rPr>
          <w:rFonts w:eastAsiaTheme="minorEastAsia"/>
        </w:rPr>
        <w:t xml:space="preserve">Celovita in bogata dopolnilna ponudba </w:t>
      </w:r>
    </w:p>
    <w:p w14:paraId="0558D8B1" w14:textId="6A555088" w:rsidR="1633040D" w:rsidRDefault="278BCBDD" w:rsidP="004A1C14">
      <w:pPr>
        <w:pStyle w:val="Odstavekseznama"/>
        <w:numPr>
          <w:ilvl w:val="0"/>
          <w:numId w:val="35"/>
        </w:numPr>
        <w:spacing w:after="0" w:line="257" w:lineRule="auto"/>
        <w:ind w:left="709"/>
        <w:jc w:val="both"/>
        <w:rPr>
          <w:rFonts w:eastAsiaTheme="minorEastAsia"/>
        </w:rPr>
      </w:pPr>
      <w:r w:rsidRPr="29A8477B">
        <w:rPr>
          <w:rFonts w:eastAsiaTheme="minorEastAsia"/>
        </w:rPr>
        <w:t xml:space="preserve">Razvoj človeških virov na področju turizma </w:t>
      </w:r>
    </w:p>
    <w:p w14:paraId="6D657D70" w14:textId="4370EA34" w:rsidR="1633040D" w:rsidRDefault="278BCBDD" w:rsidP="004A1C14">
      <w:pPr>
        <w:pStyle w:val="Odstavekseznama"/>
        <w:numPr>
          <w:ilvl w:val="0"/>
          <w:numId w:val="35"/>
        </w:numPr>
        <w:spacing w:after="0" w:line="257" w:lineRule="auto"/>
        <w:ind w:left="709"/>
        <w:jc w:val="both"/>
        <w:rPr>
          <w:rFonts w:eastAsiaTheme="minorEastAsia"/>
        </w:rPr>
      </w:pPr>
      <w:r w:rsidRPr="29A8477B">
        <w:rPr>
          <w:rFonts w:eastAsiaTheme="minorEastAsia"/>
        </w:rPr>
        <w:t xml:space="preserve">Optimizacija nastanitvenih kapacitet </w:t>
      </w:r>
    </w:p>
    <w:p w14:paraId="7401B1B7" w14:textId="662B3568" w:rsidR="1633040D" w:rsidRDefault="278BCBDD" w:rsidP="004A1C14">
      <w:pPr>
        <w:pStyle w:val="Odstavekseznama"/>
        <w:numPr>
          <w:ilvl w:val="0"/>
          <w:numId w:val="35"/>
        </w:numPr>
        <w:spacing w:after="0" w:line="257" w:lineRule="auto"/>
        <w:ind w:left="709"/>
        <w:jc w:val="both"/>
        <w:rPr>
          <w:rFonts w:eastAsiaTheme="minorEastAsia"/>
        </w:rPr>
      </w:pPr>
      <w:r w:rsidRPr="29A8477B">
        <w:rPr>
          <w:rFonts w:eastAsiaTheme="minorEastAsia"/>
        </w:rPr>
        <w:t xml:space="preserve">Izboljšava infrastrukture mobilnosti </w:t>
      </w:r>
    </w:p>
    <w:p w14:paraId="5715A060" w14:textId="4CFE3F62" w:rsidR="1633040D" w:rsidRDefault="278BCBDD" w:rsidP="004A1C14">
      <w:pPr>
        <w:pStyle w:val="Odstavekseznama"/>
        <w:numPr>
          <w:ilvl w:val="0"/>
          <w:numId w:val="35"/>
        </w:numPr>
        <w:spacing w:after="0" w:line="257" w:lineRule="auto"/>
        <w:ind w:left="709"/>
        <w:jc w:val="both"/>
        <w:rPr>
          <w:rFonts w:eastAsiaTheme="minorEastAsia"/>
        </w:rPr>
      </w:pPr>
      <w:r w:rsidRPr="29A8477B">
        <w:rPr>
          <w:rFonts w:eastAsiaTheme="minorEastAsia"/>
        </w:rPr>
        <w:t xml:space="preserve">Optimizacija trženja in prodaje </w:t>
      </w:r>
    </w:p>
    <w:p w14:paraId="1914579A" w14:textId="4428708D" w:rsidR="1706C59B" w:rsidRPr="00224542" w:rsidRDefault="278BCBDD" w:rsidP="00224542">
      <w:pPr>
        <w:pStyle w:val="Odstavekseznama"/>
        <w:numPr>
          <w:ilvl w:val="0"/>
          <w:numId w:val="35"/>
        </w:numPr>
        <w:spacing w:after="0" w:line="257" w:lineRule="auto"/>
        <w:ind w:left="709"/>
        <w:jc w:val="both"/>
        <w:rPr>
          <w:rFonts w:eastAsiaTheme="minorEastAsia"/>
        </w:rPr>
      </w:pPr>
      <w:r w:rsidRPr="1706C59B">
        <w:rPr>
          <w:rFonts w:eastAsiaTheme="minorEastAsia"/>
        </w:rPr>
        <w:t>Trajnost, sobivanje z okoljem in prilagajanje podnebnim spremembam</w:t>
      </w:r>
    </w:p>
    <w:p w14:paraId="30EF04FC" w14:textId="4671F7ED" w:rsidR="1633040D" w:rsidRDefault="057101B6" w:rsidP="00671680">
      <w:pPr>
        <w:pStyle w:val="Naslov4"/>
        <w:spacing w:before="240" w:after="120"/>
        <w:jc w:val="both"/>
        <w:rPr>
          <w:rFonts w:eastAsiaTheme="minorEastAsia" w:cstheme="minorBidi"/>
          <w:b/>
          <w:bCs/>
        </w:rPr>
      </w:pPr>
      <w:r w:rsidRPr="29A8477B">
        <w:t xml:space="preserve">2.5 </w:t>
      </w:r>
      <w:r w:rsidR="278BCBDD" w:rsidRPr="29A8477B">
        <w:t>Strategija razvoja kulture</w:t>
      </w:r>
    </w:p>
    <w:p w14:paraId="6180E8CF" w14:textId="05BD1E62" w:rsidR="1633040D" w:rsidRDefault="278BCBDD" w:rsidP="00671680">
      <w:pPr>
        <w:spacing w:after="0" w:line="257" w:lineRule="auto"/>
        <w:jc w:val="both"/>
        <w:rPr>
          <w:rFonts w:eastAsiaTheme="minorEastAsia"/>
          <w:b/>
          <w:bCs/>
        </w:rPr>
      </w:pPr>
      <w:r w:rsidRPr="29A8477B">
        <w:rPr>
          <w:rFonts w:eastAsiaTheme="minorEastAsia"/>
          <w:b/>
          <w:bCs/>
        </w:rPr>
        <w:t>Strateški cilji:</w:t>
      </w:r>
    </w:p>
    <w:p w14:paraId="063E8BB0" w14:textId="1A6ECB81" w:rsidR="1633040D" w:rsidRDefault="278BCBDD" w:rsidP="004A1C14">
      <w:pPr>
        <w:pStyle w:val="Odstavekseznama"/>
        <w:numPr>
          <w:ilvl w:val="0"/>
          <w:numId w:val="34"/>
        </w:numPr>
        <w:spacing w:after="0" w:line="257" w:lineRule="auto"/>
        <w:jc w:val="both"/>
        <w:rPr>
          <w:rFonts w:eastAsiaTheme="minorEastAsia"/>
        </w:rPr>
      </w:pPr>
      <w:r w:rsidRPr="29A8477B">
        <w:rPr>
          <w:rFonts w:eastAsiaTheme="minorEastAsia"/>
        </w:rPr>
        <w:t>Kultura kot razvojni dejavnik mesta</w:t>
      </w:r>
    </w:p>
    <w:p w14:paraId="5C4E5748" w14:textId="68D177BD" w:rsidR="1633040D" w:rsidRDefault="278BCBDD" w:rsidP="004A1C14">
      <w:pPr>
        <w:pStyle w:val="Odstavekseznama"/>
        <w:numPr>
          <w:ilvl w:val="0"/>
          <w:numId w:val="34"/>
        </w:numPr>
        <w:spacing w:after="0" w:line="257" w:lineRule="auto"/>
        <w:jc w:val="both"/>
        <w:rPr>
          <w:rFonts w:eastAsiaTheme="minorEastAsia"/>
        </w:rPr>
      </w:pPr>
      <w:r w:rsidRPr="29A8477B">
        <w:rPr>
          <w:rFonts w:eastAsiaTheme="minorEastAsia"/>
        </w:rPr>
        <w:t>Nova Gorica kot pomembno umetniško in ustvarjalno središče</w:t>
      </w:r>
    </w:p>
    <w:p w14:paraId="79E6B6E8" w14:textId="62B06C1C" w:rsidR="1633040D" w:rsidRDefault="278BCBDD" w:rsidP="004A1C14">
      <w:pPr>
        <w:pStyle w:val="Odstavekseznama"/>
        <w:numPr>
          <w:ilvl w:val="0"/>
          <w:numId w:val="33"/>
        </w:numPr>
        <w:spacing w:after="0" w:line="257" w:lineRule="auto"/>
        <w:ind w:left="1068"/>
        <w:jc w:val="both"/>
        <w:rPr>
          <w:rFonts w:eastAsiaTheme="minorEastAsia"/>
        </w:rPr>
      </w:pPr>
      <w:r w:rsidRPr="29A8477B">
        <w:rPr>
          <w:rFonts w:eastAsiaTheme="minorEastAsia"/>
        </w:rPr>
        <w:t xml:space="preserve">Celostno prostorsko načrtovanje </w:t>
      </w:r>
      <w:proofErr w:type="spellStart"/>
      <w:r w:rsidRPr="29A8477B">
        <w:rPr>
          <w:rFonts w:eastAsiaTheme="minorEastAsia"/>
        </w:rPr>
        <w:t>somestja</w:t>
      </w:r>
      <w:proofErr w:type="spellEnd"/>
    </w:p>
    <w:p w14:paraId="3B75F72C" w14:textId="08D458EE" w:rsidR="1633040D" w:rsidRDefault="278BCBDD" w:rsidP="004A1C14">
      <w:pPr>
        <w:pStyle w:val="Odstavekseznama"/>
        <w:numPr>
          <w:ilvl w:val="0"/>
          <w:numId w:val="34"/>
        </w:numPr>
        <w:spacing w:after="0" w:line="257" w:lineRule="auto"/>
        <w:jc w:val="both"/>
        <w:rPr>
          <w:rFonts w:eastAsiaTheme="minorEastAsia"/>
        </w:rPr>
      </w:pPr>
      <w:r w:rsidRPr="29A8477B">
        <w:rPr>
          <w:rFonts w:eastAsiaTheme="minorEastAsia"/>
        </w:rPr>
        <w:t>Regijsko žarišče znanja</w:t>
      </w:r>
    </w:p>
    <w:p w14:paraId="308AD227" w14:textId="707F0CA1" w:rsidR="1633040D" w:rsidRDefault="278BCBDD" w:rsidP="004A1C14">
      <w:pPr>
        <w:pStyle w:val="Odstavekseznama"/>
        <w:numPr>
          <w:ilvl w:val="0"/>
          <w:numId w:val="34"/>
        </w:numPr>
        <w:spacing w:after="0" w:line="257" w:lineRule="auto"/>
        <w:jc w:val="both"/>
        <w:rPr>
          <w:rFonts w:eastAsiaTheme="minorEastAsia"/>
        </w:rPr>
      </w:pPr>
      <w:r w:rsidRPr="29A8477B">
        <w:rPr>
          <w:rFonts w:eastAsiaTheme="minorEastAsia"/>
        </w:rPr>
        <w:t>EPK 2025 in njena zapuščina</w:t>
      </w:r>
    </w:p>
    <w:p w14:paraId="66ED545C" w14:textId="3EAA6F64" w:rsidR="1633040D" w:rsidRDefault="278BCBDD" w:rsidP="004A1C14">
      <w:pPr>
        <w:pStyle w:val="Odstavekseznama"/>
        <w:numPr>
          <w:ilvl w:val="0"/>
          <w:numId w:val="33"/>
        </w:numPr>
        <w:spacing w:after="0" w:line="257" w:lineRule="auto"/>
        <w:ind w:left="1068"/>
        <w:jc w:val="both"/>
        <w:rPr>
          <w:rFonts w:eastAsiaTheme="minorEastAsia"/>
        </w:rPr>
      </w:pPr>
      <w:r w:rsidRPr="29A8477B">
        <w:rPr>
          <w:rFonts w:eastAsiaTheme="minorEastAsia"/>
        </w:rPr>
        <w:t>Sistematična ureditev upravljavske, kadrovske in programske zapuščine EPK 2025 ter obstoječih zavodov</w:t>
      </w:r>
    </w:p>
    <w:p w14:paraId="53A35D52" w14:textId="5C984207" w:rsidR="1633040D" w:rsidRDefault="278BCBDD" w:rsidP="004A1C14">
      <w:pPr>
        <w:pStyle w:val="Odstavekseznama"/>
        <w:numPr>
          <w:ilvl w:val="0"/>
          <w:numId w:val="33"/>
        </w:numPr>
        <w:spacing w:after="0" w:line="257" w:lineRule="auto"/>
        <w:ind w:left="1068"/>
        <w:jc w:val="both"/>
        <w:rPr>
          <w:rFonts w:eastAsiaTheme="minorEastAsia"/>
        </w:rPr>
      </w:pPr>
      <w:r w:rsidRPr="29A8477B">
        <w:rPr>
          <w:rFonts w:eastAsiaTheme="minorEastAsia"/>
        </w:rPr>
        <w:t>Urbana regeneracija skupnega čezmejnega območja (EPK distrikt) ter celovit načrt upravljanja z infrastrukturo ključnih deležnikov (MONG, UNG, Slovenske železnice)</w:t>
      </w:r>
    </w:p>
    <w:p w14:paraId="0E9E3A63" w14:textId="3CAB2E20" w:rsidR="1633040D" w:rsidRDefault="278BCBDD" w:rsidP="004A1C14">
      <w:pPr>
        <w:pStyle w:val="Odstavekseznama"/>
        <w:numPr>
          <w:ilvl w:val="0"/>
          <w:numId w:val="34"/>
        </w:numPr>
        <w:spacing w:after="0" w:line="257" w:lineRule="auto"/>
        <w:jc w:val="both"/>
        <w:rPr>
          <w:rFonts w:eastAsiaTheme="minorEastAsia"/>
        </w:rPr>
      </w:pPr>
      <w:r w:rsidRPr="29A8477B">
        <w:rPr>
          <w:rFonts w:eastAsiaTheme="minorEastAsia"/>
        </w:rPr>
        <w:t xml:space="preserve">Infrastrukturni projekti na področju kulture </w:t>
      </w:r>
    </w:p>
    <w:p w14:paraId="56D81364" w14:textId="37E3D40C" w:rsidR="1633040D" w:rsidRDefault="278BCBDD" w:rsidP="004A1C14">
      <w:pPr>
        <w:pStyle w:val="Odstavekseznama"/>
        <w:numPr>
          <w:ilvl w:val="0"/>
          <w:numId w:val="33"/>
        </w:numPr>
        <w:spacing w:after="0" w:line="257" w:lineRule="auto"/>
        <w:ind w:left="1068"/>
        <w:jc w:val="both"/>
        <w:rPr>
          <w:rFonts w:eastAsiaTheme="minorEastAsia"/>
        </w:rPr>
      </w:pPr>
      <w:r w:rsidRPr="29A8477B">
        <w:rPr>
          <w:rFonts w:eastAsiaTheme="minorEastAsia"/>
        </w:rPr>
        <w:t xml:space="preserve">Kulturno-prostorski manifest z </w:t>
      </w:r>
      <w:proofErr w:type="spellStart"/>
      <w:r w:rsidRPr="29A8477B">
        <w:rPr>
          <w:rFonts w:eastAsiaTheme="minorEastAsia"/>
        </w:rPr>
        <w:t>mapiranjem</w:t>
      </w:r>
      <w:proofErr w:type="spellEnd"/>
      <w:r w:rsidRPr="29A8477B">
        <w:rPr>
          <w:rFonts w:eastAsiaTheme="minorEastAsia"/>
        </w:rPr>
        <w:t xml:space="preserve"> potencialnih objektov za kulturno dejavnost</w:t>
      </w:r>
    </w:p>
    <w:p w14:paraId="398539ED" w14:textId="278FFF26" w:rsidR="1633040D" w:rsidRDefault="278BCBDD" w:rsidP="004A1C14">
      <w:pPr>
        <w:pStyle w:val="Odstavekseznama"/>
        <w:numPr>
          <w:ilvl w:val="0"/>
          <w:numId w:val="33"/>
        </w:numPr>
        <w:spacing w:after="0" w:line="257" w:lineRule="auto"/>
        <w:ind w:left="1068"/>
        <w:jc w:val="both"/>
        <w:rPr>
          <w:rFonts w:eastAsiaTheme="minorEastAsia"/>
        </w:rPr>
      </w:pPr>
      <w:r w:rsidRPr="29A8477B">
        <w:rPr>
          <w:rFonts w:eastAsiaTheme="minorEastAsia"/>
        </w:rPr>
        <w:t>Preverba možnosti za prostorsko širitev Pokrajinskega arhiva Nova Gorica</w:t>
      </w:r>
    </w:p>
    <w:p w14:paraId="64F4417E" w14:textId="1FB5E6A0" w:rsidR="1633040D" w:rsidRDefault="278BCBDD" w:rsidP="004A1C14">
      <w:pPr>
        <w:pStyle w:val="Odstavekseznama"/>
        <w:numPr>
          <w:ilvl w:val="0"/>
          <w:numId w:val="33"/>
        </w:numPr>
        <w:spacing w:after="0" w:line="257" w:lineRule="auto"/>
        <w:ind w:left="1068"/>
        <w:jc w:val="both"/>
        <w:rPr>
          <w:rFonts w:eastAsiaTheme="minorEastAsia"/>
        </w:rPr>
      </w:pPr>
      <w:r w:rsidRPr="29A8477B">
        <w:rPr>
          <w:rFonts w:eastAsiaTheme="minorEastAsia"/>
        </w:rPr>
        <w:t xml:space="preserve">Obnova vile </w:t>
      </w:r>
      <w:proofErr w:type="spellStart"/>
      <w:r w:rsidRPr="29A8477B">
        <w:rPr>
          <w:rFonts w:eastAsiaTheme="minorEastAsia"/>
        </w:rPr>
        <w:t>Bartolomei</w:t>
      </w:r>
      <w:proofErr w:type="spellEnd"/>
    </w:p>
    <w:p w14:paraId="4A7200BE" w14:textId="1B641EA9" w:rsidR="1633040D" w:rsidRDefault="278BCBDD" w:rsidP="004A1C14">
      <w:pPr>
        <w:pStyle w:val="Odstavekseznama"/>
        <w:numPr>
          <w:ilvl w:val="0"/>
          <w:numId w:val="33"/>
        </w:numPr>
        <w:spacing w:after="0" w:line="257" w:lineRule="auto"/>
        <w:ind w:left="1068"/>
        <w:jc w:val="both"/>
        <w:rPr>
          <w:rFonts w:eastAsiaTheme="minorEastAsia"/>
        </w:rPr>
      </w:pPr>
      <w:r w:rsidRPr="29A8477B">
        <w:rPr>
          <w:rFonts w:eastAsiaTheme="minorEastAsia"/>
        </w:rPr>
        <w:t>Obnova gradu Kromberk</w:t>
      </w:r>
    </w:p>
    <w:p w14:paraId="60ECF129" w14:textId="050E5D84" w:rsidR="00671680" w:rsidRPr="00671680" w:rsidRDefault="278BCBDD" w:rsidP="004A1C14">
      <w:pPr>
        <w:pStyle w:val="Odstavekseznama"/>
        <w:numPr>
          <w:ilvl w:val="0"/>
          <w:numId w:val="34"/>
        </w:numPr>
        <w:spacing w:after="0" w:line="257" w:lineRule="auto"/>
        <w:jc w:val="both"/>
        <w:rPr>
          <w:rFonts w:eastAsiaTheme="minorEastAsia"/>
        </w:rPr>
      </w:pPr>
      <w:r w:rsidRPr="1706C59B">
        <w:rPr>
          <w:rFonts w:eastAsiaTheme="minorEastAsia"/>
        </w:rPr>
        <w:t xml:space="preserve">Strateški cilji z ukrepi na posameznih področjih kulturnih dejavnosti (uprizoritvene umetnosti, glasbene umetnosti, kulturna dediščina, vizualne umetnosti, </w:t>
      </w:r>
      <w:proofErr w:type="spellStart"/>
      <w:r w:rsidRPr="1706C59B">
        <w:rPr>
          <w:rFonts w:eastAsiaTheme="minorEastAsia"/>
        </w:rPr>
        <w:t>intermedijske</w:t>
      </w:r>
      <w:proofErr w:type="spellEnd"/>
      <w:r w:rsidRPr="1706C59B">
        <w:rPr>
          <w:rFonts w:eastAsiaTheme="minorEastAsia"/>
        </w:rPr>
        <w:t xml:space="preserve"> umetnosti, knjiga in </w:t>
      </w:r>
    </w:p>
    <w:p w14:paraId="14FF3AB2" w14:textId="209DCDCD" w:rsidR="1633040D" w:rsidRDefault="278BCBDD" w:rsidP="004A1C14">
      <w:pPr>
        <w:pStyle w:val="Odstavekseznama"/>
        <w:numPr>
          <w:ilvl w:val="0"/>
          <w:numId w:val="34"/>
        </w:numPr>
        <w:spacing w:after="0" w:line="257" w:lineRule="auto"/>
        <w:jc w:val="both"/>
        <w:rPr>
          <w:rFonts w:eastAsiaTheme="minorEastAsia"/>
        </w:rPr>
      </w:pPr>
      <w:r w:rsidRPr="29A8477B">
        <w:rPr>
          <w:rFonts w:eastAsiaTheme="minorEastAsia"/>
        </w:rPr>
        <w:t>založništvo, knjižnična dejavnosti in bralna kultura, film, mediji, nevladne organizacije in ljubiteljska kultura)</w:t>
      </w:r>
    </w:p>
    <w:p w14:paraId="1F3D7DB3" w14:textId="01E76E58" w:rsidR="1633040D" w:rsidRPr="00671680" w:rsidRDefault="278BCBDD" w:rsidP="004A1C14">
      <w:pPr>
        <w:pStyle w:val="Odstavekseznama"/>
        <w:numPr>
          <w:ilvl w:val="0"/>
          <w:numId w:val="34"/>
        </w:numPr>
        <w:spacing w:after="0" w:line="257" w:lineRule="auto"/>
        <w:rPr>
          <w:rFonts w:eastAsiaTheme="minorEastAsia"/>
        </w:rPr>
      </w:pPr>
      <w:r w:rsidRPr="29A8477B">
        <w:rPr>
          <w:rFonts w:eastAsiaTheme="minorEastAsia"/>
        </w:rPr>
        <w:t xml:space="preserve">Drugi strateški cilji  </w:t>
      </w:r>
    </w:p>
    <w:p w14:paraId="7126DFCE" w14:textId="3C1FC72F" w:rsidR="1633040D" w:rsidRDefault="78FCFDE5" w:rsidP="00671680">
      <w:pPr>
        <w:pStyle w:val="Naslov4"/>
        <w:spacing w:before="240" w:after="120"/>
        <w:rPr>
          <w:rFonts w:eastAsiaTheme="minorEastAsia" w:cstheme="minorBidi"/>
          <w:b/>
          <w:bCs/>
        </w:rPr>
      </w:pPr>
      <w:r w:rsidRPr="29A8477B">
        <w:t xml:space="preserve">2.6 </w:t>
      </w:r>
      <w:r w:rsidR="278BCBDD" w:rsidRPr="29A8477B">
        <w:t>Programski dokument na področju terciarnega izobraževanja na Goriškem</w:t>
      </w:r>
    </w:p>
    <w:p w14:paraId="5214A633" w14:textId="44EFD251" w:rsidR="1633040D" w:rsidRDefault="278BCBDD" w:rsidP="00671680">
      <w:pPr>
        <w:spacing w:after="0" w:line="257" w:lineRule="auto"/>
        <w:jc w:val="both"/>
        <w:rPr>
          <w:rFonts w:eastAsiaTheme="minorEastAsia"/>
          <w:b/>
          <w:bCs/>
        </w:rPr>
      </w:pPr>
      <w:r w:rsidRPr="29A8477B">
        <w:rPr>
          <w:rFonts w:eastAsiaTheme="minorEastAsia"/>
          <w:b/>
          <w:bCs/>
        </w:rPr>
        <w:t xml:space="preserve">Programske usmeritve: </w:t>
      </w:r>
    </w:p>
    <w:p w14:paraId="3B0F5CF8" w14:textId="050D0034" w:rsidR="1633040D" w:rsidRDefault="278BCBDD" w:rsidP="004A1C14">
      <w:pPr>
        <w:pStyle w:val="Odstavekseznama"/>
        <w:numPr>
          <w:ilvl w:val="0"/>
          <w:numId w:val="32"/>
        </w:numPr>
        <w:tabs>
          <w:tab w:val="left" w:pos="0"/>
          <w:tab w:val="left" w:pos="720"/>
        </w:tabs>
        <w:spacing w:after="0" w:line="257" w:lineRule="auto"/>
        <w:jc w:val="both"/>
        <w:rPr>
          <w:rFonts w:eastAsiaTheme="minorEastAsia"/>
        </w:rPr>
      </w:pPr>
      <w:r w:rsidRPr="29A8477B">
        <w:rPr>
          <w:rFonts w:eastAsiaTheme="minorEastAsia"/>
        </w:rPr>
        <w:t xml:space="preserve">Vzpostavitev univerzitetnega kampusa </w:t>
      </w:r>
    </w:p>
    <w:p w14:paraId="19CDB995" w14:textId="3A2009A3" w:rsidR="1633040D" w:rsidRDefault="278BCBDD" w:rsidP="00671680">
      <w:pPr>
        <w:spacing w:after="0" w:line="257" w:lineRule="auto"/>
        <w:jc w:val="both"/>
        <w:rPr>
          <w:rFonts w:eastAsiaTheme="minorEastAsia"/>
        </w:rPr>
      </w:pPr>
      <w:r w:rsidRPr="29A8477B">
        <w:rPr>
          <w:rFonts w:eastAsiaTheme="minorEastAsia"/>
        </w:rPr>
        <w:t>Vzpostavitev območja, kjer bi se na enem mestu združili visokošolski programi, raziskave ter bivanje študentov in raziskovalcev.</w:t>
      </w:r>
    </w:p>
    <w:p w14:paraId="15DEFCCE" w14:textId="1847904B" w:rsidR="1633040D" w:rsidRDefault="278BCBDD" w:rsidP="004A1C14">
      <w:pPr>
        <w:pStyle w:val="Odstavekseznama"/>
        <w:numPr>
          <w:ilvl w:val="0"/>
          <w:numId w:val="31"/>
        </w:numPr>
        <w:tabs>
          <w:tab w:val="left" w:pos="0"/>
          <w:tab w:val="left" w:pos="720"/>
        </w:tabs>
        <w:spacing w:after="0" w:line="257" w:lineRule="auto"/>
        <w:jc w:val="both"/>
        <w:rPr>
          <w:rFonts w:eastAsiaTheme="minorEastAsia"/>
        </w:rPr>
      </w:pPr>
      <w:r w:rsidRPr="29A8477B">
        <w:rPr>
          <w:rFonts w:eastAsiaTheme="minorEastAsia"/>
        </w:rPr>
        <w:t xml:space="preserve">Dejavnosti povezovanja terciarnega izobraževanja, inovacij, raziskovanja z lokalnimi gospodarskimi in drugimi organizacijami s ciljem spodbujanja napredka obstoječih in novih podjetij na osnovi znanja in novih tehnologij. </w:t>
      </w:r>
    </w:p>
    <w:p w14:paraId="36584CD4" w14:textId="366BD9E6" w:rsidR="1706C59B" w:rsidRPr="00605A9B" w:rsidRDefault="278BCBDD" w:rsidP="004A1C14">
      <w:pPr>
        <w:pStyle w:val="Odstavekseznama"/>
        <w:numPr>
          <w:ilvl w:val="0"/>
          <w:numId w:val="31"/>
        </w:numPr>
        <w:tabs>
          <w:tab w:val="left" w:pos="0"/>
          <w:tab w:val="left" w:pos="720"/>
        </w:tabs>
        <w:spacing w:after="0" w:line="257" w:lineRule="auto"/>
        <w:jc w:val="both"/>
        <w:rPr>
          <w:rFonts w:eastAsiaTheme="minorEastAsia"/>
        </w:rPr>
      </w:pPr>
      <w:r w:rsidRPr="1706C59B">
        <w:rPr>
          <w:rFonts w:eastAsiaTheme="minorEastAsia"/>
        </w:rPr>
        <w:lastRenderedPageBreak/>
        <w:t xml:space="preserve">Dejavnosti vzpostavljanja Goriške kot mednarodno atraktivne destinacije za študij in raziskovanje. </w:t>
      </w:r>
    </w:p>
    <w:p w14:paraId="6B93B0F1" w14:textId="5F99F78B" w:rsidR="1633040D" w:rsidRDefault="3600D06D" w:rsidP="00671680">
      <w:pPr>
        <w:pStyle w:val="Naslov4"/>
        <w:spacing w:before="240" w:after="120"/>
        <w:jc w:val="both"/>
        <w:rPr>
          <w:rFonts w:eastAsiaTheme="minorEastAsia" w:cstheme="minorBidi"/>
          <w:b/>
          <w:bCs/>
        </w:rPr>
      </w:pPr>
      <w:r w:rsidRPr="29A8477B">
        <w:t xml:space="preserve">2.7 </w:t>
      </w:r>
      <w:r w:rsidR="278BCBDD" w:rsidRPr="29A8477B">
        <w:t>Strategija športa – GO šport</w:t>
      </w:r>
    </w:p>
    <w:p w14:paraId="1A993FE6" w14:textId="59C31195" w:rsidR="1633040D" w:rsidRDefault="278BCBDD" w:rsidP="00671680">
      <w:pPr>
        <w:spacing w:after="0" w:line="257" w:lineRule="auto"/>
        <w:jc w:val="both"/>
      </w:pPr>
      <w:r w:rsidRPr="29A8477B">
        <w:rPr>
          <w:rFonts w:eastAsiaTheme="minorEastAsia"/>
          <w:b/>
          <w:bCs/>
        </w:rPr>
        <w:t xml:space="preserve">Strateški cilji, strateške usmeritve in uresničevanje strategije  </w:t>
      </w:r>
    </w:p>
    <w:p w14:paraId="2F76B932" w14:textId="77777777" w:rsidR="00671680" w:rsidRPr="00671680" w:rsidRDefault="00671680" w:rsidP="00671680">
      <w:pPr>
        <w:spacing w:after="0" w:line="257" w:lineRule="auto"/>
        <w:jc w:val="both"/>
      </w:pPr>
    </w:p>
    <w:p w14:paraId="3C3C9622" w14:textId="1DE3531C" w:rsidR="1633040D" w:rsidRDefault="278BCBDD" w:rsidP="00671680">
      <w:pPr>
        <w:spacing w:after="0" w:line="257" w:lineRule="auto"/>
        <w:jc w:val="both"/>
        <w:rPr>
          <w:rFonts w:eastAsiaTheme="minorEastAsia"/>
        </w:rPr>
      </w:pPr>
      <w:r w:rsidRPr="29A8477B">
        <w:rPr>
          <w:rFonts w:eastAsiaTheme="minorEastAsia"/>
        </w:rPr>
        <w:t xml:space="preserve">1. šport za vse </w:t>
      </w:r>
      <w:r w:rsidR="1633040D">
        <w:tab/>
      </w:r>
    </w:p>
    <w:p w14:paraId="1D3B7FAD" w14:textId="4AFCB9E3" w:rsidR="1633040D" w:rsidRDefault="278BCBDD" w:rsidP="004A1C14">
      <w:pPr>
        <w:pStyle w:val="Odstavekseznama"/>
        <w:numPr>
          <w:ilvl w:val="0"/>
          <w:numId w:val="39"/>
        </w:numPr>
        <w:spacing w:after="0" w:line="257" w:lineRule="auto"/>
        <w:jc w:val="both"/>
        <w:rPr>
          <w:rFonts w:eastAsiaTheme="minorEastAsia"/>
        </w:rPr>
      </w:pPr>
      <w:r w:rsidRPr="29A8477B">
        <w:rPr>
          <w:rFonts w:eastAsiaTheme="minorEastAsia"/>
        </w:rPr>
        <w:t xml:space="preserve">Povečati število vključenih prebivalcev v organizirane programe športa za 20 %. </w:t>
      </w:r>
    </w:p>
    <w:p w14:paraId="26005121" w14:textId="5835DE96" w:rsidR="1633040D" w:rsidRDefault="278BCBDD" w:rsidP="004A1C14">
      <w:pPr>
        <w:pStyle w:val="Odstavekseznama"/>
        <w:numPr>
          <w:ilvl w:val="0"/>
          <w:numId w:val="39"/>
        </w:numPr>
        <w:spacing w:after="0" w:line="257" w:lineRule="auto"/>
        <w:jc w:val="both"/>
        <w:rPr>
          <w:rFonts w:eastAsiaTheme="minorEastAsia"/>
        </w:rPr>
      </w:pPr>
      <w:r w:rsidRPr="29A8477B">
        <w:rPr>
          <w:rFonts w:eastAsiaTheme="minorEastAsia"/>
        </w:rPr>
        <w:t xml:space="preserve">V prostočasnih programih športa po pouku povečati udeležbo otrok in mladih za 30 %. </w:t>
      </w:r>
    </w:p>
    <w:p w14:paraId="48AE0691" w14:textId="2F8F7379" w:rsidR="1633040D" w:rsidRDefault="278BCBDD" w:rsidP="004A1C14">
      <w:pPr>
        <w:pStyle w:val="Odstavekseznama"/>
        <w:numPr>
          <w:ilvl w:val="0"/>
          <w:numId w:val="39"/>
        </w:numPr>
        <w:spacing w:after="0" w:line="257" w:lineRule="auto"/>
        <w:jc w:val="both"/>
        <w:rPr>
          <w:rFonts w:eastAsiaTheme="minorEastAsia"/>
        </w:rPr>
      </w:pPr>
      <w:r w:rsidRPr="29A8477B">
        <w:rPr>
          <w:rFonts w:eastAsiaTheme="minorEastAsia"/>
        </w:rPr>
        <w:t>Izboljšati gibalno učinkovitost otrok in mladine za 10%.</w:t>
      </w:r>
    </w:p>
    <w:p w14:paraId="06A5FC9B" w14:textId="280DFD3C" w:rsidR="1633040D" w:rsidRDefault="278BCBDD" w:rsidP="00671680">
      <w:pPr>
        <w:spacing w:after="0" w:line="257" w:lineRule="auto"/>
        <w:jc w:val="both"/>
        <w:rPr>
          <w:rFonts w:eastAsiaTheme="minorEastAsia"/>
          <w:b/>
          <w:bCs/>
        </w:rPr>
      </w:pPr>
      <w:r w:rsidRPr="29A8477B">
        <w:rPr>
          <w:rFonts w:eastAsiaTheme="minorEastAsia"/>
          <w:b/>
          <w:bCs/>
        </w:rPr>
        <w:t xml:space="preserve"> </w:t>
      </w:r>
    </w:p>
    <w:p w14:paraId="19A783C5" w14:textId="6057BDE8" w:rsidR="1633040D" w:rsidRDefault="278BCBDD" w:rsidP="00671680">
      <w:pPr>
        <w:spacing w:after="0" w:line="257" w:lineRule="auto"/>
        <w:jc w:val="both"/>
        <w:rPr>
          <w:rFonts w:eastAsiaTheme="minorEastAsia"/>
        </w:rPr>
      </w:pPr>
      <w:r w:rsidRPr="29A8477B">
        <w:rPr>
          <w:rFonts w:eastAsiaTheme="minorEastAsia"/>
        </w:rPr>
        <w:t xml:space="preserve">2. tekmovalni športi </w:t>
      </w:r>
    </w:p>
    <w:p w14:paraId="4F184DE5" w14:textId="55157CC0" w:rsidR="1633040D" w:rsidRDefault="278BCBDD" w:rsidP="004A1C14">
      <w:pPr>
        <w:pStyle w:val="Odstavekseznama"/>
        <w:numPr>
          <w:ilvl w:val="0"/>
          <w:numId w:val="39"/>
        </w:numPr>
        <w:spacing w:after="0" w:line="257" w:lineRule="auto"/>
        <w:jc w:val="both"/>
        <w:rPr>
          <w:rFonts w:eastAsiaTheme="minorEastAsia"/>
        </w:rPr>
      </w:pPr>
      <w:r w:rsidRPr="29A8477B">
        <w:rPr>
          <w:rFonts w:eastAsiaTheme="minorEastAsia"/>
        </w:rPr>
        <w:t xml:space="preserve">Povečati število športnikov v mladinskih kategorijah za 15 odstotkov. </w:t>
      </w:r>
    </w:p>
    <w:p w14:paraId="7BE43910" w14:textId="7F03ECE2" w:rsidR="1633040D" w:rsidRDefault="278BCBDD" w:rsidP="004A1C14">
      <w:pPr>
        <w:pStyle w:val="Odstavekseznama"/>
        <w:numPr>
          <w:ilvl w:val="0"/>
          <w:numId w:val="39"/>
        </w:numPr>
        <w:spacing w:after="0" w:line="257" w:lineRule="auto"/>
        <w:jc w:val="both"/>
        <w:rPr>
          <w:rFonts w:eastAsiaTheme="minorEastAsia"/>
        </w:rPr>
      </w:pPr>
      <w:r w:rsidRPr="29A8477B">
        <w:rPr>
          <w:rFonts w:eastAsiaTheme="minorEastAsia"/>
        </w:rPr>
        <w:t xml:space="preserve">Na drugih velikih mednarodnih članskih tekmovanjih bodo športniki osvojili vsaj 5 medalj. </w:t>
      </w:r>
    </w:p>
    <w:p w14:paraId="4E295BB6" w14:textId="7CFA4F4E" w:rsidR="1633040D" w:rsidRDefault="278BCBDD" w:rsidP="004A1C14">
      <w:pPr>
        <w:pStyle w:val="Odstavekseznama"/>
        <w:numPr>
          <w:ilvl w:val="0"/>
          <w:numId w:val="39"/>
        </w:numPr>
        <w:spacing w:after="0" w:line="257" w:lineRule="auto"/>
        <w:jc w:val="both"/>
        <w:rPr>
          <w:rFonts w:eastAsiaTheme="minorEastAsia"/>
        </w:rPr>
      </w:pPr>
      <w:r w:rsidRPr="29A8477B">
        <w:rPr>
          <w:rFonts w:eastAsiaTheme="minorEastAsia"/>
        </w:rPr>
        <w:t xml:space="preserve">Vsaj en vrhunski športnik osvoji olimpijsko medaljo. </w:t>
      </w:r>
    </w:p>
    <w:p w14:paraId="1F4AFFBC" w14:textId="7A121B8D" w:rsidR="1633040D" w:rsidRDefault="278BCBDD" w:rsidP="004A1C14">
      <w:pPr>
        <w:pStyle w:val="Odstavekseznama"/>
        <w:numPr>
          <w:ilvl w:val="0"/>
          <w:numId w:val="39"/>
        </w:numPr>
        <w:spacing w:after="0" w:line="257" w:lineRule="auto"/>
        <w:jc w:val="both"/>
        <w:rPr>
          <w:rFonts w:eastAsiaTheme="minorEastAsia"/>
        </w:rPr>
      </w:pPr>
      <w:r w:rsidRPr="29A8477B">
        <w:rPr>
          <w:rFonts w:eastAsiaTheme="minorEastAsia"/>
        </w:rPr>
        <w:t xml:space="preserve">Vsaj 2 ekipi v športih z žogo uspešni na državni in mednarodni ravni. </w:t>
      </w:r>
    </w:p>
    <w:p w14:paraId="3B919656" w14:textId="43A4D713" w:rsidR="1633040D" w:rsidRDefault="278BCBDD" w:rsidP="00671680">
      <w:pPr>
        <w:spacing w:after="0" w:line="257" w:lineRule="auto"/>
        <w:jc w:val="both"/>
        <w:rPr>
          <w:rFonts w:eastAsiaTheme="minorEastAsia"/>
          <w:b/>
          <w:bCs/>
        </w:rPr>
      </w:pPr>
      <w:r w:rsidRPr="29A8477B">
        <w:rPr>
          <w:rFonts w:eastAsiaTheme="minorEastAsia"/>
          <w:b/>
          <w:bCs/>
        </w:rPr>
        <w:t xml:space="preserve"> </w:t>
      </w:r>
    </w:p>
    <w:p w14:paraId="372BDDD3" w14:textId="7506740E" w:rsidR="1633040D" w:rsidRDefault="278BCBDD" w:rsidP="00671680">
      <w:pPr>
        <w:spacing w:after="0" w:line="257" w:lineRule="auto"/>
        <w:jc w:val="both"/>
        <w:rPr>
          <w:rFonts w:eastAsiaTheme="minorEastAsia"/>
        </w:rPr>
      </w:pPr>
      <w:r w:rsidRPr="29A8477B">
        <w:rPr>
          <w:rFonts w:eastAsiaTheme="minorEastAsia"/>
        </w:rPr>
        <w:t xml:space="preserve">3. športni objekti </w:t>
      </w:r>
    </w:p>
    <w:p w14:paraId="3817F227" w14:textId="09C85885" w:rsidR="1633040D" w:rsidRDefault="278BCBDD" w:rsidP="004A1C14">
      <w:pPr>
        <w:pStyle w:val="Odstavekseznama"/>
        <w:numPr>
          <w:ilvl w:val="0"/>
          <w:numId w:val="30"/>
        </w:numPr>
        <w:spacing w:after="0" w:line="257" w:lineRule="auto"/>
        <w:jc w:val="both"/>
        <w:rPr>
          <w:rFonts w:eastAsiaTheme="minorEastAsia"/>
        </w:rPr>
      </w:pPr>
      <w:r w:rsidRPr="29A8477B">
        <w:rPr>
          <w:rFonts w:eastAsiaTheme="minorEastAsia"/>
        </w:rPr>
        <w:t xml:space="preserve">Na podeželju razviti najmanj 3 centre športa za vse v naravi. </w:t>
      </w:r>
    </w:p>
    <w:p w14:paraId="2E3A3C2C" w14:textId="1260F463" w:rsidR="1633040D" w:rsidRDefault="278BCBDD" w:rsidP="004A1C14">
      <w:pPr>
        <w:pStyle w:val="Odstavekseznama"/>
        <w:numPr>
          <w:ilvl w:val="0"/>
          <w:numId w:val="30"/>
        </w:numPr>
        <w:spacing w:after="0" w:line="257" w:lineRule="auto"/>
        <w:jc w:val="both"/>
        <w:rPr>
          <w:rFonts w:eastAsiaTheme="minorEastAsia"/>
        </w:rPr>
      </w:pPr>
      <w:r w:rsidRPr="29A8477B">
        <w:rPr>
          <w:rFonts w:eastAsiaTheme="minorEastAsia"/>
        </w:rPr>
        <w:t xml:space="preserve">Obnoviti obstoječe športne objekte v mestu in na podeželju. </w:t>
      </w:r>
    </w:p>
    <w:p w14:paraId="5B9E78C1" w14:textId="6546E434" w:rsidR="1633040D" w:rsidRDefault="278BCBDD" w:rsidP="004A1C14">
      <w:pPr>
        <w:pStyle w:val="Odstavekseznama"/>
        <w:numPr>
          <w:ilvl w:val="0"/>
          <w:numId w:val="30"/>
        </w:numPr>
        <w:spacing w:after="0" w:line="257" w:lineRule="auto"/>
        <w:jc w:val="both"/>
        <w:rPr>
          <w:rFonts w:eastAsiaTheme="minorEastAsia"/>
        </w:rPr>
      </w:pPr>
      <w:r w:rsidRPr="29A8477B">
        <w:rPr>
          <w:rFonts w:eastAsiaTheme="minorEastAsia"/>
        </w:rPr>
        <w:t xml:space="preserve">Zgraditi novo večnamensko športno dvorano s kapaciteto do 5.000 gledalcev. </w:t>
      </w:r>
    </w:p>
    <w:p w14:paraId="5229A321" w14:textId="263849C1" w:rsidR="1633040D" w:rsidRDefault="278BCBDD" w:rsidP="004A1C14">
      <w:pPr>
        <w:pStyle w:val="Odstavekseznama"/>
        <w:numPr>
          <w:ilvl w:val="0"/>
          <w:numId w:val="30"/>
        </w:numPr>
        <w:spacing w:after="0" w:line="257" w:lineRule="auto"/>
        <w:jc w:val="both"/>
        <w:rPr>
          <w:rFonts w:eastAsiaTheme="minorEastAsia"/>
        </w:rPr>
      </w:pPr>
      <w:r w:rsidRPr="29A8477B">
        <w:rPr>
          <w:rFonts w:eastAsiaTheme="minorEastAsia"/>
        </w:rPr>
        <w:t xml:space="preserve">V mestu in na podeželju obnoviti in postaviti skupno 10 otokov športa za vse. </w:t>
      </w:r>
    </w:p>
    <w:p w14:paraId="4BE8E170" w14:textId="29BC7167" w:rsidR="1633040D" w:rsidRDefault="278BCBDD" w:rsidP="004A1C14">
      <w:pPr>
        <w:pStyle w:val="Odstavekseznama"/>
        <w:numPr>
          <w:ilvl w:val="0"/>
          <w:numId w:val="30"/>
        </w:numPr>
        <w:spacing w:after="0" w:line="257" w:lineRule="auto"/>
        <w:jc w:val="both"/>
        <w:rPr>
          <w:rFonts w:eastAsiaTheme="minorEastAsia"/>
        </w:rPr>
      </w:pPr>
      <w:r w:rsidRPr="29A8477B">
        <w:rPr>
          <w:rFonts w:eastAsiaTheme="minorEastAsia"/>
        </w:rPr>
        <w:t xml:space="preserve">Obnoviti kajakaški center. </w:t>
      </w:r>
    </w:p>
    <w:p w14:paraId="4BF8B8EE" w14:textId="683C850E" w:rsidR="1633040D" w:rsidRDefault="278BCBDD" w:rsidP="004A1C14">
      <w:pPr>
        <w:pStyle w:val="Odstavekseznama"/>
        <w:numPr>
          <w:ilvl w:val="0"/>
          <w:numId w:val="30"/>
        </w:numPr>
        <w:spacing w:after="0" w:line="257" w:lineRule="auto"/>
        <w:jc w:val="both"/>
        <w:rPr>
          <w:rFonts w:eastAsiaTheme="minorEastAsia"/>
        </w:rPr>
      </w:pPr>
      <w:r w:rsidRPr="29A8477B">
        <w:rPr>
          <w:rFonts w:eastAsiaTheme="minorEastAsia"/>
        </w:rPr>
        <w:t xml:space="preserve">Zgraditi nov športni park.  </w:t>
      </w:r>
    </w:p>
    <w:p w14:paraId="29D23FD4" w14:textId="13BEB325" w:rsidR="1706C59B" w:rsidRPr="00605A9B" w:rsidRDefault="278BCBDD" w:rsidP="004A1C14">
      <w:pPr>
        <w:pStyle w:val="Odstavekseznama"/>
        <w:numPr>
          <w:ilvl w:val="0"/>
          <w:numId w:val="30"/>
        </w:numPr>
        <w:spacing w:after="0" w:line="257" w:lineRule="auto"/>
        <w:jc w:val="both"/>
        <w:rPr>
          <w:rFonts w:eastAsiaTheme="minorEastAsia"/>
        </w:rPr>
      </w:pPr>
      <w:r w:rsidRPr="1706C59B">
        <w:rPr>
          <w:rFonts w:eastAsiaTheme="minorEastAsia"/>
        </w:rPr>
        <w:t xml:space="preserve">Zgraditi vadbeni center za borilne športe. </w:t>
      </w:r>
    </w:p>
    <w:p w14:paraId="57F2ADA4" w14:textId="067B6646" w:rsidR="1633040D" w:rsidRPr="00671680" w:rsidRDefault="249FF6B9" w:rsidP="00671680">
      <w:pPr>
        <w:pStyle w:val="Naslov4"/>
        <w:spacing w:before="240" w:after="120"/>
        <w:rPr>
          <w:rFonts w:eastAsiaTheme="minorEastAsia" w:cstheme="minorBidi"/>
          <w:b/>
          <w:bCs/>
        </w:rPr>
      </w:pPr>
      <w:r w:rsidRPr="29A8477B">
        <w:t xml:space="preserve">2.8 </w:t>
      </w:r>
      <w:r w:rsidR="278BCBDD" w:rsidRPr="29A8477B">
        <w:t>Strategija za starejše MONG 2022- 2026</w:t>
      </w:r>
    </w:p>
    <w:p w14:paraId="2778E53B" w14:textId="7E4D3CF3" w:rsidR="1633040D" w:rsidRDefault="278BCBDD" w:rsidP="29A8477B">
      <w:pPr>
        <w:spacing w:after="0" w:line="257" w:lineRule="auto"/>
        <w:rPr>
          <w:rFonts w:eastAsiaTheme="minorEastAsia"/>
        </w:rPr>
      </w:pPr>
      <w:r w:rsidRPr="29A8477B">
        <w:rPr>
          <w:rFonts w:eastAsiaTheme="minorEastAsia"/>
        </w:rPr>
        <w:t xml:space="preserve">S strategijo za starejše v Mestni občini Nova Gorica želimo </w:t>
      </w:r>
      <w:r w:rsidRPr="29A8477B">
        <w:rPr>
          <w:rFonts w:eastAsiaTheme="minorEastAsia"/>
          <w:b/>
          <w:bCs/>
        </w:rPr>
        <w:t xml:space="preserve">starejšim občanom </w:t>
      </w:r>
      <w:r w:rsidRPr="29A8477B">
        <w:rPr>
          <w:rFonts w:eastAsiaTheme="minorEastAsia"/>
        </w:rPr>
        <w:t xml:space="preserve">omogočiti </w:t>
      </w:r>
      <w:r w:rsidRPr="29A8477B">
        <w:rPr>
          <w:rFonts w:eastAsiaTheme="minorEastAsia"/>
          <w:b/>
          <w:bCs/>
        </w:rPr>
        <w:t>čim daljše in kvalitetnejše življenje v tretjem življenjskem obdobju</w:t>
      </w:r>
      <w:r w:rsidRPr="29A8477B">
        <w:rPr>
          <w:rFonts w:eastAsiaTheme="minorEastAsia"/>
        </w:rPr>
        <w:t>. Strategija za starejše v Mestni občini Nova Gorica je skladna z Resolucijo o nacionalnem programu socialnega varstva za obdobje 2022–2030 (v nadaljevanju: Resolucija).</w:t>
      </w:r>
    </w:p>
    <w:p w14:paraId="6255091B" w14:textId="782C5480" w:rsidR="1633040D" w:rsidRDefault="278BCBDD" w:rsidP="29A8477B">
      <w:pPr>
        <w:spacing w:after="0" w:line="257" w:lineRule="auto"/>
        <w:rPr>
          <w:rFonts w:eastAsiaTheme="minorEastAsia"/>
        </w:rPr>
      </w:pPr>
      <w:r w:rsidRPr="29A8477B">
        <w:rPr>
          <w:rFonts w:eastAsiaTheme="minorEastAsia"/>
        </w:rPr>
        <w:t xml:space="preserve"> </w:t>
      </w:r>
    </w:p>
    <w:p w14:paraId="69470ED9" w14:textId="7F8410F1" w:rsidR="00F8305A" w:rsidRDefault="278BCBDD" w:rsidP="29A8477B">
      <w:pPr>
        <w:spacing w:after="0" w:line="257" w:lineRule="auto"/>
        <w:rPr>
          <w:rFonts w:eastAsiaTheme="minorEastAsia"/>
        </w:rPr>
      </w:pPr>
      <w:r w:rsidRPr="29A8477B">
        <w:rPr>
          <w:rFonts w:eastAsiaTheme="minorEastAsia"/>
        </w:rPr>
        <w:t xml:space="preserve">Resolucija zasleduje </w:t>
      </w:r>
      <w:r w:rsidRPr="29A8477B">
        <w:rPr>
          <w:rFonts w:eastAsiaTheme="minorEastAsia"/>
          <w:b/>
          <w:bCs/>
        </w:rPr>
        <w:t>splošni cilj</w:t>
      </w:r>
      <w:r w:rsidRPr="29A8477B">
        <w:rPr>
          <w:rFonts w:eastAsiaTheme="minorEastAsia"/>
        </w:rPr>
        <w:t xml:space="preserve">, in sicer izboljšanje kakovosti življenja posameznikov in družin ter krepitev družbene povezanosti, medsebojno solidarnost in socialno vključenost vseh skupin prebivalstva. </w:t>
      </w:r>
    </w:p>
    <w:p w14:paraId="63D5B194" w14:textId="239D4950" w:rsidR="00671680" w:rsidRDefault="278BCBDD" w:rsidP="29A8477B">
      <w:pPr>
        <w:spacing w:after="0" w:line="257" w:lineRule="auto"/>
        <w:rPr>
          <w:rFonts w:eastAsiaTheme="minorEastAsia"/>
        </w:rPr>
      </w:pPr>
      <w:r w:rsidRPr="29A8477B">
        <w:rPr>
          <w:rFonts w:eastAsiaTheme="minorEastAsia"/>
        </w:rPr>
        <w:t xml:space="preserve">Poleg splošnega cilja določata še </w:t>
      </w:r>
      <w:r w:rsidRPr="29A8477B">
        <w:rPr>
          <w:rFonts w:eastAsiaTheme="minorEastAsia"/>
          <w:b/>
          <w:bCs/>
        </w:rPr>
        <w:t>tri ključne cilje</w:t>
      </w:r>
      <w:r w:rsidRPr="29A8477B">
        <w:rPr>
          <w:rFonts w:eastAsiaTheme="minorEastAsia"/>
        </w:rPr>
        <w:t xml:space="preserve">: </w:t>
      </w:r>
    </w:p>
    <w:p w14:paraId="721B8D05" w14:textId="62554564" w:rsidR="1633040D" w:rsidRDefault="278BCBDD" w:rsidP="004A1C14">
      <w:pPr>
        <w:pStyle w:val="Odstavekseznama"/>
        <w:numPr>
          <w:ilvl w:val="0"/>
          <w:numId w:val="29"/>
        </w:numPr>
        <w:spacing w:after="0" w:line="257" w:lineRule="auto"/>
        <w:rPr>
          <w:rFonts w:eastAsiaTheme="minorEastAsia"/>
        </w:rPr>
      </w:pPr>
      <w:r w:rsidRPr="29A8477B">
        <w:rPr>
          <w:rFonts w:eastAsiaTheme="minorEastAsia"/>
        </w:rPr>
        <w:t xml:space="preserve">zmanjšanje tveganja revščine in povečanje socialne vključenosti socialno ogroženih in ljudi, ki živijo v ranljivih situacijah ter kontekstih, </w:t>
      </w:r>
    </w:p>
    <w:p w14:paraId="325E2126" w14:textId="22061A1C" w:rsidR="1633040D" w:rsidRDefault="278BCBDD" w:rsidP="004A1C14">
      <w:pPr>
        <w:pStyle w:val="Odstavekseznama"/>
        <w:numPr>
          <w:ilvl w:val="0"/>
          <w:numId w:val="29"/>
        </w:numPr>
        <w:spacing w:after="0" w:line="257" w:lineRule="auto"/>
        <w:rPr>
          <w:rFonts w:eastAsiaTheme="minorEastAsia"/>
        </w:rPr>
      </w:pPr>
      <w:r w:rsidRPr="29A8477B">
        <w:rPr>
          <w:rFonts w:eastAsiaTheme="minorEastAsia"/>
        </w:rPr>
        <w:t xml:space="preserve">izboljšanje razpoložljivosti in pestrosti ter zagotavljanje dostopnosti in dosegljivosti storitev in programov, </w:t>
      </w:r>
    </w:p>
    <w:p w14:paraId="578140F3" w14:textId="6305FA80" w:rsidR="1633040D" w:rsidRDefault="278BCBDD" w:rsidP="004A1C14">
      <w:pPr>
        <w:pStyle w:val="Odstavekseznama"/>
        <w:numPr>
          <w:ilvl w:val="0"/>
          <w:numId w:val="29"/>
        </w:numPr>
        <w:spacing w:after="0" w:line="257" w:lineRule="auto"/>
        <w:rPr>
          <w:rFonts w:eastAsiaTheme="minorEastAsia"/>
        </w:rPr>
      </w:pPr>
      <w:r w:rsidRPr="29A8477B">
        <w:rPr>
          <w:rFonts w:eastAsiaTheme="minorEastAsia"/>
        </w:rPr>
        <w:t>vzpostavljanje pogojev za delovanje in krepitev kakovosti ter razvoja socialnega varstva.</w:t>
      </w:r>
    </w:p>
    <w:p w14:paraId="157EEF10" w14:textId="60A9C455" w:rsidR="1633040D" w:rsidRDefault="278BCBDD" w:rsidP="29A8477B">
      <w:pPr>
        <w:spacing w:after="0" w:line="257" w:lineRule="auto"/>
        <w:rPr>
          <w:rFonts w:eastAsiaTheme="minorEastAsia"/>
        </w:rPr>
      </w:pPr>
      <w:r w:rsidRPr="29A8477B">
        <w:rPr>
          <w:rFonts w:eastAsiaTheme="minorEastAsia"/>
        </w:rPr>
        <w:t xml:space="preserve"> </w:t>
      </w:r>
    </w:p>
    <w:p w14:paraId="0881EA14" w14:textId="0AE26BD7" w:rsidR="1633040D" w:rsidRDefault="278BCBDD" w:rsidP="29A8477B">
      <w:pPr>
        <w:spacing w:after="0" w:line="257" w:lineRule="auto"/>
        <w:rPr>
          <w:rFonts w:eastAsiaTheme="minorEastAsia"/>
          <w:b/>
          <w:bCs/>
        </w:rPr>
      </w:pPr>
      <w:r w:rsidRPr="29A8477B">
        <w:rPr>
          <w:rFonts w:eastAsiaTheme="minorEastAsia"/>
          <w:b/>
          <w:bCs/>
        </w:rPr>
        <w:t>Prednostne usmeritve in področni cilji:</w:t>
      </w:r>
    </w:p>
    <w:p w14:paraId="04976225" w14:textId="3195AB24" w:rsidR="1633040D" w:rsidRDefault="278BCBDD" w:rsidP="004A1C14">
      <w:pPr>
        <w:pStyle w:val="Odstavekseznama"/>
        <w:numPr>
          <w:ilvl w:val="0"/>
          <w:numId w:val="28"/>
        </w:numPr>
        <w:tabs>
          <w:tab w:val="left" w:pos="0"/>
          <w:tab w:val="left" w:pos="720"/>
        </w:tabs>
        <w:spacing w:after="0" w:line="257" w:lineRule="auto"/>
        <w:rPr>
          <w:rFonts w:eastAsiaTheme="minorEastAsia"/>
        </w:rPr>
      </w:pPr>
      <w:r w:rsidRPr="29A8477B">
        <w:rPr>
          <w:rFonts w:eastAsiaTheme="minorEastAsia"/>
        </w:rPr>
        <w:t xml:space="preserve">Ustvarjanje kakovostnega bivalnega okolja za aktivno staranje </w:t>
      </w:r>
    </w:p>
    <w:p w14:paraId="4B56CCCB" w14:textId="6B506515" w:rsidR="1633040D" w:rsidRDefault="278BCBDD" w:rsidP="004A1C14">
      <w:pPr>
        <w:pStyle w:val="Odstavekseznama"/>
        <w:numPr>
          <w:ilvl w:val="0"/>
          <w:numId w:val="27"/>
        </w:numPr>
        <w:spacing w:after="0" w:line="257" w:lineRule="auto"/>
        <w:ind w:left="1068"/>
        <w:rPr>
          <w:rFonts w:eastAsiaTheme="minorEastAsia"/>
        </w:rPr>
      </w:pPr>
      <w:r w:rsidRPr="29A8477B">
        <w:rPr>
          <w:rFonts w:eastAsiaTheme="minorEastAsia"/>
        </w:rPr>
        <w:t xml:space="preserve">Bivalni in namestitveni objekti </w:t>
      </w:r>
    </w:p>
    <w:p w14:paraId="29F5AB08" w14:textId="0982DFE1" w:rsidR="1633040D" w:rsidRDefault="278BCBDD" w:rsidP="004A1C14">
      <w:pPr>
        <w:pStyle w:val="Odstavekseznama"/>
        <w:numPr>
          <w:ilvl w:val="0"/>
          <w:numId w:val="27"/>
        </w:numPr>
        <w:spacing w:after="0" w:line="257" w:lineRule="auto"/>
        <w:ind w:left="1068"/>
        <w:rPr>
          <w:rFonts w:eastAsiaTheme="minorEastAsia"/>
        </w:rPr>
      </w:pPr>
      <w:r w:rsidRPr="29A8477B">
        <w:rPr>
          <w:rFonts w:eastAsiaTheme="minorEastAsia"/>
        </w:rPr>
        <w:t>Stanovanjski objekti v zasebni lasti in gospodarjenje s stanovanji</w:t>
      </w:r>
    </w:p>
    <w:p w14:paraId="0F35941F" w14:textId="11B29449" w:rsidR="1633040D" w:rsidRDefault="278BCBDD" w:rsidP="004A1C14">
      <w:pPr>
        <w:pStyle w:val="Odstavekseznama"/>
        <w:numPr>
          <w:ilvl w:val="0"/>
          <w:numId w:val="27"/>
        </w:numPr>
        <w:spacing w:after="0" w:line="257" w:lineRule="auto"/>
        <w:ind w:left="1068"/>
        <w:rPr>
          <w:rFonts w:eastAsiaTheme="minorEastAsia"/>
        </w:rPr>
      </w:pPr>
      <w:r w:rsidRPr="29A8477B">
        <w:rPr>
          <w:rFonts w:eastAsiaTheme="minorEastAsia"/>
        </w:rPr>
        <w:lastRenderedPageBreak/>
        <w:t>Objekti za institucionalno varstvo</w:t>
      </w:r>
    </w:p>
    <w:p w14:paraId="06ED14CA" w14:textId="3B484E01" w:rsidR="1633040D" w:rsidRDefault="278BCBDD" w:rsidP="004A1C14">
      <w:pPr>
        <w:pStyle w:val="Odstavekseznama"/>
        <w:numPr>
          <w:ilvl w:val="0"/>
          <w:numId w:val="27"/>
        </w:numPr>
        <w:spacing w:after="0" w:line="257" w:lineRule="auto"/>
        <w:ind w:left="1068"/>
        <w:rPr>
          <w:rFonts w:eastAsiaTheme="minorEastAsia"/>
        </w:rPr>
      </w:pPr>
      <w:r w:rsidRPr="29A8477B">
        <w:rPr>
          <w:rFonts w:eastAsiaTheme="minorEastAsia"/>
        </w:rPr>
        <w:t xml:space="preserve">Zunanje površine, zdravo in ljudem prijazno okolje </w:t>
      </w:r>
    </w:p>
    <w:p w14:paraId="72DF0D49" w14:textId="4A6A4B12" w:rsidR="1633040D" w:rsidRDefault="278BCBDD" w:rsidP="004A1C14">
      <w:pPr>
        <w:pStyle w:val="Odstavekseznama"/>
        <w:numPr>
          <w:ilvl w:val="0"/>
          <w:numId w:val="27"/>
        </w:numPr>
        <w:spacing w:after="0" w:line="257" w:lineRule="auto"/>
        <w:ind w:left="1068"/>
        <w:rPr>
          <w:rFonts w:eastAsiaTheme="minorEastAsia"/>
        </w:rPr>
      </w:pPr>
      <w:r w:rsidRPr="29A8477B">
        <w:rPr>
          <w:rFonts w:eastAsiaTheme="minorEastAsia"/>
        </w:rPr>
        <w:t xml:space="preserve">Mobilnost starejših </w:t>
      </w:r>
    </w:p>
    <w:p w14:paraId="15C266FF" w14:textId="2A166CC8" w:rsidR="1633040D" w:rsidRDefault="278BCBDD" w:rsidP="004A1C14">
      <w:pPr>
        <w:pStyle w:val="Odstavekseznama"/>
        <w:numPr>
          <w:ilvl w:val="0"/>
          <w:numId w:val="26"/>
        </w:numPr>
        <w:tabs>
          <w:tab w:val="left" w:pos="0"/>
          <w:tab w:val="left" w:pos="720"/>
        </w:tabs>
        <w:spacing w:after="0" w:line="257" w:lineRule="auto"/>
        <w:rPr>
          <w:rFonts w:eastAsiaTheme="minorEastAsia"/>
        </w:rPr>
      </w:pPr>
      <w:r w:rsidRPr="29A8477B">
        <w:rPr>
          <w:rFonts w:eastAsiaTheme="minorEastAsia"/>
        </w:rPr>
        <w:t xml:space="preserve">Izboljšanje zdravstvenega stanja starejših oseb </w:t>
      </w:r>
    </w:p>
    <w:p w14:paraId="546579EA" w14:textId="629C0D69" w:rsidR="1633040D" w:rsidRDefault="278BCBDD" w:rsidP="004A1C14">
      <w:pPr>
        <w:pStyle w:val="Odstavekseznama"/>
        <w:numPr>
          <w:ilvl w:val="0"/>
          <w:numId w:val="25"/>
        </w:numPr>
        <w:spacing w:after="0" w:line="257" w:lineRule="auto"/>
        <w:ind w:left="1068"/>
        <w:rPr>
          <w:rFonts w:eastAsiaTheme="minorEastAsia"/>
        </w:rPr>
      </w:pPr>
      <w:r w:rsidRPr="29A8477B">
        <w:rPr>
          <w:rFonts w:eastAsiaTheme="minorEastAsia"/>
        </w:rPr>
        <w:t xml:space="preserve">Izboljšanje zdravstvenega stanja </w:t>
      </w:r>
    </w:p>
    <w:p w14:paraId="4E8BDEB5" w14:textId="4A01C75C" w:rsidR="1633040D" w:rsidRDefault="278BCBDD" w:rsidP="004A1C14">
      <w:pPr>
        <w:pStyle w:val="Odstavekseznama"/>
        <w:numPr>
          <w:ilvl w:val="0"/>
          <w:numId w:val="25"/>
        </w:numPr>
        <w:spacing w:after="0" w:line="257" w:lineRule="auto"/>
        <w:ind w:left="1068"/>
        <w:rPr>
          <w:rFonts w:eastAsiaTheme="minorEastAsia"/>
        </w:rPr>
      </w:pPr>
      <w:r w:rsidRPr="29A8477B">
        <w:rPr>
          <w:rFonts w:eastAsiaTheme="minorEastAsia"/>
        </w:rPr>
        <w:t xml:space="preserve">Povečanje digitalne pismenosti </w:t>
      </w:r>
    </w:p>
    <w:p w14:paraId="7213C698" w14:textId="20D5661C" w:rsidR="1633040D" w:rsidRDefault="278BCBDD" w:rsidP="004A1C14">
      <w:pPr>
        <w:pStyle w:val="Odstavekseznama"/>
        <w:numPr>
          <w:ilvl w:val="0"/>
          <w:numId w:val="24"/>
        </w:numPr>
        <w:tabs>
          <w:tab w:val="left" w:pos="0"/>
          <w:tab w:val="left" w:pos="720"/>
        </w:tabs>
        <w:spacing w:after="0" w:line="257" w:lineRule="auto"/>
        <w:rPr>
          <w:rFonts w:eastAsiaTheme="minorEastAsia"/>
        </w:rPr>
      </w:pPr>
      <w:r w:rsidRPr="29A8477B">
        <w:rPr>
          <w:rFonts w:eastAsiaTheme="minorEastAsia"/>
        </w:rPr>
        <w:t xml:space="preserve">Socialno varstvo in vključevanje starejših v družbeno življenje </w:t>
      </w:r>
    </w:p>
    <w:p w14:paraId="25FAB98F" w14:textId="0598722B" w:rsidR="1633040D" w:rsidRDefault="278BCBDD" w:rsidP="004A1C14">
      <w:pPr>
        <w:pStyle w:val="Odstavekseznama"/>
        <w:numPr>
          <w:ilvl w:val="0"/>
          <w:numId w:val="23"/>
        </w:numPr>
        <w:tabs>
          <w:tab w:val="left" w:pos="0"/>
          <w:tab w:val="left" w:pos="720"/>
        </w:tabs>
        <w:spacing w:after="0" w:line="257" w:lineRule="auto"/>
        <w:rPr>
          <w:rFonts w:eastAsiaTheme="minorEastAsia"/>
        </w:rPr>
      </w:pPr>
      <w:r w:rsidRPr="29A8477B">
        <w:rPr>
          <w:rFonts w:eastAsiaTheme="minorEastAsia"/>
        </w:rPr>
        <w:t xml:space="preserve">Zmanjšanje tveganja revščine </w:t>
      </w:r>
    </w:p>
    <w:p w14:paraId="1594152E" w14:textId="6F487D18" w:rsidR="1633040D" w:rsidRDefault="278BCBDD" w:rsidP="004A1C14">
      <w:pPr>
        <w:pStyle w:val="Odstavekseznama"/>
        <w:numPr>
          <w:ilvl w:val="0"/>
          <w:numId w:val="22"/>
        </w:numPr>
        <w:spacing w:after="0" w:line="257" w:lineRule="auto"/>
        <w:ind w:left="1068"/>
        <w:rPr>
          <w:rFonts w:eastAsiaTheme="minorEastAsia"/>
        </w:rPr>
      </w:pPr>
      <w:r w:rsidRPr="29A8477B">
        <w:rPr>
          <w:rFonts w:eastAsiaTheme="minorEastAsia"/>
        </w:rPr>
        <w:t xml:space="preserve">Prostovoljstvo kot družbena vrednota </w:t>
      </w:r>
    </w:p>
    <w:p w14:paraId="64F8E8F2" w14:textId="6148CF78" w:rsidR="1633040D" w:rsidRDefault="278BCBDD" w:rsidP="004A1C14">
      <w:pPr>
        <w:pStyle w:val="Odstavekseznama"/>
        <w:numPr>
          <w:ilvl w:val="0"/>
          <w:numId w:val="22"/>
        </w:numPr>
        <w:spacing w:after="0" w:line="257" w:lineRule="auto"/>
        <w:ind w:left="1068"/>
        <w:rPr>
          <w:rFonts w:eastAsiaTheme="minorEastAsia"/>
        </w:rPr>
      </w:pPr>
      <w:r w:rsidRPr="29A8477B">
        <w:rPr>
          <w:rFonts w:eastAsiaTheme="minorEastAsia"/>
        </w:rPr>
        <w:t xml:space="preserve">Krepitev solidarnosti in povezanosti med generacijo </w:t>
      </w:r>
    </w:p>
    <w:p w14:paraId="2E483275" w14:textId="1FAA66B1" w:rsidR="1633040D" w:rsidRDefault="278BCBDD" w:rsidP="004A1C14">
      <w:pPr>
        <w:pStyle w:val="Odstavekseznama"/>
        <w:numPr>
          <w:ilvl w:val="0"/>
          <w:numId w:val="22"/>
        </w:numPr>
        <w:spacing w:after="0" w:line="257" w:lineRule="auto"/>
        <w:ind w:left="1068"/>
        <w:rPr>
          <w:rFonts w:eastAsiaTheme="minorEastAsia"/>
        </w:rPr>
      </w:pPr>
      <w:r w:rsidRPr="29A8477B">
        <w:rPr>
          <w:rFonts w:eastAsiaTheme="minorEastAsia"/>
        </w:rPr>
        <w:t xml:space="preserve">Humanitarno čezmejno delovanje </w:t>
      </w:r>
    </w:p>
    <w:p w14:paraId="4313483C" w14:textId="49D4F030" w:rsidR="1633040D" w:rsidRPr="00F8305A" w:rsidRDefault="278BCBDD" w:rsidP="004A1C14">
      <w:pPr>
        <w:pStyle w:val="Odstavekseznama"/>
        <w:numPr>
          <w:ilvl w:val="0"/>
          <w:numId w:val="22"/>
        </w:numPr>
        <w:spacing w:after="0" w:line="257" w:lineRule="auto"/>
        <w:ind w:left="1068"/>
        <w:rPr>
          <w:rFonts w:eastAsiaTheme="minorEastAsia"/>
        </w:rPr>
      </w:pPr>
      <w:r w:rsidRPr="29A8477B">
        <w:rPr>
          <w:rFonts w:eastAsiaTheme="minorEastAsia"/>
        </w:rPr>
        <w:t xml:space="preserve">Informiranje in ozaveščanje starejših o možnih pomočeh </w:t>
      </w:r>
    </w:p>
    <w:p w14:paraId="32114219" w14:textId="171E92E0" w:rsidR="1633040D" w:rsidRDefault="59705353" w:rsidP="00F8305A">
      <w:pPr>
        <w:pStyle w:val="Naslov3"/>
        <w:spacing w:before="240" w:after="120"/>
        <w:rPr>
          <w:rFonts w:eastAsiaTheme="minorEastAsia" w:cstheme="minorBidi"/>
          <w:b/>
          <w:bCs/>
          <w:i/>
          <w:iCs/>
          <w:sz w:val="22"/>
          <w:szCs w:val="22"/>
        </w:rPr>
      </w:pPr>
      <w:bookmarkStart w:id="81" w:name="_Toc239414921"/>
      <w:r w:rsidRPr="29A8477B">
        <w:t xml:space="preserve">3 </w:t>
      </w:r>
      <w:r w:rsidR="278BCBDD" w:rsidRPr="29A8477B">
        <w:t>Strokovne podlage za novo generacijo prostorskih aktov</w:t>
      </w:r>
      <w:bookmarkEnd w:id="81"/>
    </w:p>
    <w:p w14:paraId="0C8AD015" w14:textId="2391397E" w:rsidR="1633040D" w:rsidRDefault="284230D5" w:rsidP="00F8305A">
      <w:pPr>
        <w:pStyle w:val="Naslov4"/>
        <w:spacing w:before="240" w:after="120"/>
        <w:rPr>
          <w:rFonts w:eastAsiaTheme="minorEastAsia" w:cstheme="minorBidi"/>
          <w:b/>
          <w:bCs/>
        </w:rPr>
      </w:pPr>
      <w:r w:rsidRPr="29A8477B">
        <w:t xml:space="preserve">3.1 </w:t>
      </w:r>
      <w:r w:rsidR="278BCBDD" w:rsidRPr="29A8477B">
        <w:t>Poročilo o prostorskem razvoju Mestne občine Nova Gorica, november 2021</w:t>
      </w:r>
    </w:p>
    <w:p w14:paraId="7FC65EC9" w14:textId="166A4AB2" w:rsidR="1633040D" w:rsidRDefault="278BCBDD" w:rsidP="00F8305A">
      <w:pPr>
        <w:spacing w:line="257" w:lineRule="auto"/>
        <w:jc w:val="both"/>
        <w:rPr>
          <w:rFonts w:eastAsiaTheme="minorEastAsia"/>
        </w:rPr>
      </w:pPr>
      <w:r w:rsidRPr="29A8477B">
        <w:rPr>
          <w:rFonts w:eastAsiaTheme="minorEastAsia"/>
        </w:rPr>
        <w:t xml:space="preserve">Na podlagi Zakona o urejanju prostora je poročilo o prostorskem razvoju podlaga za pripravo izhodišč in sklepa za pričetek sprememb in dopolnitev novih prostorskih aktov občine. Pri tem zakon občine obvezuje, da morajo poročilo o prostorskem razvoju pripraviti vsake 4 leta, s čemer se vsaj okvirno vzpostavlja sistem spremljanja stanja v prostoru. Vsebine, ki jih mora poročila o prostorskem razvoju vsebovati so zakonsko opredeljene. </w:t>
      </w:r>
    </w:p>
    <w:p w14:paraId="1E70F069" w14:textId="51F3B211" w:rsidR="1633040D" w:rsidRDefault="278BCBDD" w:rsidP="00F8305A">
      <w:pPr>
        <w:spacing w:line="257" w:lineRule="auto"/>
        <w:jc w:val="both"/>
        <w:rPr>
          <w:rFonts w:eastAsiaTheme="minorEastAsia"/>
        </w:rPr>
      </w:pPr>
      <w:r w:rsidRPr="29A8477B">
        <w:rPr>
          <w:rFonts w:eastAsiaTheme="minorEastAsia"/>
        </w:rPr>
        <w:t xml:space="preserve">Cilj poročila je bil izdelati ničelno poročilo o stanju v prostoru na podlagi stanja v prostoru ter veljavnih prostorskih aktov in glede na opredelitve, cilje in ukrepe iz nadrejenih evropskih, državnih in regijskih strategij, programov in drugih aktov ter sektorskih planov. </w:t>
      </w:r>
    </w:p>
    <w:p w14:paraId="2A4AEBC4" w14:textId="32F4FCB5" w:rsidR="1633040D" w:rsidRDefault="278BCBDD" w:rsidP="00F8305A">
      <w:pPr>
        <w:spacing w:after="0" w:line="257" w:lineRule="auto"/>
        <w:jc w:val="both"/>
        <w:rPr>
          <w:rFonts w:eastAsiaTheme="minorEastAsia"/>
        </w:rPr>
      </w:pPr>
      <w:r w:rsidRPr="29A8477B">
        <w:rPr>
          <w:rFonts w:eastAsiaTheme="minorEastAsia"/>
        </w:rPr>
        <w:t xml:space="preserve">Poročilo prostorskega razvoja občine obsega poglavja analize in ocene stanja v prostoru po štirih temeljnih sklopih. Ti so nadalje razdeljeni na več vsebinskih področjih pomembnih za analizo stanja in teženj oziroma oceno prostorskega razvoja občine: </w:t>
      </w:r>
    </w:p>
    <w:p w14:paraId="77729160" w14:textId="129DC6C3" w:rsidR="1633040D" w:rsidRDefault="278BCBDD" w:rsidP="00F8305A">
      <w:pPr>
        <w:spacing w:after="0" w:line="257" w:lineRule="auto"/>
        <w:jc w:val="both"/>
        <w:rPr>
          <w:rFonts w:eastAsiaTheme="minorEastAsia"/>
        </w:rPr>
      </w:pPr>
      <w:r w:rsidRPr="29A8477B">
        <w:rPr>
          <w:rFonts w:eastAsiaTheme="minorEastAsia"/>
        </w:rPr>
        <w:t xml:space="preserve">1. Poselitev </w:t>
      </w:r>
    </w:p>
    <w:p w14:paraId="1CD6A974" w14:textId="2FF6A28B" w:rsidR="1633040D" w:rsidRDefault="278BCBDD" w:rsidP="004A1C14">
      <w:pPr>
        <w:pStyle w:val="Odstavekseznama"/>
        <w:numPr>
          <w:ilvl w:val="0"/>
          <w:numId w:val="21"/>
        </w:numPr>
        <w:spacing w:after="0" w:line="257" w:lineRule="auto"/>
        <w:ind w:left="709"/>
        <w:jc w:val="both"/>
        <w:rPr>
          <w:rFonts w:eastAsiaTheme="minorEastAsia"/>
        </w:rPr>
      </w:pPr>
      <w:r w:rsidRPr="29A8477B">
        <w:rPr>
          <w:rFonts w:eastAsiaTheme="minorEastAsia"/>
        </w:rPr>
        <w:t xml:space="preserve">Demografija </w:t>
      </w:r>
    </w:p>
    <w:p w14:paraId="37F7A91B" w14:textId="108EB4C6" w:rsidR="1633040D" w:rsidRDefault="278BCBDD" w:rsidP="004A1C14">
      <w:pPr>
        <w:pStyle w:val="Odstavekseznama"/>
        <w:numPr>
          <w:ilvl w:val="0"/>
          <w:numId w:val="21"/>
        </w:numPr>
        <w:spacing w:after="0" w:line="257" w:lineRule="auto"/>
        <w:ind w:left="709"/>
        <w:jc w:val="both"/>
        <w:rPr>
          <w:rFonts w:eastAsiaTheme="minorEastAsia"/>
        </w:rPr>
      </w:pPr>
      <w:r w:rsidRPr="29A8477B">
        <w:rPr>
          <w:rFonts w:eastAsiaTheme="minorEastAsia"/>
        </w:rPr>
        <w:t xml:space="preserve">Gospodarstvo </w:t>
      </w:r>
    </w:p>
    <w:p w14:paraId="7606E6BD" w14:textId="22092F94" w:rsidR="1633040D" w:rsidRDefault="278BCBDD" w:rsidP="004A1C14">
      <w:pPr>
        <w:pStyle w:val="Odstavekseznama"/>
        <w:numPr>
          <w:ilvl w:val="0"/>
          <w:numId w:val="21"/>
        </w:numPr>
        <w:spacing w:after="0" w:line="257" w:lineRule="auto"/>
        <w:ind w:left="709"/>
        <w:jc w:val="both"/>
        <w:rPr>
          <w:rFonts w:eastAsiaTheme="minorEastAsia"/>
        </w:rPr>
      </w:pPr>
      <w:r w:rsidRPr="29A8477B">
        <w:rPr>
          <w:rFonts w:eastAsiaTheme="minorEastAsia"/>
        </w:rPr>
        <w:t xml:space="preserve">Centralne dejavnosti </w:t>
      </w:r>
    </w:p>
    <w:p w14:paraId="426AA5D9" w14:textId="26A1E6A1" w:rsidR="1633040D" w:rsidRDefault="278BCBDD" w:rsidP="004A1C14">
      <w:pPr>
        <w:pStyle w:val="Odstavekseznama"/>
        <w:numPr>
          <w:ilvl w:val="0"/>
          <w:numId w:val="21"/>
        </w:numPr>
        <w:spacing w:after="0" w:line="257" w:lineRule="auto"/>
        <w:ind w:left="709"/>
        <w:jc w:val="both"/>
        <w:rPr>
          <w:rFonts w:eastAsiaTheme="minorEastAsia"/>
        </w:rPr>
      </w:pPr>
      <w:r w:rsidRPr="29A8477B">
        <w:rPr>
          <w:rFonts w:eastAsiaTheme="minorEastAsia"/>
        </w:rPr>
        <w:t xml:space="preserve">Naselja in razpršena poselitev </w:t>
      </w:r>
    </w:p>
    <w:p w14:paraId="11A8F8C3" w14:textId="44E614DF" w:rsidR="1633040D" w:rsidRDefault="278BCBDD" w:rsidP="00F8305A">
      <w:pPr>
        <w:spacing w:after="0" w:line="257" w:lineRule="auto"/>
        <w:jc w:val="both"/>
        <w:rPr>
          <w:rFonts w:eastAsiaTheme="minorEastAsia"/>
        </w:rPr>
      </w:pPr>
      <w:r w:rsidRPr="29A8477B">
        <w:rPr>
          <w:rFonts w:eastAsiaTheme="minorEastAsia"/>
        </w:rPr>
        <w:t xml:space="preserve">2. Krajina in varstvo naravnih virov </w:t>
      </w:r>
    </w:p>
    <w:p w14:paraId="48316107" w14:textId="1C950C5B" w:rsidR="1633040D" w:rsidRDefault="278BCBDD" w:rsidP="004A1C14">
      <w:pPr>
        <w:pStyle w:val="Odstavekseznama"/>
        <w:numPr>
          <w:ilvl w:val="0"/>
          <w:numId w:val="21"/>
        </w:numPr>
        <w:spacing w:after="0" w:line="257" w:lineRule="auto"/>
        <w:ind w:left="709"/>
        <w:jc w:val="both"/>
        <w:rPr>
          <w:rFonts w:eastAsiaTheme="minorEastAsia"/>
        </w:rPr>
      </w:pPr>
      <w:r w:rsidRPr="29A8477B">
        <w:rPr>
          <w:rFonts w:eastAsiaTheme="minorEastAsia"/>
        </w:rPr>
        <w:t xml:space="preserve">Kulturna krajina </w:t>
      </w:r>
    </w:p>
    <w:p w14:paraId="10FBDEE4" w14:textId="052175ED" w:rsidR="00F8305A" w:rsidRPr="00F8305A" w:rsidRDefault="73DF5FA5" w:rsidP="004A1C14">
      <w:pPr>
        <w:pStyle w:val="Odstavekseznama"/>
        <w:numPr>
          <w:ilvl w:val="0"/>
          <w:numId w:val="21"/>
        </w:numPr>
        <w:spacing w:after="0" w:line="257" w:lineRule="auto"/>
        <w:ind w:left="709"/>
        <w:jc w:val="both"/>
        <w:rPr>
          <w:rFonts w:eastAsiaTheme="minorEastAsia"/>
        </w:rPr>
      </w:pPr>
      <w:r w:rsidRPr="23C3E973">
        <w:rPr>
          <w:rFonts w:eastAsiaTheme="minorEastAsia"/>
        </w:rPr>
        <w:t xml:space="preserve">Ohranjanje narave </w:t>
      </w:r>
    </w:p>
    <w:p w14:paraId="4E7A2879" w14:textId="2983FEE4" w:rsidR="1633040D" w:rsidRDefault="278BCBDD" w:rsidP="004A1C14">
      <w:pPr>
        <w:pStyle w:val="Odstavekseznama"/>
        <w:numPr>
          <w:ilvl w:val="0"/>
          <w:numId w:val="21"/>
        </w:numPr>
        <w:spacing w:after="0" w:line="257" w:lineRule="auto"/>
        <w:ind w:left="709"/>
        <w:jc w:val="both"/>
        <w:rPr>
          <w:rFonts w:eastAsiaTheme="minorEastAsia"/>
        </w:rPr>
      </w:pPr>
      <w:r w:rsidRPr="29A8477B">
        <w:rPr>
          <w:rFonts w:eastAsiaTheme="minorEastAsia"/>
        </w:rPr>
        <w:t xml:space="preserve">Varstvo kulturne dediščine </w:t>
      </w:r>
    </w:p>
    <w:p w14:paraId="0BC3487E" w14:textId="5F345D0E" w:rsidR="1633040D" w:rsidRDefault="278BCBDD" w:rsidP="004A1C14">
      <w:pPr>
        <w:pStyle w:val="Odstavekseznama"/>
        <w:numPr>
          <w:ilvl w:val="0"/>
          <w:numId w:val="21"/>
        </w:numPr>
        <w:spacing w:after="0" w:line="257" w:lineRule="auto"/>
        <w:ind w:left="709"/>
        <w:jc w:val="both"/>
        <w:rPr>
          <w:rFonts w:eastAsiaTheme="minorEastAsia"/>
        </w:rPr>
      </w:pPr>
      <w:r w:rsidRPr="29A8477B">
        <w:rPr>
          <w:rFonts w:eastAsiaTheme="minorEastAsia"/>
        </w:rPr>
        <w:t xml:space="preserve">Varstvo kmetijskih zemljišč </w:t>
      </w:r>
    </w:p>
    <w:p w14:paraId="23A4EE81" w14:textId="49407319" w:rsidR="1633040D" w:rsidRDefault="278BCBDD" w:rsidP="004A1C14">
      <w:pPr>
        <w:pStyle w:val="Odstavekseznama"/>
        <w:numPr>
          <w:ilvl w:val="0"/>
          <w:numId w:val="21"/>
        </w:numPr>
        <w:spacing w:after="0" w:line="257" w:lineRule="auto"/>
        <w:ind w:left="709"/>
        <w:jc w:val="both"/>
        <w:rPr>
          <w:rFonts w:eastAsiaTheme="minorEastAsia"/>
        </w:rPr>
      </w:pPr>
      <w:r w:rsidRPr="29A8477B">
        <w:rPr>
          <w:rFonts w:eastAsiaTheme="minorEastAsia"/>
        </w:rPr>
        <w:t xml:space="preserve">Varovanje in funkcije gozdov </w:t>
      </w:r>
    </w:p>
    <w:p w14:paraId="6C3FBD49" w14:textId="51B5F786" w:rsidR="1633040D" w:rsidRDefault="278BCBDD" w:rsidP="004A1C14">
      <w:pPr>
        <w:pStyle w:val="Odstavekseznama"/>
        <w:numPr>
          <w:ilvl w:val="0"/>
          <w:numId w:val="21"/>
        </w:numPr>
        <w:spacing w:after="0" w:line="257" w:lineRule="auto"/>
        <w:ind w:left="709"/>
        <w:jc w:val="both"/>
        <w:rPr>
          <w:rFonts w:eastAsiaTheme="minorEastAsia"/>
        </w:rPr>
      </w:pPr>
      <w:r w:rsidRPr="29A8477B">
        <w:rPr>
          <w:rFonts w:eastAsiaTheme="minorEastAsia"/>
        </w:rPr>
        <w:t xml:space="preserve">Varstvo vodnih virov </w:t>
      </w:r>
    </w:p>
    <w:p w14:paraId="026B09C5" w14:textId="42ABAEEE" w:rsidR="1633040D" w:rsidRDefault="278BCBDD" w:rsidP="004A1C14">
      <w:pPr>
        <w:pStyle w:val="Odstavekseznama"/>
        <w:numPr>
          <w:ilvl w:val="0"/>
          <w:numId w:val="21"/>
        </w:numPr>
        <w:spacing w:after="0" w:line="257" w:lineRule="auto"/>
        <w:ind w:left="709"/>
        <w:jc w:val="both"/>
        <w:rPr>
          <w:rFonts w:eastAsiaTheme="minorEastAsia"/>
        </w:rPr>
      </w:pPr>
      <w:r w:rsidRPr="29A8477B">
        <w:rPr>
          <w:rFonts w:eastAsiaTheme="minorEastAsia"/>
        </w:rPr>
        <w:t xml:space="preserve">Vodna in priobalna zemljišča </w:t>
      </w:r>
    </w:p>
    <w:p w14:paraId="6F717529" w14:textId="5764A09D" w:rsidR="1633040D" w:rsidRDefault="278BCBDD" w:rsidP="004A1C14">
      <w:pPr>
        <w:pStyle w:val="Odstavekseznama"/>
        <w:numPr>
          <w:ilvl w:val="0"/>
          <w:numId w:val="21"/>
        </w:numPr>
        <w:spacing w:after="0" w:line="257" w:lineRule="auto"/>
        <w:ind w:left="709"/>
        <w:jc w:val="both"/>
        <w:rPr>
          <w:rFonts w:eastAsiaTheme="minorEastAsia"/>
        </w:rPr>
      </w:pPr>
      <w:r w:rsidRPr="29A8477B">
        <w:rPr>
          <w:rFonts w:eastAsiaTheme="minorEastAsia"/>
        </w:rPr>
        <w:t xml:space="preserve">Varstvo drugih naravnih virov </w:t>
      </w:r>
    </w:p>
    <w:p w14:paraId="6980EE9C" w14:textId="31319E2F" w:rsidR="1633040D" w:rsidRDefault="278BCBDD" w:rsidP="004A1C14">
      <w:pPr>
        <w:pStyle w:val="Odstavekseznama"/>
        <w:numPr>
          <w:ilvl w:val="0"/>
          <w:numId w:val="21"/>
        </w:numPr>
        <w:spacing w:after="0" w:line="257" w:lineRule="auto"/>
        <w:ind w:left="709"/>
        <w:jc w:val="both"/>
        <w:rPr>
          <w:rFonts w:eastAsiaTheme="minorEastAsia"/>
        </w:rPr>
      </w:pPr>
      <w:r w:rsidRPr="29A8477B">
        <w:rPr>
          <w:rFonts w:eastAsiaTheme="minorEastAsia"/>
        </w:rPr>
        <w:t xml:space="preserve">Varstvo pred naravnimi nesrečami </w:t>
      </w:r>
    </w:p>
    <w:p w14:paraId="11F458C7" w14:textId="35B1F25D" w:rsidR="1633040D" w:rsidRDefault="278BCBDD" w:rsidP="00F8305A">
      <w:pPr>
        <w:spacing w:after="0" w:line="257" w:lineRule="auto"/>
        <w:jc w:val="both"/>
        <w:rPr>
          <w:rFonts w:eastAsiaTheme="minorEastAsia"/>
        </w:rPr>
      </w:pPr>
      <w:r w:rsidRPr="29A8477B">
        <w:rPr>
          <w:rFonts w:eastAsiaTheme="minorEastAsia"/>
        </w:rPr>
        <w:t xml:space="preserve">3. Obvezna občinska gospodarska javna infrastruktura </w:t>
      </w:r>
    </w:p>
    <w:p w14:paraId="5F9C12B3" w14:textId="1A4CD3B7" w:rsidR="1633040D" w:rsidRDefault="278BCBDD" w:rsidP="004A1C14">
      <w:pPr>
        <w:pStyle w:val="Odstavekseznama"/>
        <w:numPr>
          <w:ilvl w:val="0"/>
          <w:numId w:val="21"/>
        </w:numPr>
        <w:spacing w:after="0" w:line="257" w:lineRule="auto"/>
        <w:ind w:left="709"/>
        <w:jc w:val="both"/>
        <w:rPr>
          <w:rFonts w:eastAsiaTheme="minorEastAsia"/>
        </w:rPr>
      </w:pPr>
      <w:r w:rsidRPr="29A8477B">
        <w:rPr>
          <w:rFonts w:eastAsiaTheme="minorEastAsia"/>
        </w:rPr>
        <w:t xml:space="preserve">Prometna infrastruktura </w:t>
      </w:r>
    </w:p>
    <w:p w14:paraId="0BEE3A93" w14:textId="2DD89360" w:rsidR="1633040D" w:rsidRDefault="278BCBDD" w:rsidP="004A1C14">
      <w:pPr>
        <w:pStyle w:val="Odstavekseznama"/>
        <w:numPr>
          <w:ilvl w:val="0"/>
          <w:numId w:val="21"/>
        </w:numPr>
        <w:spacing w:after="0" w:line="257" w:lineRule="auto"/>
        <w:ind w:left="709"/>
        <w:jc w:val="both"/>
        <w:rPr>
          <w:rFonts w:eastAsiaTheme="minorEastAsia"/>
        </w:rPr>
      </w:pPr>
      <w:proofErr w:type="spellStart"/>
      <w:r w:rsidRPr="29A8477B">
        <w:rPr>
          <w:rFonts w:eastAsiaTheme="minorEastAsia"/>
        </w:rPr>
        <w:t>Vodooskrba</w:t>
      </w:r>
      <w:proofErr w:type="spellEnd"/>
      <w:r w:rsidRPr="29A8477B">
        <w:rPr>
          <w:rFonts w:eastAsiaTheme="minorEastAsia"/>
        </w:rPr>
        <w:t xml:space="preserve"> </w:t>
      </w:r>
    </w:p>
    <w:p w14:paraId="6D2523B4" w14:textId="47D74E51" w:rsidR="1633040D" w:rsidRDefault="278BCBDD" w:rsidP="004A1C14">
      <w:pPr>
        <w:pStyle w:val="Odstavekseznama"/>
        <w:numPr>
          <w:ilvl w:val="0"/>
          <w:numId w:val="21"/>
        </w:numPr>
        <w:spacing w:after="0" w:line="257" w:lineRule="auto"/>
        <w:ind w:left="709"/>
        <w:jc w:val="both"/>
        <w:rPr>
          <w:rFonts w:eastAsiaTheme="minorEastAsia"/>
        </w:rPr>
      </w:pPr>
      <w:r w:rsidRPr="29A8477B">
        <w:rPr>
          <w:rFonts w:eastAsiaTheme="minorEastAsia"/>
        </w:rPr>
        <w:lastRenderedPageBreak/>
        <w:t xml:space="preserve">Odvajanje in čiščenje odpadnih vod </w:t>
      </w:r>
    </w:p>
    <w:p w14:paraId="1408EBDB" w14:textId="0ED50E1F" w:rsidR="1633040D" w:rsidRDefault="278BCBDD" w:rsidP="004A1C14">
      <w:pPr>
        <w:pStyle w:val="Odstavekseznama"/>
        <w:numPr>
          <w:ilvl w:val="0"/>
          <w:numId w:val="21"/>
        </w:numPr>
        <w:spacing w:after="0" w:line="257" w:lineRule="auto"/>
        <w:ind w:left="709"/>
        <w:jc w:val="both"/>
        <w:rPr>
          <w:rFonts w:eastAsiaTheme="minorEastAsia"/>
        </w:rPr>
      </w:pPr>
      <w:r w:rsidRPr="29A8477B">
        <w:rPr>
          <w:rFonts w:eastAsiaTheme="minorEastAsia"/>
        </w:rPr>
        <w:t xml:space="preserve">Energetska infrastruktura </w:t>
      </w:r>
    </w:p>
    <w:p w14:paraId="6C8A88B5" w14:textId="0DC32831" w:rsidR="1633040D" w:rsidRDefault="278BCBDD" w:rsidP="004A1C14">
      <w:pPr>
        <w:pStyle w:val="Odstavekseznama"/>
        <w:numPr>
          <w:ilvl w:val="0"/>
          <w:numId w:val="21"/>
        </w:numPr>
        <w:spacing w:after="0" w:line="257" w:lineRule="auto"/>
        <w:ind w:left="709"/>
        <w:jc w:val="both"/>
        <w:rPr>
          <w:rFonts w:eastAsiaTheme="minorEastAsia"/>
        </w:rPr>
      </w:pPr>
      <w:r w:rsidRPr="29A8477B">
        <w:rPr>
          <w:rFonts w:eastAsiaTheme="minorEastAsia"/>
        </w:rPr>
        <w:t xml:space="preserve">Telekomunikacijska infrastruktura </w:t>
      </w:r>
    </w:p>
    <w:p w14:paraId="1EF9A671" w14:textId="51BE0CA7" w:rsidR="1633040D" w:rsidRDefault="278BCBDD" w:rsidP="00F8305A">
      <w:pPr>
        <w:spacing w:after="0" w:line="257" w:lineRule="auto"/>
        <w:jc w:val="both"/>
        <w:rPr>
          <w:rFonts w:eastAsiaTheme="minorEastAsia"/>
        </w:rPr>
      </w:pPr>
      <w:r w:rsidRPr="29A8477B">
        <w:rPr>
          <w:rFonts w:eastAsiaTheme="minorEastAsia"/>
        </w:rPr>
        <w:t xml:space="preserve">4. Zemljiška politika </w:t>
      </w:r>
    </w:p>
    <w:p w14:paraId="37175A25" w14:textId="4B5CD037" w:rsidR="1633040D" w:rsidRDefault="278BCBDD" w:rsidP="004A1C14">
      <w:pPr>
        <w:pStyle w:val="Odstavekseznama"/>
        <w:numPr>
          <w:ilvl w:val="0"/>
          <w:numId w:val="21"/>
        </w:numPr>
        <w:spacing w:after="0" w:line="257" w:lineRule="auto"/>
        <w:ind w:left="709"/>
        <w:jc w:val="both"/>
        <w:rPr>
          <w:rFonts w:eastAsiaTheme="minorEastAsia"/>
        </w:rPr>
      </w:pPr>
      <w:r w:rsidRPr="29A8477B">
        <w:rPr>
          <w:rFonts w:eastAsiaTheme="minorEastAsia"/>
        </w:rPr>
        <w:t xml:space="preserve">Komunalni prispevek </w:t>
      </w:r>
    </w:p>
    <w:p w14:paraId="6C95C1D7" w14:textId="7DAB4995" w:rsidR="1633040D" w:rsidRDefault="278BCBDD" w:rsidP="004A1C14">
      <w:pPr>
        <w:pStyle w:val="Odstavekseznama"/>
        <w:numPr>
          <w:ilvl w:val="0"/>
          <w:numId w:val="21"/>
        </w:numPr>
        <w:spacing w:after="0" w:line="257" w:lineRule="auto"/>
        <w:ind w:left="709"/>
        <w:jc w:val="both"/>
        <w:rPr>
          <w:rFonts w:eastAsiaTheme="minorEastAsia"/>
        </w:rPr>
      </w:pPr>
      <w:r w:rsidRPr="29A8477B">
        <w:rPr>
          <w:rFonts w:eastAsiaTheme="minorEastAsia"/>
        </w:rPr>
        <w:t xml:space="preserve">Nadomestilo za uporabo stavbnega zemljišča </w:t>
      </w:r>
    </w:p>
    <w:p w14:paraId="2F89B20F" w14:textId="112AB9D3" w:rsidR="1633040D" w:rsidRDefault="278BCBDD" w:rsidP="00F8305A">
      <w:pPr>
        <w:spacing w:after="0" w:line="257" w:lineRule="auto"/>
        <w:jc w:val="both"/>
        <w:rPr>
          <w:rFonts w:eastAsiaTheme="minorEastAsia"/>
        </w:rPr>
      </w:pPr>
      <w:r w:rsidRPr="29A8477B">
        <w:rPr>
          <w:rFonts w:eastAsiaTheme="minorEastAsia"/>
        </w:rPr>
        <w:t xml:space="preserve"> </w:t>
      </w:r>
    </w:p>
    <w:p w14:paraId="4728BA00" w14:textId="45A5FD3F" w:rsidR="1633040D" w:rsidRDefault="278BCBDD" w:rsidP="00F8305A">
      <w:pPr>
        <w:spacing w:line="257" w:lineRule="auto"/>
        <w:jc w:val="both"/>
        <w:rPr>
          <w:rFonts w:eastAsiaTheme="minorEastAsia"/>
        </w:rPr>
      </w:pPr>
      <w:r w:rsidRPr="29A8477B">
        <w:rPr>
          <w:rFonts w:eastAsiaTheme="minorEastAsia"/>
        </w:rPr>
        <w:t xml:space="preserve">V osnovi je poročilo sestavljeno iz pregleda strateških ciljev države, regije in občine, ki so pomembni za prostorski razvoj občine, analize stanja in teženj, vrednotenja stanja v odnosu do zastavljenih ciljev občine po posameznih področjih. Izvedena je podrobna analiza izvajanja občinskih prostorskih aktov (predvsem analiza sprejetih in veljavnih izvedbenih občinskih prostorskih aktov (OPN, OPPN, PPIP). Pri tem pa so podane usmeritve in priporočila za pripravo strokovnih podlag in za nadgradnjo veljavnih prostorskih aktov občine (predvsem identifikacija ključnih problemov v prostoru, usmeritve za pripravo novih ali posodobitev obstoječih strokovnih podlag za posamična vsebinska področja). </w:t>
      </w:r>
    </w:p>
    <w:p w14:paraId="0A576658" w14:textId="730632A9" w:rsidR="1633040D" w:rsidRDefault="278BCBDD" w:rsidP="00F8305A">
      <w:pPr>
        <w:spacing w:line="257" w:lineRule="auto"/>
        <w:jc w:val="both"/>
        <w:rPr>
          <w:rFonts w:eastAsiaTheme="minorEastAsia"/>
        </w:rPr>
      </w:pPr>
      <w:r w:rsidRPr="29A8477B">
        <w:rPr>
          <w:rFonts w:eastAsiaTheme="minorEastAsia"/>
        </w:rPr>
        <w:t xml:space="preserve">V analizi stanja in trendov je bila izdelana tudi primerjava z izbranimi primerljivimi oz. konkurenčnimi občinami, ki so bile izbrane na podlagi več kriterijev, kot so: statistični kazalniki (prebivalstvo, zaposlenost, višina plač, gostota cestnega omrežja, indeks delovne mobilnosti, pozidane površine na prebivalca, stanovanja, gradbena dovoljenja, itd.), geografska lega, vloga občine oz. Mesta v omrežju naselij na državni ravni, regijska pripadnost in bližina državne meje ter zaposlitvenih središč v tujini, glede na oddaljenost od večjih razvojnih središč, predvsem Ljubljane in drugih nacionalnih središč, število naselij in poselitvena tipologija. Izbrane občine za primerjavo, potrjene tudi s strani MONG so bile: občina Ajdovščina, Mestna občina Koper, Mestna občina Kranj, Mestna občina Novo mesto, Mestna občine Murska Sobota, Občina Postojna, Občina Sežana, Mestna občina Slovenj Gradec, Občina Šempeter - Vrtojba. </w:t>
      </w:r>
    </w:p>
    <w:p w14:paraId="4C44FC46" w14:textId="240D4BEC" w:rsidR="00F8305A" w:rsidRPr="00F8305A" w:rsidRDefault="278BCBDD" w:rsidP="00F8305A">
      <w:pPr>
        <w:spacing w:line="257" w:lineRule="auto"/>
        <w:jc w:val="both"/>
        <w:rPr>
          <w:rFonts w:eastAsiaTheme="minorEastAsia"/>
        </w:rPr>
      </w:pPr>
      <w:r w:rsidRPr="29A8477B">
        <w:rPr>
          <w:rFonts w:eastAsiaTheme="minorEastAsia"/>
        </w:rPr>
        <w:t xml:space="preserve">Del poročila je tudi poglavje, ki ozemlje Mestne občine Nova Gorica obravnava kot enoto čezmejnega središča, </w:t>
      </w:r>
      <w:proofErr w:type="spellStart"/>
      <w:r w:rsidRPr="29A8477B">
        <w:rPr>
          <w:rFonts w:eastAsiaTheme="minorEastAsia"/>
        </w:rPr>
        <w:t>somestje</w:t>
      </w:r>
      <w:proofErr w:type="spellEnd"/>
      <w:r w:rsidRPr="29A8477B">
        <w:rPr>
          <w:rFonts w:eastAsiaTheme="minorEastAsia"/>
        </w:rPr>
        <w:t xml:space="preserve"> Nove Gorice, Gorice in Šempetra-Vrtojbe, zato je bila v analizo vključena še Goriška pokrajina (ital. </w:t>
      </w:r>
      <w:proofErr w:type="spellStart"/>
      <w:r w:rsidRPr="29A8477B">
        <w:rPr>
          <w:rFonts w:eastAsiaTheme="minorEastAsia"/>
        </w:rPr>
        <w:t>Provincia</w:t>
      </w:r>
      <w:proofErr w:type="spellEnd"/>
      <w:r w:rsidRPr="29A8477B">
        <w:rPr>
          <w:rFonts w:eastAsiaTheme="minorEastAsia"/>
        </w:rPr>
        <w:t xml:space="preserve"> di Gorizia), kot prostorska enota širšega območja čezmejnega </w:t>
      </w:r>
      <w:proofErr w:type="spellStart"/>
      <w:r w:rsidRPr="29A8477B">
        <w:rPr>
          <w:rFonts w:eastAsiaTheme="minorEastAsia"/>
        </w:rPr>
        <w:t>somestja</w:t>
      </w:r>
      <w:proofErr w:type="spellEnd"/>
      <w:r w:rsidRPr="29A8477B">
        <w:rPr>
          <w:rFonts w:eastAsiaTheme="minorEastAsia"/>
        </w:rPr>
        <w:t xml:space="preserve"> ter občina Gorica (ital. Comune di Gorizia), kot prostorska enota ožjega območja obravnave. </w:t>
      </w:r>
    </w:p>
    <w:p w14:paraId="3C13C62C" w14:textId="57F77B60" w:rsidR="1633040D" w:rsidRDefault="278BCBDD" w:rsidP="00F8305A">
      <w:pPr>
        <w:spacing w:before="240" w:after="120" w:line="257" w:lineRule="auto"/>
        <w:rPr>
          <w:rFonts w:eastAsiaTheme="minorEastAsia"/>
          <w:b/>
          <w:bCs/>
        </w:rPr>
      </w:pPr>
      <w:r w:rsidRPr="29A8477B">
        <w:rPr>
          <w:rFonts w:eastAsiaTheme="minorEastAsia"/>
          <w:b/>
          <w:bCs/>
        </w:rPr>
        <w:t>Povzetek analize in ocene stanja po temeljnih sklopih</w:t>
      </w:r>
    </w:p>
    <w:p w14:paraId="358BA707" w14:textId="46BF15B4" w:rsidR="1633040D" w:rsidRDefault="278BCBDD" w:rsidP="29A8477B">
      <w:pPr>
        <w:spacing w:line="257" w:lineRule="auto"/>
        <w:rPr>
          <w:rFonts w:eastAsiaTheme="minorEastAsia"/>
          <w:b/>
          <w:bCs/>
        </w:rPr>
      </w:pPr>
      <w:r w:rsidRPr="29A8477B">
        <w:rPr>
          <w:rFonts w:eastAsiaTheme="minorEastAsia"/>
          <w:b/>
          <w:bCs/>
        </w:rPr>
        <w:t>Demografija</w:t>
      </w:r>
    </w:p>
    <w:p w14:paraId="02779F25" w14:textId="78656261" w:rsidR="00F8305A" w:rsidRDefault="278BCBDD" w:rsidP="00F8305A">
      <w:pPr>
        <w:spacing w:line="257" w:lineRule="auto"/>
        <w:jc w:val="both"/>
        <w:rPr>
          <w:rFonts w:eastAsiaTheme="minorEastAsia"/>
        </w:rPr>
      </w:pPr>
      <w:r w:rsidRPr="29A8477B">
        <w:rPr>
          <w:rFonts w:eastAsiaTheme="minorEastAsia"/>
        </w:rPr>
        <w:t xml:space="preserve">Mestna občina Nova Gorica se sooča z izrazitimi demografskimi izzivi, saj število prebivalcev dolgoročno upada, prebivalstvo pa se hitro stara. Kljub rahlemu prirastu zaradi priseljevanja iz tujine je bilo leta 2020 v občini manj prebivalcev kot leta 2010. Negativni naravni prirast, upad števila rojstev in odseljevanje, zlasti mladih, poslabšujejo starostno strukturo prebivalstva, kar se kaže v nadpovprečni starosti prebivalcev, visokem deležu starejših ter naraščajočem indeksu staranja. Posebej zaskrbljujoč </w:t>
      </w:r>
    </w:p>
    <w:p w14:paraId="320F77EC" w14:textId="4FDA3D89" w:rsidR="1633040D" w:rsidRDefault="278BCBDD" w:rsidP="00F8305A">
      <w:pPr>
        <w:spacing w:line="257" w:lineRule="auto"/>
        <w:jc w:val="both"/>
        <w:rPr>
          <w:rFonts w:eastAsiaTheme="minorEastAsia"/>
        </w:rPr>
      </w:pPr>
      <w:r w:rsidRPr="29A8477B">
        <w:rPr>
          <w:rFonts w:eastAsiaTheme="minorEastAsia"/>
        </w:rPr>
        <w:t>je upad števila otrok, zato bo za ohranitev demografske vitalnosti občine potrebno spremljanje trendov ter ukrepi za izboljšanje zaposlitvenih, stanovanjskih in bivalnih pogojev. Znotraj občine so opazne tudi prostorske razlike, saj prebivalstvo upada predvsem v severnem zaledju in nekaterih osrednjih naseljih, medtem ko rast beležijo nekatera okoliška naselja z bolj kakovostnim bivalnim okoljem.</w:t>
      </w:r>
    </w:p>
    <w:p w14:paraId="4D505C6A" w14:textId="44B28B19" w:rsidR="1633040D" w:rsidRDefault="278BCBDD" w:rsidP="00F8305A">
      <w:pPr>
        <w:spacing w:line="257" w:lineRule="auto"/>
        <w:jc w:val="both"/>
        <w:rPr>
          <w:rFonts w:eastAsiaTheme="minorEastAsia"/>
          <w:b/>
          <w:bCs/>
        </w:rPr>
      </w:pPr>
      <w:r w:rsidRPr="29A8477B">
        <w:rPr>
          <w:rFonts w:eastAsiaTheme="minorEastAsia"/>
          <w:b/>
          <w:bCs/>
        </w:rPr>
        <w:t>Gospodarstvo</w:t>
      </w:r>
    </w:p>
    <w:p w14:paraId="1E585A52" w14:textId="3EE792D1" w:rsidR="1633040D" w:rsidRDefault="278BCBDD" w:rsidP="00F8305A">
      <w:pPr>
        <w:spacing w:line="257" w:lineRule="auto"/>
        <w:jc w:val="both"/>
        <w:rPr>
          <w:rFonts w:eastAsiaTheme="minorEastAsia"/>
        </w:rPr>
      </w:pPr>
      <w:r w:rsidRPr="29A8477B">
        <w:rPr>
          <w:rFonts w:eastAsiaTheme="minorEastAsia"/>
        </w:rPr>
        <w:t xml:space="preserve">Mestna občina Nova Gorica ostaja pomembno regionalno zaposlitveno središče z več delovnimi mesti kot delovno aktivnimi prebivalci, vendar njen gospodarski pomen v zadnjih letih nekoliko upada. Po </w:t>
      </w:r>
      <w:r w:rsidRPr="29A8477B">
        <w:rPr>
          <w:rFonts w:eastAsiaTheme="minorEastAsia"/>
        </w:rPr>
        <w:lastRenderedPageBreak/>
        <w:t>posledicah gospodarske krize in epidemije gospodarstvo stagnira, čeprav ostaja stopnja delovne aktivnosti visoka, brezposelnost pa se zmanjšuje. Gospodarska struktura je raznolika, z večjim poudarkom na storitvenih dejavnostih, vendar občini primanjkuje izrazite nosilne gospodarske panoge. Pozitivni trendi se kažejo v rasti števila podjetij in samostojnih podjetnikov, medtem ko plače ostajajo nekoliko pod slovenskim povprečjem. Občina ima pomembno vlogo pri dnevnih delovnih migracijah iz širše regije, hkrati pa so razpoložljive površine za gospodarski razvoj že večinoma zapolnjene, zato bo za nadaljnji razvoj ključnega pomena zagotavljanje novih poslovnih območij in delovnih mest z višjo dodano vrednostjo. Turizem predstavlja dodatno razvojno priložnost, zlasti na področju igralniškega, športno-rekreacijskega in sonaravnega turizma, čeprav ga je epidemija močno prizadela.</w:t>
      </w:r>
    </w:p>
    <w:p w14:paraId="79E132F3" w14:textId="42C32697" w:rsidR="1633040D" w:rsidRDefault="278BCBDD" w:rsidP="00F8305A">
      <w:pPr>
        <w:spacing w:line="257" w:lineRule="auto"/>
        <w:jc w:val="both"/>
        <w:rPr>
          <w:rFonts w:eastAsiaTheme="minorEastAsia"/>
          <w:b/>
          <w:bCs/>
        </w:rPr>
      </w:pPr>
      <w:r w:rsidRPr="29A8477B">
        <w:rPr>
          <w:rFonts w:eastAsiaTheme="minorEastAsia"/>
          <w:b/>
          <w:bCs/>
        </w:rPr>
        <w:t xml:space="preserve">Centralne dejavnosti </w:t>
      </w:r>
    </w:p>
    <w:p w14:paraId="1887B8B2" w14:textId="2F0F26EF" w:rsidR="1633040D" w:rsidRDefault="278BCBDD" w:rsidP="00F8305A">
      <w:pPr>
        <w:spacing w:line="257" w:lineRule="auto"/>
        <w:jc w:val="both"/>
        <w:rPr>
          <w:rFonts w:eastAsiaTheme="minorEastAsia"/>
        </w:rPr>
      </w:pPr>
      <w:r w:rsidRPr="29A8477B">
        <w:rPr>
          <w:rFonts w:eastAsiaTheme="minorEastAsia"/>
        </w:rPr>
        <w:t>Omrežje naselij in centralnih funkcij v Mestni občini Nova Gorica je načeloma ustrezno razvito, pri čemer kot osrednje središče izrazito izstopa Nova Gorica z dobro razvitimi oskrbnimi, storitvenimi in upravnimi dejavnostmi. Medtem se opremljenost z osnovnimi funkcijami v zalednih in podeželskih naseljih postopoma zmanjšuje, zato bo v prihodnje pomembno ohranjati obstoječo raven storitev ter izboljševati športno-rekreacijsko in zeleno infrastrukturo. Na področju predšolskega in osnovnošolskega izobraževanja so zmogljivosti trenutno zadostne in glede na demografske trende niso pričakovane večje potrebe po širitvah. Večje izzive predstavlja skrb za starejše, saj obstoječi kapaciteti domov za starejše zaradi staranja prebivalstva in širšega regionalnega povpraševanja ne zadostujeta v celoti, zato bo v prihodnje potrebno povečanje zmogljivosti in prilagoditev oskrbe potrebam vse številčnejše starejše populacije.</w:t>
      </w:r>
    </w:p>
    <w:p w14:paraId="7C6C2AF2" w14:textId="18BB0FB8" w:rsidR="1633040D" w:rsidRDefault="278BCBDD" w:rsidP="00F8305A">
      <w:pPr>
        <w:spacing w:line="257" w:lineRule="auto"/>
        <w:jc w:val="both"/>
        <w:rPr>
          <w:rFonts w:eastAsiaTheme="minorEastAsia"/>
          <w:b/>
          <w:bCs/>
        </w:rPr>
      </w:pPr>
      <w:r w:rsidRPr="29A8477B">
        <w:rPr>
          <w:rFonts w:eastAsiaTheme="minorEastAsia"/>
          <w:b/>
          <w:bCs/>
        </w:rPr>
        <w:t xml:space="preserve">Naselja in razpršena poselitev </w:t>
      </w:r>
    </w:p>
    <w:p w14:paraId="59F6B991" w14:textId="2FDDA93F" w:rsidR="00FE0FD5" w:rsidRDefault="73DF5FA5" w:rsidP="23C3E973">
      <w:pPr>
        <w:spacing w:line="257" w:lineRule="auto"/>
        <w:jc w:val="both"/>
        <w:rPr>
          <w:rFonts w:eastAsiaTheme="minorEastAsia"/>
        </w:rPr>
      </w:pPr>
      <w:r w:rsidRPr="23C3E973">
        <w:rPr>
          <w:rFonts w:eastAsiaTheme="minorEastAsia"/>
        </w:rPr>
        <w:t>Analiza poselitve kaže, da je prostorski razvoj Mestne občine Nova Gorica v splošnem usklajen z zastavljenimi cilji, pri čemer prevladujejo stanovanjske površine, pomemben delež pa zavzemajo tudi centralne dejavnosti, zelene površine in infrastruktura. Poselitev je pretežno skoncentrirana v osrednjem urbanem območju Nove Gorice, Kromberka in Solkana, kjer se nahaja tudi največ prostih stavbnih zemljišč. Kljub obstoječim rezervam je nepozidanih zemljišč razmeroma malo, zlasti za razvoj centralnih in proizvodnih dejavnosti, kar lahko predstavlja omejitev za nadaljnji gospodarski razvoj. Občina ima sicer še določene možnosti za stanovanjsko gradnjo, vendar je ključni izziv aktivacija obstoječih prostorskih rezerv in njihova boljša razporeditev glede na razvojne potrebe. Analiza zato izpostavlja potrebo po prilagoditvah prostorskega načrtovanja, zagotavljanju novih površin za razvoj ter vzpostavitvi stalnega spremljanja poselitvenih trendov kot podlage za dolgoročno usmerjanje prostorskega razvoja občine.</w:t>
      </w:r>
    </w:p>
    <w:p w14:paraId="39FB19A3" w14:textId="639B7832" w:rsidR="1633040D" w:rsidRDefault="278BCBDD" w:rsidP="00F8305A">
      <w:pPr>
        <w:spacing w:line="257" w:lineRule="auto"/>
        <w:jc w:val="both"/>
        <w:rPr>
          <w:rFonts w:eastAsiaTheme="minorEastAsia"/>
          <w:b/>
          <w:bCs/>
        </w:rPr>
      </w:pPr>
      <w:r w:rsidRPr="29A8477B">
        <w:rPr>
          <w:rFonts w:eastAsiaTheme="minorEastAsia"/>
          <w:b/>
          <w:bCs/>
        </w:rPr>
        <w:t>Krajina in varstvo naravnih virov</w:t>
      </w:r>
    </w:p>
    <w:p w14:paraId="782A3D7D" w14:textId="56D3F345" w:rsidR="00F8305A" w:rsidRDefault="278BCBDD" w:rsidP="00F8305A">
      <w:pPr>
        <w:spacing w:line="257" w:lineRule="auto"/>
        <w:jc w:val="both"/>
        <w:rPr>
          <w:rFonts w:eastAsiaTheme="minorEastAsia"/>
        </w:rPr>
      </w:pPr>
      <w:r w:rsidRPr="29A8477B">
        <w:rPr>
          <w:rFonts w:eastAsiaTheme="minorEastAsia"/>
        </w:rPr>
        <w:t xml:space="preserve">Prostor Mestne občine Nova Gorica zaznamujejo številni varstveni režimi, ki hkrati predstavljajo omejitve za razvoj in priložnosti za trajnostno rabo prostora. Analiza kaže, da se raba prostora razmeroma intenzivno spreminja, vendar spremembe zaenkrat ne povzročajo bistvenih posegov v </w:t>
      </w:r>
    </w:p>
    <w:p w14:paraId="0D6E9E4F" w14:textId="66EEF497" w:rsidR="1633040D" w:rsidRDefault="278BCBDD" w:rsidP="00F8305A">
      <w:pPr>
        <w:spacing w:line="257" w:lineRule="auto"/>
        <w:jc w:val="both"/>
        <w:rPr>
          <w:rFonts w:eastAsiaTheme="minorEastAsia"/>
        </w:rPr>
      </w:pPr>
      <w:r w:rsidRPr="29A8477B">
        <w:rPr>
          <w:rFonts w:eastAsiaTheme="minorEastAsia"/>
        </w:rPr>
        <w:t xml:space="preserve">podobo kulturne krajine. Opazno je predvsem prestrukturiranje kmetijskih površin in trajnih nasadov, medtem ko večjega opuščanja kmetijske dejavnosti ni zaznati. Pomemben delež občinskega ozemlja je vključen v režime varstva narave, kmetijskih zemljišč, vodnih virov in območij požarne ogroženosti, kar pomembno vpliva na prostorsko načrtovanje. Občina mora zato pri nadaljnjem razvoju zagotavljati usklajevanje razvojnih potreb z varstvenimi zahtevami, preprečevati nepremišljene posege v prostor, </w:t>
      </w:r>
      <w:r w:rsidRPr="29A8477B">
        <w:rPr>
          <w:rFonts w:eastAsiaTheme="minorEastAsia"/>
        </w:rPr>
        <w:lastRenderedPageBreak/>
        <w:t>ohranjati kulturno krajino ter dosledno upoštevati omejitve, povezane z varovanimi območji, poplavno ogroženostjo in vodnimi zemljišči.</w:t>
      </w:r>
    </w:p>
    <w:p w14:paraId="12112647" w14:textId="7E0EC882" w:rsidR="1633040D" w:rsidRDefault="278BCBDD" w:rsidP="29A8477B">
      <w:pPr>
        <w:spacing w:line="257" w:lineRule="auto"/>
        <w:rPr>
          <w:rFonts w:eastAsiaTheme="minorEastAsia"/>
          <w:b/>
          <w:bCs/>
        </w:rPr>
      </w:pPr>
      <w:r w:rsidRPr="29A8477B">
        <w:rPr>
          <w:rFonts w:eastAsiaTheme="minorEastAsia"/>
          <w:b/>
          <w:bCs/>
        </w:rPr>
        <w:t>Obvezna občinska gospodarska javna infrastruktura</w:t>
      </w:r>
    </w:p>
    <w:p w14:paraId="4D9D86E4" w14:textId="3155C9CB" w:rsidR="1633040D" w:rsidRDefault="278BCBDD" w:rsidP="00F8305A">
      <w:pPr>
        <w:spacing w:line="257" w:lineRule="auto"/>
        <w:jc w:val="both"/>
        <w:rPr>
          <w:rFonts w:eastAsiaTheme="minorEastAsia"/>
        </w:rPr>
      </w:pPr>
      <w:r w:rsidRPr="29A8477B">
        <w:rPr>
          <w:rFonts w:eastAsiaTheme="minorEastAsia"/>
        </w:rPr>
        <w:t>Stanje komunalne opremljenosti v Mestni občini Nova Gorica je na splošno dobro, vendar zaradi razpršene poselitve občina nosi razmeroma visoke stroške izgradnje in vzdrževanja gospodarske javne infrastrukture. Analiza ugotavlja, da načrtovanje komunalne opreme ni dovolj povezano s prostorskim načrtovanjem in razvojem stavbnih zemljišč, čeprav bi moralo slednje predstavljati temelj za načrte opremljanja in izvajanje zemljiške politike. Prav tako se podrobno načrtovanje z občinskimi podrobnimi prostorskimi načrti izvaja le delno. Za učinkovitejši prostorski razvoj bi bilo potrebno tesneje povezati strateško in izvedbeno načrtovanje komunalne infrastrukture s prostorskim planiranjem ter zagotoviti zadostne zaloge vnaprej pripravljenih in komunalno opremljenih stavbnih zemljišč, kar bi predstavljalo pomembno razvojno in konkurenčno prednost občine.</w:t>
      </w:r>
    </w:p>
    <w:p w14:paraId="75D636C2" w14:textId="0F249CEE" w:rsidR="1633040D" w:rsidRDefault="278BCBDD" w:rsidP="00F8305A">
      <w:pPr>
        <w:spacing w:line="257" w:lineRule="auto"/>
        <w:jc w:val="both"/>
        <w:rPr>
          <w:rFonts w:eastAsiaTheme="minorEastAsia"/>
          <w:b/>
          <w:bCs/>
        </w:rPr>
      </w:pPr>
      <w:r w:rsidRPr="29A8477B">
        <w:rPr>
          <w:rFonts w:eastAsiaTheme="minorEastAsia"/>
          <w:b/>
          <w:bCs/>
        </w:rPr>
        <w:t>Zemljiška politika</w:t>
      </w:r>
    </w:p>
    <w:p w14:paraId="30B017C3" w14:textId="67BE1762" w:rsidR="1706C59B" w:rsidRPr="00261917" w:rsidRDefault="278BCBDD" w:rsidP="1706C59B">
      <w:pPr>
        <w:spacing w:line="257" w:lineRule="auto"/>
        <w:jc w:val="both"/>
      </w:pPr>
      <w:r w:rsidRPr="1706C59B">
        <w:rPr>
          <w:rFonts w:eastAsiaTheme="minorEastAsia"/>
        </w:rPr>
        <w:t>Na področju finančnih ukrepov zemljiške politike Mestna občina Nova Gorica uporablja različne instrumente, pri čemer analiza izpostavlja predvsem komunalni prispevek in nadomestilo za uporabo stavbnega zemljišča (NUSZ). Višina komunalnega prispevka je ocenjena kot ustrezna, vendar ostaja vprašanje, ali v celoti zagotavlja finančno vzdržnost komunalnega opremljanja, saj predstavlja enega ključnih namenskih virov za razvoj infrastrukture. Hkrati bi ga občina lahko učinkoviteje uporabljala tudi kot instrument usmerjanja prostorskega razvoja. Analiza NUSZ kaže, da so obremenitve za stanovanjske in poslovne površine v primerjavi s podobnimi mestnimi občinami razmeroma nizke, kar lahko spodbuja priseljevanje prebivalcev in gospodarsko dejavnost, vendar zmanjšuje prihodkovni potencial občine. Zato je smiselno, da občina višino NUSZ ponovno preuči z vidika svojih razvojnih ciljev, konkurenčnosti gospodarstva ter učinkovitega izvajanja zemljiške politike.</w:t>
      </w:r>
    </w:p>
    <w:p w14:paraId="27853B04" w14:textId="60BDBB24" w:rsidR="1633040D" w:rsidRPr="00F679B4" w:rsidRDefault="00F679B4" w:rsidP="00F679B4">
      <w:pPr>
        <w:pStyle w:val="Naslov4"/>
        <w:spacing w:before="240" w:after="120"/>
      </w:pPr>
      <w:r>
        <w:t>3.2</w:t>
      </w:r>
      <w:r w:rsidRPr="00F679B4">
        <w:t xml:space="preserve"> </w:t>
      </w:r>
      <w:r w:rsidR="278BCBDD" w:rsidRPr="00F679B4">
        <w:t>Analiza in simulacija demografskega razvoja za pripravo strateških in razvojnih dokumentov Mestne občine Nova Gorica, september 2024</w:t>
      </w:r>
    </w:p>
    <w:p w14:paraId="450C6E18" w14:textId="37D772FF" w:rsidR="1706C59B" w:rsidRPr="00261917" w:rsidRDefault="278BCBDD" w:rsidP="1706C59B">
      <w:pPr>
        <w:spacing w:line="257" w:lineRule="auto"/>
        <w:jc w:val="both"/>
      </w:pPr>
      <w:r w:rsidRPr="1706C59B">
        <w:rPr>
          <w:rFonts w:eastAsiaTheme="minorEastAsia"/>
        </w:rPr>
        <w:t>Analiza demografskega razvoja na ravni Goriške regije, območja nekdanje občine Nova Gorica in Mestne občine Nova Gorica kaže na dolgoročne trende zmanjševanja števila prebivalcev, staranja prebivalstva ter upadanja deleža delovno aktivnih. Kljub temu da priseljevanje, predvsem iz tujine, deloma blaži negativni naravni prirast, projekcije do leta 2050 napovedujejo nadaljnji upad prebivalstva, ocenjen na približno 10 %, ter izrazito zmanjšanje delovno aktivnega prebivalstva. Analiza potrjuje tudi velike razlike med občinami in posameznimi krajevnimi skupnostmi, kjer nekatera območja še beležijo rast, medtem ko se predvsem podeželska in težje dostopna območja praznijo. Hkrati se v vseh analiziranih območjih povečuje delež starejšega prebivalstva, zlasti starejših od 75 let, kar bo pomembno vplivalo na potrebe po storitvah in infrastrukturi. Ugotovitve poudarjajo nujnost načrtovanja razvojnih in prostorskih ukrepov na podrobnejši lokalni ravni, saj občinska povprečja pogosto prikrivajo izrazite razlike med posameznimi naselji in krajevnimi skupnostmi.</w:t>
      </w:r>
    </w:p>
    <w:p w14:paraId="4EF7CC64" w14:textId="0F243C82" w:rsidR="1633040D" w:rsidRPr="00F679B4" w:rsidRDefault="00F679B4" w:rsidP="00E169DA">
      <w:pPr>
        <w:pStyle w:val="Naslov4"/>
        <w:spacing w:before="240" w:after="120"/>
      </w:pPr>
      <w:r>
        <w:t>3.3</w:t>
      </w:r>
      <w:r w:rsidRPr="00F679B4">
        <w:t xml:space="preserve"> </w:t>
      </w:r>
      <w:r w:rsidR="278BCBDD" w:rsidRPr="00F679B4">
        <w:t>Analiza ključnih gospodarskih sektorjev, november 2024</w:t>
      </w:r>
    </w:p>
    <w:p w14:paraId="4B241E51" w14:textId="3E59B71C" w:rsidR="1633040D" w:rsidRDefault="278BCBDD" w:rsidP="00F8305A">
      <w:pPr>
        <w:spacing w:line="257" w:lineRule="auto"/>
        <w:jc w:val="both"/>
        <w:rPr>
          <w:rFonts w:eastAsiaTheme="minorEastAsia"/>
        </w:rPr>
      </w:pPr>
      <w:r w:rsidRPr="29A8477B">
        <w:rPr>
          <w:rFonts w:eastAsiaTheme="minorEastAsia"/>
        </w:rPr>
        <w:t xml:space="preserve">Analiza ključnih gospodarskih sektorjev Mestne občine Nova Gorica (MONG), ki jo je novembra 2024 pripravila Severno Primorska gospodarska zbornica, predstavlja podlago za pripravo strateških usmeritev gospodarskega razvoja Goriške do leta 2030. Namen raziskave je bil pridobiti poglobljen vpogled v trenutno stanje gospodarstva, ključne razvojne ovire, potrebe podjetij in potenciale za rast. </w:t>
      </w:r>
      <w:r w:rsidRPr="29A8477B">
        <w:rPr>
          <w:rFonts w:eastAsiaTheme="minorEastAsia"/>
        </w:rPr>
        <w:lastRenderedPageBreak/>
        <w:t>Ugotovitve naj bi služile kot osnova za pripravo razvojnih programov, prostorskega načrtovanja, investicijske politike ter ukrepov za izboljšanje poslovnega okolja.</w:t>
      </w:r>
    </w:p>
    <w:p w14:paraId="7E0D2B7D" w14:textId="52F957BC" w:rsidR="1633040D" w:rsidRDefault="278BCBDD" w:rsidP="00F8305A">
      <w:pPr>
        <w:spacing w:line="257" w:lineRule="auto"/>
        <w:jc w:val="both"/>
        <w:rPr>
          <w:rFonts w:eastAsiaTheme="minorEastAsia"/>
        </w:rPr>
      </w:pPr>
      <w:r w:rsidRPr="29A8477B">
        <w:rPr>
          <w:rFonts w:eastAsiaTheme="minorEastAsia"/>
        </w:rPr>
        <w:t>Raziskava temelji na spletni anketi, izvedeni med avgustom in septembrom 2024, v kateri je sodelovalo 61 podjetij različnih velikosti in dejavnosti. Čeprav vzorec ni popolnoma reprezentativen, daje dober vpogled v razmišljanja in potrebe podjetij, ki delujejo na območju Goriške.</w:t>
      </w:r>
    </w:p>
    <w:p w14:paraId="4C6F33CF" w14:textId="0AF6EB08" w:rsidR="1633040D" w:rsidRDefault="278BCBDD" w:rsidP="00F8305A">
      <w:pPr>
        <w:spacing w:before="240" w:after="120" w:line="257" w:lineRule="auto"/>
        <w:rPr>
          <w:rFonts w:eastAsiaTheme="minorEastAsia"/>
          <w:b/>
          <w:bCs/>
        </w:rPr>
      </w:pPr>
      <w:r w:rsidRPr="29A8477B">
        <w:rPr>
          <w:rFonts w:eastAsiaTheme="minorEastAsia"/>
          <w:b/>
          <w:bCs/>
        </w:rPr>
        <w:t>Struktura gospodarstva</w:t>
      </w:r>
    </w:p>
    <w:p w14:paraId="15D75763" w14:textId="25C7455D" w:rsidR="1633040D" w:rsidRDefault="278BCBDD" w:rsidP="00F8305A">
      <w:pPr>
        <w:spacing w:after="0" w:line="257" w:lineRule="auto"/>
        <w:jc w:val="both"/>
        <w:rPr>
          <w:rFonts w:eastAsiaTheme="minorEastAsia"/>
        </w:rPr>
      </w:pPr>
      <w:r w:rsidRPr="29A8477B">
        <w:rPr>
          <w:rFonts w:eastAsiaTheme="minorEastAsia"/>
        </w:rPr>
        <w:t xml:space="preserve">Anketa potrjuje, da gospodarstvo Goriške temelji predvsem na </w:t>
      </w:r>
      <w:proofErr w:type="spellStart"/>
      <w:r w:rsidRPr="29A8477B">
        <w:rPr>
          <w:rFonts w:eastAsiaTheme="minorEastAsia"/>
        </w:rPr>
        <w:t>mikro</w:t>
      </w:r>
      <w:proofErr w:type="spellEnd"/>
      <w:r w:rsidRPr="29A8477B">
        <w:rPr>
          <w:rFonts w:eastAsiaTheme="minorEastAsia"/>
        </w:rPr>
        <w:t xml:space="preserve"> in malih podjetjih:</w:t>
      </w:r>
    </w:p>
    <w:p w14:paraId="133539B8" w14:textId="01A387AD" w:rsidR="1633040D" w:rsidRDefault="278BCBDD" w:rsidP="004A1C14">
      <w:pPr>
        <w:pStyle w:val="Odstavekseznama"/>
        <w:numPr>
          <w:ilvl w:val="0"/>
          <w:numId w:val="20"/>
        </w:numPr>
        <w:tabs>
          <w:tab w:val="left" w:pos="0"/>
          <w:tab w:val="left" w:pos="720"/>
        </w:tabs>
        <w:spacing w:after="0" w:line="257" w:lineRule="auto"/>
        <w:jc w:val="both"/>
        <w:rPr>
          <w:rFonts w:eastAsiaTheme="minorEastAsia"/>
        </w:rPr>
      </w:pPr>
      <w:r w:rsidRPr="29A8477B">
        <w:rPr>
          <w:rFonts w:eastAsiaTheme="minorEastAsia"/>
        </w:rPr>
        <w:t>59 % podjetij ima do 10 zaposlenih,</w:t>
      </w:r>
    </w:p>
    <w:p w14:paraId="7816CBC4" w14:textId="3B091A3F" w:rsidR="1633040D" w:rsidRDefault="278BCBDD" w:rsidP="004A1C14">
      <w:pPr>
        <w:pStyle w:val="Odstavekseznama"/>
        <w:numPr>
          <w:ilvl w:val="0"/>
          <w:numId w:val="20"/>
        </w:numPr>
        <w:tabs>
          <w:tab w:val="left" w:pos="0"/>
          <w:tab w:val="left" w:pos="720"/>
        </w:tabs>
        <w:spacing w:after="0" w:line="257" w:lineRule="auto"/>
        <w:jc w:val="both"/>
        <w:rPr>
          <w:rFonts w:eastAsiaTheme="minorEastAsia"/>
        </w:rPr>
      </w:pPr>
      <w:r w:rsidRPr="29A8477B">
        <w:rPr>
          <w:rFonts w:eastAsiaTheme="minorEastAsia"/>
        </w:rPr>
        <w:t>33 % jih zaposluje med 11 in 50 oseb,</w:t>
      </w:r>
    </w:p>
    <w:p w14:paraId="335B363E" w14:textId="0AF8C966" w:rsidR="1633040D" w:rsidRDefault="278BCBDD" w:rsidP="004A1C14">
      <w:pPr>
        <w:pStyle w:val="Odstavekseznama"/>
        <w:numPr>
          <w:ilvl w:val="0"/>
          <w:numId w:val="20"/>
        </w:numPr>
        <w:tabs>
          <w:tab w:val="left" w:pos="0"/>
          <w:tab w:val="left" w:pos="720"/>
        </w:tabs>
        <w:spacing w:after="0" w:line="257" w:lineRule="auto"/>
        <w:jc w:val="both"/>
        <w:rPr>
          <w:rFonts w:eastAsiaTheme="minorEastAsia"/>
        </w:rPr>
      </w:pPr>
      <w:r w:rsidRPr="29A8477B">
        <w:rPr>
          <w:rFonts w:eastAsiaTheme="minorEastAsia"/>
        </w:rPr>
        <w:t>le 8 % podjetij je srednje velikih.</w:t>
      </w:r>
    </w:p>
    <w:p w14:paraId="63D1162F" w14:textId="63793F60" w:rsidR="1633040D" w:rsidRDefault="278BCBDD" w:rsidP="00F8305A">
      <w:pPr>
        <w:spacing w:after="0" w:line="257" w:lineRule="auto"/>
        <w:ind w:left="720"/>
        <w:jc w:val="both"/>
        <w:rPr>
          <w:rFonts w:eastAsiaTheme="minorEastAsia"/>
        </w:rPr>
      </w:pPr>
      <w:r w:rsidRPr="29A8477B">
        <w:rPr>
          <w:rFonts w:eastAsiaTheme="minorEastAsia"/>
        </w:rPr>
        <w:t xml:space="preserve"> </w:t>
      </w:r>
    </w:p>
    <w:p w14:paraId="6A474668" w14:textId="159459CE" w:rsidR="1633040D" w:rsidRDefault="278BCBDD" w:rsidP="00F8305A">
      <w:pPr>
        <w:spacing w:line="257" w:lineRule="auto"/>
        <w:jc w:val="both"/>
        <w:rPr>
          <w:rFonts w:eastAsiaTheme="minorEastAsia"/>
        </w:rPr>
      </w:pPr>
      <w:r w:rsidRPr="29A8477B">
        <w:rPr>
          <w:rFonts w:eastAsiaTheme="minorEastAsia"/>
        </w:rPr>
        <w:t>Večina anketiranih podjetij ustvarja relativno skromne dobičke, saj jih 66 % dosega do 50.000 EUR letnega dobička. Gospodarska struktura je raznolika, med pogosteje zastopanimi dejavnostmi pa so informacijske tehnologije, trgovina, gostinstvo, gradbeništvo in različne storitvene dejavnosti.</w:t>
      </w:r>
    </w:p>
    <w:p w14:paraId="75BB4B0C" w14:textId="515376A8" w:rsidR="1633040D" w:rsidRDefault="278BCBDD" w:rsidP="00F8305A">
      <w:pPr>
        <w:spacing w:before="240" w:after="120" w:line="257" w:lineRule="auto"/>
        <w:rPr>
          <w:rFonts w:eastAsiaTheme="minorEastAsia"/>
          <w:b/>
          <w:bCs/>
        </w:rPr>
      </w:pPr>
      <w:r w:rsidRPr="29A8477B">
        <w:rPr>
          <w:rFonts w:eastAsiaTheme="minorEastAsia"/>
          <w:b/>
          <w:bCs/>
        </w:rPr>
        <w:t>Trenutno stanje gospodarstva</w:t>
      </w:r>
    </w:p>
    <w:p w14:paraId="1F5434AF" w14:textId="740159D6" w:rsidR="1633040D" w:rsidRDefault="278BCBDD" w:rsidP="00F8305A">
      <w:pPr>
        <w:spacing w:after="0" w:line="257" w:lineRule="auto"/>
        <w:jc w:val="both"/>
        <w:rPr>
          <w:rFonts w:eastAsiaTheme="minorEastAsia"/>
        </w:rPr>
      </w:pPr>
      <w:r w:rsidRPr="29A8477B">
        <w:rPr>
          <w:rFonts w:eastAsiaTheme="minorEastAsia"/>
        </w:rPr>
        <w:t>Podjetja svoje poslovanje večinoma ocenjujejo pozitivno:</w:t>
      </w:r>
    </w:p>
    <w:p w14:paraId="4E76DA7B" w14:textId="42460DF4" w:rsidR="1633040D" w:rsidRDefault="278BCBDD" w:rsidP="004A1C14">
      <w:pPr>
        <w:pStyle w:val="Odstavekseznama"/>
        <w:numPr>
          <w:ilvl w:val="0"/>
          <w:numId w:val="19"/>
        </w:numPr>
        <w:tabs>
          <w:tab w:val="left" w:pos="0"/>
          <w:tab w:val="left" w:pos="720"/>
        </w:tabs>
        <w:spacing w:after="0" w:line="257" w:lineRule="auto"/>
        <w:jc w:val="both"/>
        <w:rPr>
          <w:rFonts w:eastAsiaTheme="minorEastAsia"/>
        </w:rPr>
      </w:pPr>
      <w:r w:rsidRPr="29A8477B">
        <w:rPr>
          <w:rFonts w:eastAsiaTheme="minorEastAsia"/>
        </w:rPr>
        <w:t>59 % ga ocenjuje kot dobro ali zelo dobro,</w:t>
      </w:r>
    </w:p>
    <w:p w14:paraId="38778DC2" w14:textId="5BED445D" w:rsidR="1633040D" w:rsidRDefault="278BCBDD" w:rsidP="004A1C14">
      <w:pPr>
        <w:pStyle w:val="Odstavekseznama"/>
        <w:numPr>
          <w:ilvl w:val="0"/>
          <w:numId w:val="19"/>
        </w:numPr>
        <w:tabs>
          <w:tab w:val="left" w:pos="0"/>
          <w:tab w:val="left" w:pos="720"/>
        </w:tabs>
        <w:spacing w:after="0" w:line="257" w:lineRule="auto"/>
        <w:jc w:val="both"/>
        <w:rPr>
          <w:rFonts w:eastAsiaTheme="minorEastAsia"/>
        </w:rPr>
      </w:pPr>
      <w:r w:rsidRPr="29A8477B">
        <w:rPr>
          <w:rFonts w:eastAsiaTheme="minorEastAsia"/>
        </w:rPr>
        <w:t>26 % kot povprečno,</w:t>
      </w:r>
    </w:p>
    <w:p w14:paraId="7C5DFE5D" w14:textId="2F26EFF6" w:rsidR="1633040D" w:rsidRDefault="278BCBDD" w:rsidP="004A1C14">
      <w:pPr>
        <w:pStyle w:val="Odstavekseznama"/>
        <w:numPr>
          <w:ilvl w:val="0"/>
          <w:numId w:val="19"/>
        </w:numPr>
        <w:tabs>
          <w:tab w:val="left" w:pos="0"/>
          <w:tab w:val="left" w:pos="720"/>
        </w:tabs>
        <w:spacing w:after="0" w:line="257" w:lineRule="auto"/>
        <w:jc w:val="both"/>
        <w:rPr>
          <w:rFonts w:eastAsiaTheme="minorEastAsia"/>
        </w:rPr>
      </w:pPr>
      <w:r w:rsidRPr="29A8477B">
        <w:rPr>
          <w:rFonts w:eastAsiaTheme="minorEastAsia"/>
        </w:rPr>
        <w:t>manj kot 10 % kot slabo.</w:t>
      </w:r>
    </w:p>
    <w:p w14:paraId="0E492CFB" w14:textId="12D61766" w:rsidR="1633040D" w:rsidRDefault="278BCBDD" w:rsidP="00F8305A">
      <w:pPr>
        <w:spacing w:after="0" w:line="257" w:lineRule="auto"/>
        <w:ind w:left="720"/>
        <w:jc w:val="both"/>
        <w:rPr>
          <w:rFonts w:eastAsiaTheme="minorEastAsia"/>
        </w:rPr>
      </w:pPr>
      <w:r w:rsidRPr="29A8477B">
        <w:rPr>
          <w:rFonts w:eastAsiaTheme="minorEastAsia"/>
        </w:rPr>
        <w:t xml:space="preserve"> </w:t>
      </w:r>
    </w:p>
    <w:p w14:paraId="716A499D" w14:textId="539031B4" w:rsidR="1633040D" w:rsidRDefault="278BCBDD" w:rsidP="00F8305A">
      <w:pPr>
        <w:spacing w:line="257" w:lineRule="auto"/>
        <w:jc w:val="both"/>
        <w:rPr>
          <w:rFonts w:eastAsiaTheme="minorEastAsia"/>
        </w:rPr>
      </w:pPr>
      <w:r w:rsidRPr="29A8477B">
        <w:rPr>
          <w:rFonts w:eastAsiaTheme="minorEastAsia"/>
        </w:rPr>
        <w:t>Po drugi strani pa je splošna ocena gospodarskih razmer precej manj optimistična. Kar 44 % podjetij meni, da so se razmere v primerjavi s prejšnjim letom poslabšale, le 8 % pa jih zaznava izboljšanje.</w:t>
      </w:r>
    </w:p>
    <w:p w14:paraId="06D4D7AC" w14:textId="413B9819" w:rsidR="1633040D" w:rsidRDefault="278BCBDD" w:rsidP="00F8305A">
      <w:pPr>
        <w:spacing w:line="257" w:lineRule="auto"/>
        <w:jc w:val="both"/>
        <w:rPr>
          <w:rFonts w:eastAsiaTheme="minorEastAsia"/>
        </w:rPr>
      </w:pPr>
      <w:r w:rsidRPr="29A8477B">
        <w:rPr>
          <w:rFonts w:eastAsiaTheme="minorEastAsia"/>
        </w:rPr>
        <w:t>To kaže na zanimiv paradoks: posamezna podjetja so s svojim poslovanjem večinoma zadovoljna, vendar zaznavajo širše gospodarsko okolje kot manj ugodno.</w:t>
      </w:r>
    </w:p>
    <w:p w14:paraId="0649970C" w14:textId="0A5BF458" w:rsidR="1633040D" w:rsidRDefault="278BCBDD" w:rsidP="00F8305A">
      <w:pPr>
        <w:spacing w:before="240" w:after="120" w:line="257" w:lineRule="auto"/>
        <w:rPr>
          <w:rFonts w:eastAsiaTheme="minorEastAsia"/>
          <w:b/>
          <w:bCs/>
        </w:rPr>
      </w:pPr>
      <w:r w:rsidRPr="29A8477B">
        <w:rPr>
          <w:rFonts w:eastAsiaTheme="minorEastAsia"/>
          <w:b/>
          <w:bCs/>
        </w:rPr>
        <w:t>Ključni izzivi podjetij</w:t>
      </w:r>
    </w:p>
    <w:p w14:paraId="2ACE53D2" w14:textId="60184529" w:rsidR="1633040D" w:rsidRDefault="278BCBDD" w:rsidP="00F8305A">
      <w:pPr>
        <w:spacing w:after="0" w:line="257" w:lineRule="auto"/>
        <w:jc w:val="both"/>
        <w:rPr>
          <w:rFonts w:eastAsiaTheme="minorEastAsia"/>
        </w:rPr>
      </w:pPr>
      <w:r w:rsidRPr="29A8477B">
        <w:rPr>
          <w:rFonts w:eastAsiaTheme="minorEastAsia"/>
        </w:rPr>
        <w:t>Najpogosteje izpostavljene težave so:</w:t>
      </w:r>
    </w:p>
    <w:p w14:paraId="1ADB8FFB" w14:textId="43B3134C" w:rsidR="1633040D" w:rsidRDefault="278BCBDD" w:rsidP="004A1C14">
      <w:pPr>
        <w:pStyle w:val="Odstavekseznama"/>
        <w:numPr>
          <w:ilvl w:val="0"/>
          <w:numId w:val="18"/>
        </w:numPr>
        <w:tabs>
          <w:tab w:val="left" w:pos="0"/>
          <w:tab w:val="left" w:pos="720"/>
        </w:tabs>
        <w:spacing w:after="0" w:line="257" w:lineRule="auto"/>
        <w:jc w:val="both"/>
        <w:rPr>
          <w:rFonts w:eastAsiaTheme="minorEastAsia"/>
        </w:rPr>
      </w:pPr>
      <w:r w:rsidRPr="29A8477B">
        <w:rPr>
          <w:rFonts w:eastAsiaTheme="minorEastAsia"/>
        </w:rPr>
        <w:t>pomanjkanje usposobljene delovne sile (68 %),</w:t>
      </w:r>
    </w:p>
    <w:p w14:paraId="2303C9C1" w14:textId="096CFF1D" w:rsidR="1633040D" w:rsidRDefault="278BCBDD" w:rsidP="004A1C14">
      <w:pPr>
        <w:pStyle w:val="Odstavekseznama"/>
        <w:numPr>
          <w:ilvl w:val="0"/>
          <w:numId w:val="18"/>
        </w:numPr>
        <w:tabs>
          <w:tab w:val="left" w:pos="0"/>
          <w:tab w:val="left" w:pos="720"/>
        </w:tabs>
        <w:spacing w:after="0" w:line="257" w:lineRule="auto"/>
        <w:jc w:val="both"/>
        <w:rPr>
          <w:rFonts w:eastAsiaTheme="minorEastAsia"/>
        </w:rPr>
      </w:pPr>
      <w:r w:rsidRPr="29A8477B">
        <w:rPr>
          <w:rFonts w:eastAsiaTheme="minorEastAsia"/>
        </w:rPr>
        <w:t>visoki stroški poslovanja (54 %),</w:t>
      </w:r>
    </w:p>
    <w:p w14:paraId="6312AFEC" w14:textId="79F8D92E" w:rsidR="1633040D" w:rsidRDefault="278BCBDD" w:rsidP="004A1C14">
      <w:pPr>
        <w:pStyle w:val="Odstavekseznama"/>
        <w:numPr>
          <w:ilvl w:val="0"/>
          <w:numId w:val="18"/>
        </w:numPr>
        <w:tabs>
          <w:tab w:val="left" w:pos="0"/>
          <w:tab w:val="left" w:pos="720"/>
        </w:tabs>
        <w:spacing w:after="0" w:line="257" w:lineRule="auto"/>
        <w:jc w:val="both"/>
        <w:rPr>
          <w:rFonts w:eastAsiaTheme="minorEastAsia"/>
        </w:rPr>
      </w:pPr>
      <w:r w:rsidRPr="29A8477B">
        <w:rPr>
          <w:rFonts w:eastAsiaTheme="minorEastAsia"/>
        </w:rPr>
        <w:t>regulativne ovire (21 %),</w:t>
      </w:r>
    </w:p>
    <w:p w14:paraId="5CF48C44" w14:textId="57FF2E85" w:rsidR="1633040D" w:rsidRDefault="278BCBDD" w:rsidP="004A1C14">
      <w:pPr>
        <w:pStyle w:val="Odstavekseznama"/>
        <w:numPr>
          <w:ilvl w:val="0"/>
          <w:numId w:val="18"/>
        </w:numPr>
        <w:tabs>
          <w:tab w:val="left" w:pos="0"/>
          <w:tab w:val="left" w:pos="720"/>
        </w:tabs>
        <w:spacing w:after="0" w:line="257" w:lineRule="auto"/>
        <w:jc w:val="both"/>
        <w:rPr>
          <w:rFonts w:eastAsiaTheme="minorEastAsia"/>
        </w:rPr>
      </w:pPr>
      <w:r w:rsidRPr="29A8477B">
        <w:rPr>
          <w:rFonts w:eastAsiaTheme="minorEastAsia"/>
        </w:rPr>
        <w:t>omejen dostop do financiranja (20 %),</w:t>
      </w:r>
    </w:p>
    <w:p w14:paraId="4A3ACFA2" w14:textId="3F7E810F" w:rsidR="1633040D" w:rsidRDefault="278BCBDD" w:rsidP="004A1C14">
      <w:pPr>
        <w:pStyle w:val="Odstavekseznama"/>
        <w:numPr>
          <w:ilvl w:val="0"/>
          <w:numId w:val="18"/>
        </w:numPr>
        <w:tabs>
          <w:tab w:val="left" w:pos="0"/>
          <w:tab w:val="left" w:pos="720"/>
        </w:tabs>
        <w:spacing w:after="0" w:line="257" w:lineRule="auto"/>
        <w:jc w:val="both"/>
        <w:rPr>
          <w:rFonts w:eastAsiaTheme="minorEastAsia"/>
        </w:rPr>
      </w:pPr>
      <w:r w:rsidRPr="29A8477B">
        <w:rPr>
          <w:rFonts w:eastAsiaTheme="minorEastAsia"/>
        </w:rPr>
        <w:t>pomanjkanje povpraševanja (20%).</w:t>
      </w:r>
    </w:p>
    <w:p w14:paraId="3C29514B" w14:textId="7E392115" w:rsidR="1633040D" w:rsidRDefault="278BCBDD" w:rsidP="00F8305A">
      <w:pPr>
        <w:spacing w:after="0" w:line="257" w:lineRule="auto"/>
        <w:ind w:left="720"/>
        <w:jc w:val="both"/>
        <w:rPr>
          <w:rFonts w:eastAsiaTheme="minorEastAsia"/>
        </w:rPr>
      </w:pPr>
      <w:r w:rsidRPr="29A8477B">
        <w:rPr>
          <w:rFonts w:eastAsiaTheme="minorEastAsia"/>
        </w:rPr>
        <w:t xml:space="preserve"> </w:t>
      </w:r>
    </w:p>
    <w:p w14:paraId="0BABD32E" w14:textId="73C7B66B" w:rsidR="00F8305A" w:rsidRPr="00FE0FD5" w:rsidRDefault="278BCBDD" w:rsidP="00FE0FD5">
      <w:pPr>
        <w:spacing w:line="257" w:lineRule="auto"/>
        <w:jc w:val="both"/>
        <w:rPr>
          <w:rFonts w:eastAsiaTheme="minorEastAsia"/>
        </w:rPr>
      </w:pPr>
      <w:r w:rsidRPr="29A8477B">
        <w:rPr>
          <w:rFonts w:eastAsiaTheme="minorEastAsia"/>
        </w:rPr>
        <w:t>Pogosto so omenjene tudi težave s pomanjkanjem poslovnih in proizvodnih prostorov, zemljišči za širitev ter počasnimi upravnimi postopki.</w:t>
      </w:r>
    </w:p>
    <w:p w14:paraId="5AB64C15" w14:textId="4B9E1C2D" w:rsidR="1633040D" w:rsidRDefault="278BCBDD" w:rsidP="29A8477B">
      <w:pPr>
        <w:spacing w:line="257" w:lineRule="auto"/>
        <w:rPr>
          <w:rFonts w:eastAsiaTheme="minorEastAsia"/>
          <w:b/>
          <w:bCs/>
        </w:rPr>
      </w:pPr>
      <w:r w:rsidRPr="29A8477B">
        <w:rPr>
          <w:rFonts w:eastAsiaTheme="minorEastAsia"/>
          <w:b/>
          <w:bCs/>
        </w:rPr>
        <w:t>Podpora lokalne skupnosti</w:t>
      </w:r>
    </w:p>
    <w:p w14:paraId="5AA437D6" w14:textId="5620BB0E" w:rsidR="1633040D" w:rsidRDefault="278BCBDD" w:rsidP="00F8305A">
      <w:pPr>
        <w:spacing w:after="0" w:line="257" w:lineRule="auto"/>
        <w:jc w:val="both"/>
        <w:rPr>
          <w:rFonts w:eastAsiaTheme="minorEastAsia"/>
        </w:rPr>
      </w:pPr>
      <w:r w:rsidRPr="29A8477B">
        <w:rPr>
          <w:rFonts w:eastAsiaTheme="minorEastAsia"/>
        </w:rPr>
        <w:t>Med najbolj kritičnimi ugotovitvami raziskave je ocena podpore lokalne skupnosti. Nobeno podjetje podpore občine ni ocenilo kot zelo dobre:</w:t>
      </w:r>
    </w:p>
    <w:p w14:paraId="5704B73E" w14:textId="05A32032" w:rsidR="1633040D" w:rsidRDefault="278BCBDD" w:rsidP="004A1C14">
      <w:pPr>
        <w:pStyle w:val="Odstavekseznama"/>
        <w:numPr>
          <w:ilvl w:val="0"/>
          <w:numId w:val="17"/>
        </w:numPr>
        <w:tabs>
          <w:tab w:val="left" w:pos="0"/>
          <w:tab w:val="left" w:pos="720"/>
        </w:tabs>
        <w:spacing w:after="0" w:line="257" w:lineRule="auto"/>
        <w:jc w:val="both"/>
        <w:rPr>
          <w:rFonts w:eastAsiaTheme="minorEastAsia"/>
        </w:rPr>
      </w:pPr>
      <w:r w:rsidRPr="29A8477B">
        <w:rPr>
          <w:rFonts w:eastAsiaTheme="minorEastAsia"/>
        </w:rPr>
        <w:t>39 % podjetij jo ocenjuje kot slabo ali zelo slabo,</w:t>
      </w:r>
    </w:p>
    <w:p w14:paraId="6CA5D0D7" w14:textId="27EDD9C2" w:rsidR="1633040D" w:rsidRDefault="278BCBDD" w:rsidP="004A1C14">
      <w:pPr>
        <w:pStyle w:val="Odstavekseznama"/>
        <w:numPr>
          <w:ilvl w:val="0"/>
          <w:numId w:val="17"/>
        </w:numPr>
        <w:tabs>
          <w:tab w:val="left" w:pos="0"/>
          <w:tab w:val="left" w:pos="720"/>
        </w:tabs>
        <w:spacing w:after="0" w:line="257" w:lineRule="auto"/>
        <w:jc w:val="both"/>
        <w:rPr>
          <w:rFonts w:eastAsiaTheme="minorEastAsia"/>
        </w:rPr>
      </w:pPr>
      <w:r w:rsidRPr="29A8477B">
        <w:rPr>
          <w:rFonts w:eastAsiaTheme="minorEastAsia"/>
        </w:rPr>
        <w:t>36 % kot povprečno,</w:t>
      </w:r>
    </w:p>
    <w:p w14:paraId="715DB667" w14:textId="47759A8E" w:rsidR="1633040D" w:rsidRDefault="278BCBDD" w:rsidP="004A1C14">
      <w:pPr>
        <w:pStyle w:val="Odstavekseznama"/>
        <w:numPr>
          <w:ilvl w:val="0"/>
          <w:numId w:val="17"/>
        </w:numPr>
        <w:tabs>
          <w:tab w:val="left" w:pos="0"/>
          <w:tab w:val="left" w:pos="720"/>
        </w:tabs>
        <w:spacing w:after="0" w:line="257" w:lineRule="auto"/>
        <w:jc w:val="both"/>
        <w:rPr>
          <w:rFonts w:eastAsiaTheme="minorEastAsia"/>
        </w:rPr>
      </w:pPr>
      <w:r w:rsidRPr="29A8477B">
        <w:rPr>
          <w:rFonts w:eastAsiaTheme="minorEastAsia"/>
        </w:rPr>
        <w:t>le četrtina kot dobro.</w:t>
      </w:r>
    </w:p>
    <w:p w14:paraId="1D795507" w14:textId="698CA826" w:rsidR="1633040D" w:rsidRDefault="278BCBDD" w:rsidP="00F8305A">
      <w:pPr>
        <w:spacing w:after="0" w:line="257" w:lineRule="auto"/>
        <w:ind w:left="360"/>
        <w:jc w:val="both"/>
        <w:rPr>
          <w:rFonts w:eastAsiaTheme="minorEastAsia"/>
        </w:rPr>
      </w:pPr>
      <w:r w:rsidRPr="29A8477B">
        <w:rPr>
          <w:rFonts w:eastAsiaTheme="minorEastAsia"/>
        </w:rPr>
        <w:lastRenderedPageBreak/>
        <w:t xml:space="preserve"> </w:t>
      </w:r>
    </w:p>
    <w:p w14:paraId="4364DBB5" w14:textId="7BA08165" w:rsidR="1633040D" w:rsidRDefault="278BCBDD" w:rsidP="00F8305A">
      <w:pPr>
        <w:spacing w:line="257" w:lineRule="auto"/>
        <w:jc w:val="both"/>
        <w:rPr>
          <w:rFonts w:eastAsiaTheme="minorEastAsia"/>
        </w:rPr>
      </w:pPr>
      <w:r w:rsidRPr="29A8477B">
        <w:rPr>
          <w:rFonts w:eastAsiaTheme="minorEastAsia"/>
        </w:rPr>
        <w:t>Podjetja opozarjajo predvsem na dolgotrajne administrativne postopke, dolgotrajno pridobivanje dovoljenj, počasno urejanje prostorskih aktov, pomanjkanje zemljišč za razvoj in premalo odzivnosti lokalnih institucij.</w:t>
      </w:r>
    </w:p>
    <w:p w14:paraId="56B75F32" w14:textId="0C18844D" w:rsidR="1633040D" w:rsidRDefault="278BCBDD" w:rsidP="00F8305A">
      <w:pPr>
        <w:spacing w:before="240" w:after="120" w:line="257" w:lineRule="auto"/>
        <w:jc w:val="both"/>
        <w:rPr>
          <w:rFonts w:eastAsiaTheme="minorEastAsia"/>
          <w:b/>
          <w:bCs/>
        </w:rPr>
      </w:pPr>
      <w:r w:rsidRPr="29A8477B">
        <w:rPr>
          <w:rFonts w:eastAsiaTheme="minorEastAsia"/>
          <w:b/>
          <w:bCs/>
        </w:rPr>
        <w:t>Potrebe podjetij in razvojne priložnosti</w:t>
      </w:r>
    </w:p>
    <w:p w14:paraId="23FC1C33" w14:textId="7E956B0F" w:rsidR="1633040D" w:rsidRDefault="278BCBDD" w:rsidP="00F8305A">
      <w:pPr>
        <w:spacing w:after="0" w:line="257" w:lineRule="auto"/>
        <w:jc w:val="both"/>
        <w:rPr>
          <w:rFonts w:eastAsiaTheme="minorEastAsia"/>
        </w:rPr>
      </w:pPr>
      <w:r w:rsidRPr="29A8477B">
        <w:rPr>
          <w:rFonts w:eastAsiaTheme="minorEastAsia"/>
        </w:rPr>
        <w:t>Za nadaljnji razvoj podjetja najbolj potrebujejo:</w:t>
      </w:r>
    </w:p>
    <w:p w14:paraId="380C5E2E" w14:textId="0B6BA03E" w:rsidR="1633040D" w:rsidRDefault="278BCBDD" w:rsidP="004A1C14">
      <w:pPr>
        <w:pStyle w:val="Odstavekseznama"/>
        <w:numPr>
          <w:ilvl w:val="0"/>
          <w:numId w:val="16"/>
        </w:numPr>
        <w:tabs>
          <w:tab w:val="left" w:pos="0"/>
          <w:tab w:val="left" w:pos="720"/>
        </w:tabs>
        <w:spacing w:after="0" w:line="257" w:lineRule="auto"/>
        <w:jc w:val="both"/>
        <w:rPr>
          <w:rFonts w:eastAsiaTheme="minorEastAsia"/>
        </w:rPr>
      </w:pPr>
      <w:r w:rsidRPr="29A8477B">
        <w:rPr>
          <w:rFonts w:eastAsiaTheme="minorEastAsia"/>
        </w:rPr>
        <w:t>finančno pomoč (47 %),</w:t>
      </w:r>
    </w:p>
    <w:p w14:paraId="773046BA" w14:textId="0A818281" w:rsidR="1633040D" w:rsidRDefault="278BCBDD" w:rsidP="004A1C14">
      <w:pPr>
        <w:pStyle w:val="Odstavekseznama"/>
        <w:numPr>
          <w:ilvl w:val="0"/>
          <w:numId w:val="16"/>
        </w:numPr>
        <w:tabs>
          <w:tab w:val="left" w:pos="0"/>
          <w:tab w:val="left" w:pos="720"/>
        </w:tabs>
        <w:spacing w:after="0" w:line="257" w:lineRule="auto"/>
        <w:jc w:val="both"/>
        <w:rPr>
          <w:rFonts w:eastAsiaTheme="minorEastAsia"/>
        </w:rPr>
      </w:pPr>
      <w:r w:rsidRPr="29A8477B">
        <w:rPr>
          <w:rFonts w:eastAsiaTheme="minorEastAsia"/>
        </w:rPr>
        <w:t>povezovanje in mreženje (39 %),</w:t>
      </w:r>
    </w:p>
    <w:p w14:paraId="07826E6C" w14:textId="0193D57A" w:rsidR="1633040D" w:rsidRDefault="278BCBDD" w:rsidP="004A1C14">
      <w:pPr>
        <w:pStyle w:val="Odstavekseznama"/>
        <w:numPr>
          <w:ilvl w:val="0"/>
          <w:numId w:val="16"/>
        </w:numPr>
        <w:tabs>
          <w:tab w:val="left" w:pos="0"/>
          <w:tab w:val="left" w:pos="720"/>
        </w:tabs>
        <w:spacing w:after="0" w:line="257" w:lineRule="auto"/>
        <w:jc w:val="both"/>
        <w:rPr>
          <w:rFonts w:eastAsiaTheme="minorEastAsia"/>
        </w:rPr>
      </w:pPr>
      <w:r w:rsidRPr="29A8477B">
        <w:rPr>
          <w:rFonts w:eastAsiaTheme="minorEastAsia"/>
        </w:rPr>
        <w:t>izobraževanje in usposabljanje (37 %),</w:t>
      </w:r>
    </w:p>
    <w:p w14:paraId="2F2DF88B" w14:textId="4DF93DA9" w:rsidR="1633040D" w:rsidRDefault="278BCBDD" w:rsidP="004A1C14">
      <w:pPr>
        <w:pStyle w:val="Odstavekseznama"/>
        <w:numPr>
          <w:ilvl w:val="0"/>
          <w:numId w:val="16"/>
        </w:numPr>
        <w:tabs>
          <w:tab w:val="left" w:pos="0"/>
          <w:tab w:val="left" w:pos="720"/>
        </w:tabs>
        <w:spacing w:after="0" w:line="257" w:lineRule="auto"/>
        <w:jc w:val="both"/>
        <w:rPr>
          <w:rFonts w:eastAsiaTheme="minorEastAsia"/>
        </w:rPr>
      </w:pPr>
      <w:r w:rsidRPr="29A8477B">
        <w:rPr>
          <w:rFonts w:eastAsiaTheme="minorEastAsia"/>
        </w:rPr>
        <w:t>pravno svetovanje (24%),</w:t>
      </w:r>
    </w:p>
    <w:p w14:paraId="66534419" w14:textId="1690E0DA" w:rsidR="1633040D" w:rsidRPr="00F8305A" w:rsidRDefault="278BCBDD" w:rsidP="004A1C14">
      <w:pPr>
        <w:pStyle w:val="Odstavekseznama"/>
        <w:numPr>
          <w:ilvl w:val="0"/>
          <w:numId w:val="16"/>
        </w:numPr>
        <w:tabs>
          <w:tab w:val="left" w:pos="0"/>
          <w:tab w:val="left" w:pos="720"/>
        </w:tabs>
        <w:spacing w:after="0" w:line="257" w:lineRule="auto"/>
        <w:jc w:val="both"/>
        <w:rPr>
          <w:rFonts w:eastAsiaTheme="minorEastAsia"/>
        </w:rPr>
      </w:pPr>
      <w:r w:rsidRPr="29A8477B">
        <w:rPr>
          <w:rFonts w:eastAsiaTheme="minorEastAsia"/>
        </w:rPr>
        <w:t>tehnološko podporo (20%).</w:t>
      </w:r>
    </w:p>
    <w:p w14:paraId="0B4C747D" w14:textId="3B59F2EC" w:rsidR="1633040D" w:rsidRDefault="278BCBDD" w:rsidP="00F8305A">
      <w:pPr>
        <w:spacing w:before="240" w:after="120" w:line="257" w:lineRule="auto"/>
        <w:jc w:val="both"/>
        <w:rPr>
          <w:rFonts w:eastAsiaTheme="minorEastAsia"/>
          <w:b/>
          <w:bCs/>
        </w:rPr>
      </w:pPr>
      <w:r w:rsidRPr="29A8477B">
        <w:rPr>
          <w:rFonts w:eastAsiaTheme="minorEastAsia"/>
          <w:b/>
          <w:bCs/>
        </w:rPr>
        <w:t xml:space="preserve">Priložnosti za rast </w:t>
      </w:r>
    </w:p>
    <w:p w14:paraId="3465F8D1" w14:textId="156C9027" w:rsidR="1633040D" w:rsidRDefault="278BCBDD" w:rsidP="00F8305A">
      <w:pPr>
        <w:spacing w:after="0" w:line="257" w:lineRule="auto"/>
        <w:jc w:val="both"/>
        <w:rPr>
          <w:rFonts w:eastAsiaTheme="minorEastAsia"/>
        </w:rPr>
      </w:pPr>
      <w:r w:rsidRPr="29A8477B">
        <w:rPr>
          <w:rFonts w:eastAsiaTheme="minorEastAsia"/>
        </w:rPr>
        <w:t>Kar 65 % podjetij vidi razvojne priložnosti na Goriškem. Največ potenciala prepoznavajo v:</w:t>
      </w:r>
    </w:p>
    <w:p w14:paraId="4E7E185A" w14:textId="462FD72B" w:rsidR="1633040D" w:rsidRDefault="278BCBDD" w:rsidP="004A1C14">
      <w:pPr>
        <w:pStyle w:val="Odstavekseznama"/>
        <w:numPr>
          <w:ilvl w:val="0"/>
          <w:numId w:val="15"/>
        </w:numPr>
        <w:tabs>
          <w:tab w:val="left" w:pos="0"/>
          <w:tab w:val="left" w:pos="720"/>
        </w:tabs>
        <w:spacing w:after="0" w:line="257" w:lineRule="auto"/>
        <w:jc w:val="both"/>
        <w:rPr>
          <w:rFonts w:eastAsiaTheme="minorEastAsia"/>
        </w:rPr>
      </w:pPr>
      <w:r w:rsidRPr="29A8477B">
        <w:rPr>
          <w:rFonts w:eastAsiaTheme="minorEastAsia"/>
        </w:rPr>
        <w:t>informacijskih tehnologijah,</w:t>
      </w:r>
    </w:p>
    <w:p w14:paraId="5C590552" w14:textId="6B2A970C" w:rsidR="1633040D" w:rsidRDefault="278BCBDD" w:rsidP="004A1C14">
      <w:pPr>
        <w:pStyle w:val="Odstavekseznama"/>
        <w:numPr>
          <w:ilvl w:val="0"/>
          <w:numId w:val="15"/>
        </w:numPr>
        <w:tabs>
          <w:tab w:val="left" w:pos="0"/>
          <w:tab w:val="left" w:pos="720"/>
        </w:tabs>
        <w:spacing w:after="0" w:line="257" w:lineRule="auto"/>
        <w:jc w:val="both"/>
        <w:rPr>
          <w:rFonts w:eastAsiaTheme="minorEastAsia"/>
        </w:rPr>
      </w:pPr>
      <w:r w:rsidRPr="29A8477B">
        <w:rPr>
          <w:rFonts w:eastAsiaTheme="minorEastAsia"/>
        </w:rPr>
        <w:t xml:space="preserve">visokotehnoloških dejavnostih, </w:t>
      </w:r>
    </w:p>
    <w:p w14:paraId="14D54D38" w14:textId="3A6FF5D4" w:rsidR="1633040D" w:rsidRDefault="278BCBDD" w:rsidP="004A1C14">
      <w:pPr>
        <w:pStyle w:val="Odstavekseznama"/>
        <w:numPr>
          <w:ilvl w:val="0"/>
          <w:numId w:val="15"/>
        </w:numPr>
        <w:tabs>
          <w:tab w:val="left" w:pos="0"/>
          <w:tab w:val="left" w:pos="720"/>
        </w:tabs>
        <w:spacing w:after="0" w:line="257" w:lineRule="auto"/>
        <w:jc w:val="both"/>
        <w:rPr>
          <w:rFonts w:eastAsiaTheme="minorEastAsia"/>
        </w:rPr>
      </w:pPr>
      <w:r w:rsidRPr="29A8477B">
        <w:rPr>
          <w:rFonts w:eastAsiaTheme="minorEastAsia"/>
        </w:rPr>
        <w:t>turizmu in gostinstvu,</w:t>
      </w:r>
    </w:p>
    <w:p w14:paraId="38947A6C" w14:textId="016650C3" w:rsidR="1633040D" w:rsidRDefault="278BCBDD" w:rsidP="004A1C14">
      <w:pPr>
        <w:pStyle w:val="Odstavekseznama"/>
        <w:numPr>
          <w:ilvl w:val="0"/>
          <w:numId w:val="15"/>
        </w:numPr>
        <w:tabs>
          <w:tab w:val="left" w:pos="0"/>
          <w:tab w:val="left" w:pos="720"/>
        </w:tabs>
        <w:spacing w:after="0" w:line="257" w:lineRule="auto"/>
        <w:jc w:val="both"/>
        <w:rPr>
          <w:rFonts w:eastAsiaTheme="minorEastAsia"/>
        </w:rPr>
      </w:pPr>
      <w:r w:rsidRPr="29A8477B">
        <w:rPr>
          <w:rFonts w:eastAsiaTheme="minorEastAsia"/>
        </w:rPr>
        <w:t>proizvodnji,</w:t>
      </w:r>
    </w:p>
    <w:p w14:paraId="245580B4" w14:textId="10B83AA7" w:rsidR="1633040D" w:rsidRDefault="278BCBDD" w:rsidP="004A1C14">
      <w:pPr>
        <w:pStyle w:val="Odstavekseznama"/>
        <w:numPr>
          <w:ilvl w:val="0"/>
          <w:numId w:val="15"/>
        </w:numPr>
        <w:tabs>
          <w:tab w:val="left" w:pos="0"/>
          <w:tab w:val="left" w:pos="720"/>
        </w:tabs>
        <w:spacing w:after="0" w:line="257" w:lineRule="auto"/>
        <w:jc w:val="both"/>
        <w:rPr>
          <w:rFonts w:eastAsiaTheme="minorEastAsia"/>
        </w:rPr>
      </w:pPr>
      <w:r w:rsidRPr="29A8477B">
        <w:rPr>
          <w:rFonts w:eastAsiaTheme="minorEastAsia"/>
        </w:rPr>
        <w:t>gradbeništvu,</w:t>
      </w:r>
    </w:p>
    <w:p w14:paraId="1E199393" w14:textId="06A4844C" w:rsidR="1633040D" w:rsidRDefault="278BCBDD" w:rsidP="004A1C14">
      <w:pPr>
        <w:pStyle w:val="Odstavekseznama"/>
        <w:numPr>
          <w:ilvl w:val="0"/>
          <w:numId w:val="15"/>
        </w:numPr>
        <w:tabs>
          <w:tab w:val="left" w:pos="0"/>
          <w:tab w:val="left" w:pos="720"/>
        </w:tabs>
        <w:spacing w:after="0" w:line="257" w:lineRule="auto"/>
        <w:jc w:val="both"/>
        <w:rPr>
          <w:rFonts w:eastAsiaTheme="minorEastAsia"/>
        </w:rPr>
      </w:pPr>
      <w:r w:rsidRPr="29A8477B">
        <w:rPr>
          <w:rFonts w:eastAsiaTheme="minorEastAsia"/>
        </w:rPr>
        <w:t>mednarodnem povezovanju,</w:t>
      </w:r>
    </w:p>
    <w:p w14:paraId="6CFAB413" w14:textId="0939E5F2" w:rsidR="1633040D" w:rsidRDefault="278BCBDD" w:rsidP="004A1C14">
      <w:pPr>
        <w:pStyle w:val="Odstavekseznama"/>
        <w:numPr>
          <w:ilvl w:val="0"/>
          <w:numId w:val="15"/>
        </w:numPr>
        <w:tabs>
          <w:tab w:val="left" w:pos="0"/>
          <w:tab w:val="left" w:pos="720"/>
        </w:tabs>
        <w:spacing w:after="0" w:line="257" w:lineRule="auto"/>
        <w:jc w:val="both"/>
        <w:rPr>
          <w:rFonts w:eastAsiaTheme="minorEastAsia"/>
        </w:rPr>
      </w:pPr>
      <w:r w:rsidRPr="29A8477B">
        <w:rPr>
          <w:rFonts w:eastAsiaTheme="minorEastAsia"/>
        </w:rPr>
        <w:t>trgovini.</w:t>
      </w:r>
    </w:p>
    <w:p w14:paraId="75978642" w14:textId="2A13581E" w:rsidR="1633040D" w:rsidRDefault="278BCBDD" w:rsidP="00F8305A">
      <w:pPr>
        <w:spacing w:after="0" w:line="257" w:lineRule="auto"/>
        <w:ind w:left="720"/>
        <w:jc w:val="both"/>
        <w:rPr>
          <w:rFonts w:eastAsiaTheme="minorEastAsia"/>
        </w:rPr>
      </w:pPr>
      <w:r w:rsidRPr="29A8477B">
        <w:rPr>
          <w:rFonts w:eastAsiaTheme="minorEastAsia"/>
        </w:rPr>
        <w:t xml:space="preserve"> </w:t>
      </w:r>
    </w:p>
    <w:p w14:paraId="6CF7A251" w14:textId="4BCCEB13" w:rsidR="1633040D" w:rsidRDefault="278BCBDD" w:rsidP="00F8305A">
      <w:pPr>
        <w:spacing w:line="257" w:lineRule="auto"/>
        <w:jc w:val="both"/>
        <w:rPr>
          <w:rFonts w:eastAsiaTheme="minorEastAsia"/>
        </w:rPr>
      </w:pPr>
      <w:r w:rsidRPr="29A8477B">
        <w:rPr>
          <w:rFonts w:eastAsiaTheme="minorEastAsia"/>
        </w:rPr>
        <w:t>Kot prednosti območja izpostavljajo bližino Italije, kakovost življenja ter možnosti za razvoj butičnega turizma, potencial za privabljanje tujih investicij in digitalizacijo gospodarstva.</w:t>
      </w:r>
    </w:p>
    <w:p w14:paraId="2E81D1FB" w14:textId="1BBDF74E" w:rsidR="1633040D" w:rsidRDefault="278BCBDD" w:rsidP="00F8305A">
      <w:pPr>
        <w:spacing w:line="257" w:lineRule="auto"/>
        <w:jc w:val="both"/>
        <w:rPr>
          <w:rFonts w:eastAsiaTheme="minorEastAsia"/>
        </w:rPr>
      </w:pPr>
      <w:r w:rsidRPr="29A8477B">
        <w:rPr>
          <w:rFonts w:eastAsiaTheme="minorEastAsia"/>
        </w:rPr>
        <w:t>Tretjina podjetij pa meni, da razvojne možnosti ostajajo omejene zaradi pomanjkanja zemljišč, poslovnih con, podpore lokalnih oblasti, administrativnih ovir, majhnega trga in nizke kupne moči.</w:t>
      </w:r>
    </w:p>
    <w:p w14:paraId="717508F7" w14:textId="7A217693" w:rsidR="1633040D" w:rsidRDefault="278BCBDD" w:rsidP="00F8305A">
      <w:pPr>
        <w:spacing w:before="240" w:after="120" w:line="257" w:lineRule="auto"/>
        <w:jc w:val="both"/>
        <w:rPr>
          <w:rFonts w:eastAsiaTheme="minorEastAsia"/>
          <w:b/>
          <w:bCs/>
        </w:rPr>
      </w:pPr>
      <w:r w:rsidRPr="29A8477B">
        <w:rPr>
          <w:rFonts w:eastAsiaTheme="minorEastAsia"/>
          <w:b/>
          <w:bCs/>
        </w:rPr>
        <w:t>Infrastruktura in prostorske potrebe</w:t>
      </w:r>
    </w:p>
    <w:p w14:paraId="4411FF9D" w14:textId="12A115E3" w:rsidR="1633040D" w:rsidRDefault="278BCBDD" w:rsidP="00F8305A">
      <w:pPr>
        <w:spacing w:after="0" w:line="257" w:lineRule="auto"/>
        <w:jc w:val="both"/>
        <w:rPr>
          <w:rFonts w:eastAsiaTheme="minorEastAsia"/>
        </w:rPr>
      </w:pPr>
      <w:r w:rsidRPr="29A8477B">
        <w:rPr>
          <w:rFonts w:eastAsiaTheme="minorEastAsia"/>
        </w:rPr>
        <w:t>Največja infrastrukturna pomanjkljivost so prometne povezave:</w:t>
      </w:r>
    </w:p>
    <w:p w14:paraId="6FC53B84" w14:textId="78AD9A6C" w:rsidR="1633040D" w:rsidRDefault="278BCBDD" w:rsidP="004A1C14">
      <w:pPr>
        <w:pStyle w:val="Odstavekseznama"/>
        <w:numPr>
          <w:ilvl w:val="0"/>
          <w:numId w:val="14"/>
        </w:numPr>
        <w:tabs>
          <w:tab w:val="left" w:pos="0"/>
          <w:tab w:val="left" w:pos="720"/>
        </w:tabs>
        <w:spacing w:after="0" w:line="257" w:lineRule="auto"/>
        <w:jc w:val="both"/>
        <w:rPr>
          <w:rFonts w:eastAsiaTheme="minorEastAsia"/>
        </w:rPr>
      </w:pPr>
      <w:r w:rsidRPr="29A8477B">
        <w:rPr>
          <w:rFonts w:eastAsiaTheme="minorEastAsia"/>
        </w:rPr>
        <w:t>49 % podjetij kot ključno oviro navaja neustrezne ceste.</w:t>
      </w:r>
    </w:p>
    <w:p w14:paraId="2324A311" w14:textId="1A70CA3E" w:rsidR="1633040D" w:rsidRDefault="278BCBDD" w:rsidP="00F8305A">
      <w:pPr>
        <w:spacing w:after="0" w:line="257" w:lineRule="auto"/>
        <w:ind w:left="720"/>
        <w:jc w:val="both"/>
        <w:rPr>
          <w:rFonts w:eastAsiaTheme="minorEastAsia"/>
        </w:rPr>
      </w:pPr>
      <w:r w:rsidRPr="29A8477B">
        <w:rPr>
          <w:rFonts w:eastAsiaTheme="minorEastAsia"/>
        </w:rPr>
        <w:t xml:space="preserve"> </w:t>
      </w:r>
    </w:p>
    <w:p w14:paraId="67572857" w14:textId="422F4CED" w:rsidR="1633040D" w:rsidRDefault="278BCBDD" w:rsidP="00F8305A">
      <w:pPr>
        <w:spacing w:after="0" w:line="257" w:lineRule="auto"/>
        <w:jc w:val="both"/>
        <w:rPr>
          <w:rFonts w:eastAsiaTheme="minorEastAsia"/>
        </w:rPr>
      </w:pPr>
      <w:r w:rsidRPr="29A8477B">
        <w:rPr>
          <w:rFonts w:eastAsiaTheme="minorEastAsia"/>
        </w:rPr>
        <w:t>Podjetja opozarjajo tudi na pomanjkanje:</w:t>
      </w:r>
    </w:p>
    <w:p w14:paraId="4F6D024C" w14:textId="08A5A4E3" w:rsidR="1633040D" w:rsidRDefault="278BCBDD" w:rsidP="004A1C14">
      <w:pPr>
        <w:pStyle w:val="Odstavekseznama"/>
        <w:numPr>
          <w:ilvl w:val="0"/>
          <w:numId w:val="13"/>
        </w:numPr>
        <w:tabs>
          <w:tab w:val="left" w:pos="0"/>
          <w:tab w:val="left" w:pos="720"/>
        </w:tabs>
        <w:spacing w:after="0" w:line="257" w:lineRule="auto"/>
        <w:jc w:val="both"/>
        <w:rPr>
          <w:rFonts w:eastAsiaTheme="minorEastAsia"/>
        </w:rPr>
      </w:pPr>
      <w:r w:rsidRPr="29A8477B">
        <w:rPr>
          <w:rFonts w:eastAsiaTheme="minorEastAsia"/>
        </w:rPr>
        <w:t>novih poslovnih con,</w:t>
      </w:r>
    </w:p>
    <w:p w14:paraId="01DCA764" w14:textId="624F7153" w:rsidR="1633040D" w:rsidRDefault="278BCBDD" w:rsidP="004A1C14">
      <w:pPr>
        <w:pStyle w:val="Odstavekseznama"/>
        <w:numPr>
          <w:ilvl w:val="0"/>
          <w:numId w:val="13"/>
        </w:numPr>
        <w:tabs>
          <w:tab w:val="left" w:pos="0"/>
          <w:tab w:val="left" w:pos="720"/>
        </w:tabs>
        <w:spacing w:after="0" w:line="257" w:lineRule="auto"/>
        <w:jc w:val="both"/>
        <w:rPr>
          <w:rFonts w:eastAsiaTheme="minorEastAsia"/>
        </w:rPr>
      </w:pPr>
      <w:r w:rsidRPr="29A8477B">
        <w:rPr>
          <w:rFonts w:eastAsiaTheme="minorEastAsia"/>
        </w:rPr>
        <w:t>parkirišč,</w:t>
      </w:r>
    </w:p>
    <w:p w14:paraId="586FB51D" w14:textId="38AC1AF0" w:rsidR="1633040D" w:rsidRDefault="278BCBDD" w:rsidP="004A1C14">
      <w:pPr>
        <w:pStyle w:val="Odstavekseznama"/>
        <w:numPr>
          <w:ilvl w:val="0"/>
          <w:numId w:val="13"/>
        </w:numPr>
        <w:tabs>
          <w:tab w:val="left" w:pos="0"/>
          <w:tab w:val="left" w:pos="720"/>
        </w:tabs>
        <w:spacing w:after="0" w:line="257" w:lineRule="auto"/>
        <w:jc w:val="both"/>
        <w:rPr>
          <w:rFonts w:eastAsiaTheme="minorEastAsia"/>
        </w:rPr>
      </w:pPr>
      <w:r w:rsidRPr="29A8477B">
        <w:rPr>
          <w:rFonts w:eastAsiaTheme="minorEastAsia"/>
        </w:rPr>
        <w:t>komunalne opremljenosti,</w:t>
      </w:r>
    </w:p>
    <w:p w14:paraId="65B2321C" w14:textId="7CC3F4F6" w:rsidR="1633040D" w:rsidRDefault="278BCBDD" w:rsidP="004A1C14">
      <w:pPr>
        <w:pStyle w:val="Odstavekseznama"/>
        <w:numPr>
          <w:ilvl w:val="0"/>
          <w:numId w:val="13"/>
        </w:numPr>
        <w:tabs>
          <w:tab w:val="left" w:pos="0"/>
          <w:tab w:val="left" w:pos="720"/>
        </w:tabs>
        <w:spacing w:after="0" w:line="257" w:lineRule="auto"/>
        <w:jc w:val="both"/>
        <w:rPr>
          <w:rFonts w:eastAsiaTheme="minorEastAsia"/>
        </w:rPr>
      </w:pPr>
      <w:r w:rsidRPr="29A8477B">
        <w:rPr>
          <w:rFonts w:eastAsiaTheme="minorEastAsia"/>
        </w:rPr>
        <w:t>širokopasovnega interneta,</w:t>
      </w:r>
    </w:p>
    <w:p w14:paraId="3F333F50" w14:textId="21479808" w:rsidR="1633040D" w:rsidRDefault="278BCBDD" w:rsidP="004A1C14">
      <w:pPr>
        <w:pStyle w:val="Odstavekseznama"/>
        <w:numPr>
          <w:ilvl w:val="0"/>
          <w:numId w:val="13"/>
        </w:numPr>
        <w:tabs>
          <w:tab w:val="left" w:pos="0"/>
          <w:tab w:val="left" w:pos="720"/>
        </w:tabs>
        <w:spacing w:after="0" w:line="257" w:lineRule="auto"/>
        <w:jc w:val="both"/>
        <w:rPr>
          <w:rFonts w:eastAsiaTheme="minorEastAsia"/>
        </w:rPr>
      </w:pPr>
      <w:r w:rsidRPr="29A8477B">
        <w:rPr>
          <w:rFonts w:eastAsiaTheme="minorEastAsia"/>
        </w:rPr>
        <w:t>javnega prevoza in kolesarskih povezav,</w:t>
      </w:r>
    </w:p>
    <w:p w14:paraId="24CB7ABA" w14:textId="145762B2" w:rsidR="00F8305A" w:rsidRPr="00FE0FD5" w:rsidRDefault="278BCBDD" w:rsidP="004A1C14">
      <w:pPr>
        <w:pStyle w:val="Odstavekseznama"/>
        <w:numPr>
          <w:ilvl w:val="0"/>
          <w:numId w:val="13"/>
        </w:numPr>
        <w:tabs>
          <w:tab w:val="left" w:pos="0"/>
          <w:tab w:val="left" w:pos="720"/>
        </w:tabs>
        <w:spacing w:after="0" w:line="257" w:lineRule="auto"/>
        <w:jc w:val="both"/>
        <w:rPr>
          <w:rFonts w:eastAsiaTheme="minorEastAsia"/>
        </w:rPr>
      </w:pPr>
      <w:r w:rsidRPr="29A8477B">
        <w:rPr>
          <w:rFonts w:eastAsiaTheme="minorEastAsia"/>
        </w:rPr>
        <w:t>stanovanj za mlade strokovnjake.</w:t>
      </w:r>
    </w:p>
    <w:p w14:paraId="64DFEB1E" w14:textId="1BFBC544" w:rsidR="1633040D" w:rsidRDefault="278BCBDD" w:rsidP="00F8305A">
      <w:pPr>
        <w:spacing w:line="257" w:lineRule="auto"/>
        <w:jc w:val="both"/>
        <w:rPr>
          <w:rFonts w:eastAsiaTheme="minorEastAsia"/>
        </w:rPr>
      </w:pPr>
      <w:r w:rsidRPr="29A8477B">
        <w:rPr>
          <w:rFonts w:eastAsiaTheme="minorEastAsia"/>
        </w:rPr>
        <w:t>Pogosta je ocena, da infrastrukturni razvoj ne sledi potrebam gospodarstva in da občina/regija zaostaja za primerljivimi območji.</w:t>
      </w:r>
    </w:p>
    <w:p w14:paraId="7ADBCCDE" w14:textId="4E563CD8" w:rsidR="1633040D" w:rsidRDefault="278BCBDD" w:rsidP="00F8305A">
      <w:pPr>
        <w:spacing w:before="240" w:after="120" w:line="257" w:lineRule="auto"/>
        <w:jc w:val="both"/>
        <w:rPr>
          <w:rFonts w:eastAsiaTheme="minorEastAsia"/>
          <w:b/>
          <w:bCs/>
        </w:rPr>
      </w:pPr>
      <w:r w:rsidRPr="29A8477B">
        <w:rPr>
          <w:rFonts w:eastAsiaTheme="minorEastAsia"/>
          <w:b/>
          <w:bCs/>
        </w:rPr>
        <w:t>Načrti za širitev podjetij in ovire pri širitvi</w:t>
      </w:r>
    </w:p>
    <w:p w14:paraId="5ACCF2C2" w14:textId="63EAD85A" w:rsidR="1633040D" w:rsidRDefault="278BCBDD" w:rsidP="00F8305A">
      <w:pPr>
        <w:spacing w:line="257" w:lineRule="auto"/>
        <w:jc w:val="both"/>
        <w:rPr>
          <w:rFonts w:eastAsiaTheme="minorEastAsia"/>
        </w:rPr>
      </w:pPr>
      <w:r w:rsidRPr="29A8477B">
        <w:rPr>
          <w:rFonts w:eastAsiaTheme="minorEastAsia"/>
        </w:rPr>
        <w:lastRenderedPageBreak/>
        <w:t>Polovica podjetij nima zadostnih poslovnih prostorov, 63 % pa jih načrtuje širitev v naslednjih petih letih. Najpogosteje potrebujejo skladišča, zemljišča za širitev, proizvodne prostore in pisarne.</w:t>
      </w:r>
    </w:p>
    <w:p w14:paraId="35877511" w14:textId="6452E051" w:rsidR="1633040D" w:rsidRDefault="278BCBDD" w:rsidP="00F8305A">
      <w:pPr>
        <w:spacing w:after="0" w:line="257" w:lineRule="auto"/>
        <w:jc w:val="both"/>
        <w:rPr>
          <w:rFonts w:eastAsiaTheme="minorEastAsia"/>
        </w:rPr>
      </w:pPr>
      <w:r w:rsidRPr="29A8477B">
        <w:rPr>
          <w:rFonts w:eastAsiaTheme="minorEastAsia"/>
        </w:rPr>
        <w:t>Glavne ovire pri širitvi so:</w:t>
      </w:r>
    </w:p>
    <w:p w14:paraId="1081C286" w14:textId="0ED24F25" w:rsidR="1633040D" w:rsidRDefault="278BCBDD" w:rsidP="004A1C14">
      <w:pPr>
        <w:pStyle w:val="Odstavekseznama"/>
        <w:numPr>
          <w:ilvl w:val="0"/>
          <w:numId w:val="12"/>
        </w:numPr>
        <w:tabs>
          <w:tab w:val="left" w:pos="0"/>
          <w:tab w:val="left" w:pos="720"/>
        </w:tabs>
        <w:spacing w:after="0" w:line="257" w:lineRule="auto"/>
        <w:jc w:val="both"/>
        <w:rPr>
          <w:rFonts w:eastAsiaTheme="minorEastAsia"/>
        </w:rPr>
      </w:pPr>
      <w:r w:rsidRPr="29A8477B">
        <w:rPr>
          <w:rFonts w:eastAsiaTheme="minorEastAsia"/>
        </w:rPr>
        <w:t>visoki stroški nepremičnin,</w:t>
      </w:r>
    </w:p>
    <w:p w14:paraId="4CA8309A" w14:textId="74204722" w:rsidR="1633040D" w:rsidRDefault="278BCBDD" w:rsidP="004A1C14">
      <w:pPr>
        <w:pStyle w:val="Odstavekseznama"/>
        <w:numPr>
          <w:ilvl w:val="0"/>
          <w:numId w:val="12"/>
        </w:numPr>
        <w:tabs>
          <w:tab w:val="left" w:pos="0"/>
          <w:tab w:val="left" w:pos="720"/>
        </w:tabs>
        <w:spacing w:after="0" w:line="257" w:lineRule="auto"/>
        <w:jc w:val="both"/>
        <w:rPr>
          <w:rFonts w:eastAsiaTheme="minorEastAsia"/>
        </w:rPr>
      </w:pPr>
      <w:r w:rsidRPr="29A8477B">
        <w:rPr>
          <w:rFonts w:eastAsiaTheme="minorEastAsia"/>
        </w:rPr>
        <w:t>pomanjkanje prostih in ustreznih zemljišč,</w:t>
      </w:r>
    </w:p>
    <w:p w14:paraId="6123E729" w14:textId="57C69CF1" w:rsidR="1633040D" w:rsidRDefault="278BCBDD" w:rsidP="004A1C14">
      <w:pPr>
        <w:pStyle w:val="Odstavekseznama"/>
        <w:numPr>
          <w:ilvl w:val="0"/>
          <w:numId w:val="12"/>
        </w:numPr>
        <w:tabs>
          <w:tab w:val="left" w:pos="0"/>
          <w:tab w:val="left" w:pos="720"/>
        </w:tabs>
        <w:spacing w:after="0" w:line="257" w:lineRule="auto"/>
        <w:jc w:val="both"/>
        <w:rPr>
          <w:rFonts w:eastAsiaTheme="minorEastAsia"/>
        </w:rPr>
      </w:pPr>
      <w:r w:rsidRPr="29A8477B">
        <w:rPr>
          <w:rFonts w:eastAsiaTheme="minorEastAsia"/>
        </w:rPr>
        <w:t>dolgotrajni postopki sprejemanja prostorskih aktov.</w:t>
      </w:r>
    </w:p>
    <w:p w14:paraId="454538E0" w14:textId="3BFDC22A" w:rsidR="1633040D" w:rsidRDefault="278BCBDD" w:rsidP="00F8305A">
      <w:pPr>
        <w:spacing w:after="0" w:line="257" w:lineRule="auto"/>
        <w:jc w:val="both"/>
        <w:rPr>
          <w:rFonts w:eastAsiaTheme="minorEastAsia"/>
        </w:rPr>
      </w:pPr>
      <w:r w:rsidRPr="29A8477B">
        <w:rPr>
          <w:rFonts w:eastAsiaTheme="minorEastAsia"/>
        </w:rPr>
        <w:t xml:space="preserve"> </w:t>
      </w:r>
    </w:p>
    <w:p w14:paraId="75AD5CC9" w14:textId="0E026772" w:rsidR="1633040D" w:rsidRDefault="278BCBDD" w:rsidP="00F8305A">
      <w:pPr>
        <w:spacing w:line="257" w:lineRule="auto"/>
        <w:jc w:val="both"/>
        <w:rPr>
          <w:rFonts w:eastAsiaTheme="minorEastAsia"/>
        </w:rPr>
      </w:pPr>
      <w:r w:rsidRPr="29A8477B">
        <w:rPr>
          <w:rFonts w:eastAsiaTheme="minorEastAsia"/>
        </w:rPr>
        <w:t>Največji interes za širitev izkazujejo IT podjetja, proizvodna podjetja, trgovinska podjetja in gradbeni sektor.</w:t>
      </w:r>
    </w:p>
    <w:p w14:paraId="50A26A5C" w14:textId="7407527E" w:rsidR="1633040D" w:rsidRDefault="278BCBDD" w:rsidP="00F8305A">
      <w:pPr>
        <w:spacing w:before="240" w:after="120" w:line="257" w:lineRule="auto"/>
        <w:jc w:val="both"/>
        <w:rPr>
          <w:rFonts w:eastAsiaTheme="minorEastAsia"/>
          <w:b/>
          <w:bCs/>
        </w:rPr>
      </w:pPr>
      <w:r w:rsidRPr="29A8477B">
        <w:rPr>
          <w:rFonts w:eastAsiaTheme="minorEastAsia"/>
          <w:b/>
          <w:bCs/>
        </w:rPr>
        <w:t>Vloga JSMGG</w:t>
      </w:r>
    </w:p>
    <w:p w14:paraId="28E3D743" w14:textId="2919BA12" w:rsidR="1633040D" w:rsidRDefault="278BCBDD" w:rsidP="00F8305A">
      <w:pPr>
        <w:spacing w:line="257" w:lineRule="auto"/>
        <w:jc w:val="both"/>
        <w:rPr>
          <w:rFonts w:eastAsiaTheme="minorEastAsia"/>
        </w:rPr>
      </w:pPr>
      <w:r w:rsidRPr="29A8477B">
        <w:rPr>
          <w:rFonts w:eastAsiaTheme="minorEastAsia"/>
        </w:rPr>
        <w:t>Javni sklad malega gospodarstva Goriške pozna 68 % podjetij, vendar je dejanska uporaba njegovih storitev precej nižja. Najpogosteje podjetja uporabljajo mikrokredite, medtem ko so subvencije, garancije in izobraževanja manj zastopani.</w:t>
      </w:r>
    </w:p>
    <w:p w14:paraId="3AFD3D50" w14:textId="3E3E6BAA" w:rsidR="1633040D" w:rsidRDefault="278BCBDD" w:rsidP="00F8305A">
      <w:pPr>
        <w:spacing w:after="0" w:line="257" w:lineRule="auto"/>
        <w:jc w:val="both"/>
        <w:rPr>
          <w:rFonts w:eastAsiaTheme="minorEastAsia"/>
        </w:rPr>
      </w:pPr>
      <w:r w:rsidRPr="29A8477B">
        <w:rPr>
          <w:rFonts w:eastAsiaTheme="minorEastAsia"/>
        </w:rPr>
        <w:t>Podjetja predlagajo:</w:t>
      </w:r>
    </w:p>
    <w:p w14:paraId="47A64F9E" w14:textId="13A48FBA" w:rsidR="1633040D" w:rsidRDefault="278BCBDD" w:rsidP="004A1C14">
      <w:pPr>
        <w:pStyle w:val="Odstavekseznama"/>
        <w:numPr>
          <w:ilvl w:val="0"/>
          <w:numId w:val="11"/>
        </w:numPr>
        <w:tabs>
          <w:tab w:val="left" w:pos="0"/>
          <w:tab w:val="left" w:pos="720"/>
        </w:tabs>
        <w:spacing w:after="0" w:line="257" w:lineRule="auto"/>
        <w:jc w:val="both"/>
        <w:rPr>
          <w:rFonts w:eastAsiaTheme="minorEastAsia"/>
        </w:rPr>
      </w:pPr>
      <w:r w:rsidRPr="29A8477B">
        <w:rPr>
          <w:rFonts w:eastAsiaTheme="minorEastAsia"/>
        </w:rPr>
        <w:t>poenostavitev postopkov,</w:t>
      </w:r>
    </w:p>
    <w:p w14:paraId="64DDD087" w14:textId="6E66B4C4" w:rsidR="1633040D" w:rsidRDefault="278BCBDD" w:rsidP="004A1C14">
      <w:pPr>
        <w:pStyle w:val="Odstavekseznama"/>
        <w:numPr>
          <w:ilvl w:val="0"/>
          <w:numId w:val="11"/>
        </w:numPr>
        <w:tabs>
          <w:tab w:val="left" w:pos="0"/>
          <w:tab w:val="left" w:pos="720"/>
        </w:tabs>
        <w:spacing w:after="0" w:line="257" w:lineRule="auto"/>
        <w:jc w:val="both"/>
        <w:rPr>
          <w:rFonts w:eastAsiaTheme="minorEastAsia"/>
        </w:rPr>
      </w:pPr>
      <w:r w:rsidRPr="29A8477B">
        <w:rPr>
          <w:rFonts w:eastAsiaTheme="minorEastAsia"/>
        </w:rPr>
        <w:t>boljše informiranje,</w:t>
      </w:r>
    </w:p>
    <w:p w14:paraId="13F938EF" w14:textId="7D12480B" w:rsidR="1633040D" w:rsidRPr="00FE0FD5" w:rsidRDefault="278BCBDD" w:rsidP="004A1C14">
      <w:pPr>
        <w:pStyle w:val="Odstavekseznama"/>
        <w:numPr>
          <w:ilvl w:val="0"/>
          <w:numId w:val="11"/>
        </w:numPr>
        <w:tabs>
          <w:tab w:val="left" w:pos="0"/>
          <w:tab w:val="left" w:pos="720"/>
        </w:tabs>
        <w:spacing w:after="0" w:line="257" w:lineRule="auto"/>
        <w:jc w:val="both"/>
        <w:rPr>
          <w:rFonts w:eastAsiaTheme="minorEastAsia"/>
        </w:rPr>
      </w:pPr>
      <w:r w:rsidRPr="29A8477B">
        <w:rPr>
          <w:rFonts w:eastAsiaTheme="minorEastAsia"/>
        </w:rPr>
        <w:t>širitev finančnih spodbud za razvoj, inovacije in trajnostne projekte.</w:t>
      </w:r>
    </w:p>
    <w:p w14:paraId="0456A739" w14:textId="00C95AF6" w:rsidR="1633040D" w:rsidRDefault="278BCBDD" w:rsidP="00F8305A">
      <w:pPr>
        <w:spacing w:before="240" w:after="120" w:line="257" w:lineRule="auto"/>
        <w:jc w:val="both"/>
        <w:rPr>
          <w:rFonts w:eastAsiaTheme="minorEastAsia"/>
          <w:b/>
          <w:bCs/>
        </w:rPr>
      </w:pPr>
      <w:r w:rsidRPr="29A8477B">
        <w:rPr>
          <w:rFonts w:eastAsiaTheme="minorEastAsia"/>
          <w:b/>
          <w:bCs/>
        </w:rPr>
        <w:t>Ključna priporočila</w:t>
      </w:r>
    </w:p>
    <w:p w14:paraId="7A5ACB9C" w14:textId="04B4B882" w:rsidR="1633040D" w:rsidRDefault="278BCBDD" w:rsidP="00F8305A">
      <w:pPr>
        <w:spacing w:after="0" w:line="257" w:lineRule="auto"/>
        <w:jc w:val="both"/>
        <w:rPr>
          <w:rFonts w:eastAsiaTheme="minorEastAsia"/>
        </w:rPr>
      </w:pPr>
      <w:r w:rsidRPr="29A8477B">
        <w:rPr>
          <w:rFonts w:eastAsiaTheme="minorEastAsia"/>
        </w:rPr>
        <w:t>Analiza ugotavlja, da ima Goriška pomemben razvojni potencial, vendar ga omejuje več strukturnih težav. Za uspešen razvoj do leta 2030 so ključni naslednji ukrepi:</w:t>
      </w:r>
    </w:p>
    <w:p w14:paraId="12CBD7A9" w14:textId="59E5D413" w:rsidR="1633040D" w:rsidRDefault="278BCBDD" w:rsidP="004A1C14">
      <w:pPr>
        <w:pStyle w:val="Odstavekseznama"/>
        <w:numPr>
          <w:ilvl w:val="0"/>
          <w:numId w:val="10"/>
        </w:numPr>
        <w:tabs>
          <w:tab w:val="left" w:pos="0"/>
          <w:tab w:val="left" w:pos="720"/>
        </w:tabs>
        <w:spacing w:after="0" w:line="257" w:lineRule="auto"/>
        <w:jc w:val="both"/>
        <w:rPr>
          <w:rFonts w:eastAsiaTheme="minorEastAsia"/>
        </w:rPr>
      </w:pPr>
      <w:r w:rsidRPr="29A8477B">
        <w:rPr>
          <w:rFonts w:eastAsiaTheme="minorEastAsia"/>
        </w:rPr>
        <w:t>izboljšanje dostopa do usposobljene delovne sile,</w:t>
      </w:r>
    </w:p>
    <w:p w14:paraId="75B5E179" w14:textId="7CE913AD" w:rsidR="1633040D" w:rsidRDefault="278BCBDD" w:rsidP="004A1C14">
      <w:pPr>
        <w:pStyle w:val="Odstavekseznama"/>
        <w:numPr>
          <w:ilvl w:val="0"/>
          <w:numId w:val="10"/>
        </w:numPr>
        <w:tabs>
          <w:tab w:val="left" w:pos="0"/>
          <w:tab w:val="left" w:pos="720"/>
        </w:tabs>
        <w:spacing w:after="0" w:line="257" w:lineRule="auto"/>
        <w:jc w:val="both"/>
        <w:rPr>
          <w:rFonts w:eastAsiaTheme="minorEastAsia"/>
        </w:rPr>
      </w:pPr>
      <w:r w:rsidRPr="29A8477B">
        <w:rPr>
          <w:rFonts w:eastAsiaTheme="minorEastAsia"/>
        </w:rPr>
        <w:t>zmanjšanje administrativnih ovir,</w:t>
      </w:r>
    </w:p>
    <w:p w14:paraId="0D137446" w14:textId="5F3FB9C0" w:rsidR="1633040D" w:rsidRDefault="278BCBDD" w:rsidP="004A1C14">
      <w:pPr>
        <w:pStyle w:val="Odstavekseznama"/>
        <w:numPr>
          <w:ilvl w:val="0"/>
          <w:numId w:val="10"/>
        </w:numPr>
        <w:tabs>
          <w:tab w:val="left" w:pos="0"/>
          <w:tab w:val="left" w:pos="720"/>
        </w:tabs>
        <w:spacing w:after="0" w:line="257" w:lineRule="auto"/>
        <w:jc w:val="both"/>
        <w:rPr>
          <w:rFonts w:eastAsiaTheme="minorEastAsia"/>
        </w:rPr>
      </w:pPr>
      <w:r w:rsidRPr="29A8477B">
        <w:rPr>
          <w:rFonts w:eastAsiaTheme="minorEastAsia"/>
        </w:rPr>
        <w:t>hitrejše prostorsko načrtovanje,</w:t>
      </w:r>
    </w:p>
    <w:p w14:paraId="05A21CDF" w14:textId="66970C88" w:rsidR="1633040D" w:rsidRDefault="278BCBDD" w:rsidP="004A1C14">
      <w:pPr>
        <w:pStyle w:val="Odstavekseznama"/>
        <w:numPr>
          <w:ilvl w:val="0"/>
          <w:numId w:val="10"/>
        </w:numPr>
        <w:tabs>
          <w:tab w:val="left" w:pos="0"/>
          <w:tab w:val="left" w:pos="720"/>
        </w:tabs>
        <w:spacing w:after="0" w:line="257" w:lineRule="auto"/>
        <w:jc w:val="both"/>
        <w:rPr>
          <w:rFonts w:eastAsiaTheme="minorEastAsia"/>
        </w:rPr>
      </w:pPr>
      <w:r w:rsidRPr="29A8477B">
        <w:rPr>
          <w:rFonts w:eastAsiaTheme="minorEastAsia"/>
        </w:rPr>
        <w:t>razvoj novih poslovnih in industrijskih con,</w:t>
      </w:r>
    </w:p>
    <w:p w14:paraId="2A48DB17" w14:textId="5638DDB2" w:rsidR="1633040D" w:rsidRDefault="278BCBDD" w:rsidP="004A1C14">
      <w:pPr>
        <w:pStyle w:val="Odstavekseznama"/>
        <w:numPr>
          <w:ilvl w:val="0"/>
          <w:numId w:val="10"/>
        </w:numPr>
        <w:tabs>
          <w:tab w:val="left" w:pos="0"/>
          <w:tab w:val="left" w:pos="720"/>
        </w:tabs>
        <w:spacing w:after="0" w:line="257" w:lineRule="auto"/>
        <w:jc w:val="both"/>
        <w:rPr>
          <w:rFonts w:eastAsiaTheme="minorEastAsia"/>
        </w:rPr>
      </w:pPr>
      <w:r w:rsidRPr="29A8477B">
        <w:rPr>
          <w:rFonts w:eastAsiaTheme="minorEastAsia"/>
        </w:rPr>
        <w:t>izboljšanje prometne, komunalne in digitalne infrastrukture,</w:t>
      </w:r>
    </w:p>
    <w:p w14:paraId="3BB84FA6" w14:textId="63BF4379" w:rsidR="1633040D" w:rsidRDefault="278BCBDD" w:rsidP="004A1C14">
      <w:pPr>
        <w:pStyle w:val="Odstavekseznama"/>
        <w:numPr>
          <w:ilvl w:val="0"/>
          <w:numId w:val="10"/>
        </w:numPr>
        <w:tabs>
          <w:tab w:val="left" w:pos="0"/>
          <w:tab w:val="left" w:pos="720"/>
        </w:tabs>
        <w:spacing w:after="0" w:line="257" w:lineRule="auto"/>
        <w:jc w:val="both"/>
        <w:rPr>
          <w:rFonts w:eastAsiaTheme="minorEastAsia"/>
        </w:rPr>
      </w:pPr>
      <w:r w:rsidRPr="29A8477B">
        <w:rPr>
          <w:rFonts w:eastAsiaTheme="minorEastAsia"/>
        </w:rPr>
        <w:t>več finančnih spodbud za podjetja,</w:t>
      </w:r>
    </w:p>
    <w:p w14:paraId="41710610" w14:textId="6E5449E2" w:rsidR="1633040D" w:rsidRDefault="278BCBDD" w:rsidP="004A1C14">
      <w:pPr>
        <w:pStyle w:val="Odstavekseznama"/>
        <w:numPr>
          <w:ilvl w:val="0"/>
          <w:numId w:val="10"/>
        </w:numPr>
        <w:tabs>
          <w:tab w:val="left" w:pos="0"/>
          <w:tab w:val="left" w:pos="720"/>
        </w:tabs>
        <w:spacing w:after="0" w:line="257" w:lineRule="auto"/>
        <w:jc w:val="both"/>
        <w:rPr>
          <w:rFonts w:eastAsiaTheme="minorEastAsia"/>
        </w:rPr>
      </w:pPr>
      <w:r w:rsidRPr="29A8477B">
        <w:rPr>
          <w:rFonts w:eastAsiaTheme="minorEastAsia"/>
        </w:rPr>
        <w:t>tesnejše sodelovanje med občino, gospodarstvom in izobraževalnimi ustanovami.</w:t>
      </w:r>
    </w:p>
    <w:p w14:paraId="30BC9930" w14:textId="79AC6457" w:rsidR="1633040D" w:rsidRDefault="278BCBDD" w:rsidP="00F8305A">
      <w:pPr>
        <w:spacing w:after="0" w:line="257" w:lineRule="auto"/>
        <w:jc w:val="both"/>
        <w:rPr>
          <w:rFonts w:eastAsiaTheme="minorEastAsia"/>
        </w:rPr>
      </w:pPr>
      <w:r w:rsidRPr="29A8477B">
        <w:rPr>
          <w:rFonts w:eastAsiaTheme="minorEastAsia"/>
        </w:rPr>
        <w:t xml:space="preserve"> </w:t>
      </w:r>
    </w:p>
    <w:p w14:paraId="50A1309F" w14:textId="4A650FB3" w:rsidR="1706C59B" w:rsidRPr="00261917" w:rsidRDefault="278BCBDD" w:rsidP="1706C59B">
      <w:pPr>
        <w:spacing w:line="257" w:lineRule="auto"/>
        <w:jc w:val="both"/>
      </w:pPr>
      <w:r w:rsidRPr="1706C59B">
        <w:rPr>
          <w:rFonts w:eastAsiaTheme="minorEastAsia"/>
        </w:rPr>
        <w:t>Osrednje sporočilo analize je, da gospodarstvo na Goriškem ostaja razvojno naravnano in optimistično glede prihodnosti, vendar pričakuje bistveno bolj aktivno in razvojno usmerjeno podporo lokalnega okolja za uresničitev svojih razvojnih načrtov.</w:t>
      </w:r>
    </w:p>
    <w:p w14:paraId="7DA8F5DD" w14:textId="365EFE95" w:rsidR="1633040D" w:rsidRPr="00F679B4" w:rsidRDefault="00F679B4" w:rsidP="00E169DA">
      <w:pPr>
        <w:pStyle w:val="Naslov4"/>
        <w:spacing w:before="240" w:after="120"/>
      </w:pPr>
      <w:r>
        <w:t xml:space="preserve">3.4 </w:t>
      </w:r>
      <w:r w:rsidR="278BCBDD" w:rsidRPr="00F679B4">
        <w:t xml:space="preserve">Analiza gospodarskega podpornega okolja, november 2024  </w:t>
      </w:r>
    </w:p>
    <w:p w14:paraId="2DFB2868" w14:textId="74109DBE" w:rsidR="1633040D" w:rsidRDefault="278BCBDD" w:rsidP="00F8305A">
      <w:pPr>
        <w:spacing w:before="240" w:after="120" w:line="257" w:lineRule="auto"/>
        <w:rPr>
          <w:rFonts w:eastAsiaTheme="minorEastAsia"/>
          <w:b/>
          <w:bCs/>
        </w:rPr>
      </w:pPr>
      <w:r w:rsidRPr="29A8477B">
        <w:rPr>
          <w:rFonts w:eastAsiaTheme="minorEastAsia"/>
          <w:b/>
          <w:bCs/>
        </w:rPr>
        <w:t>Namen analize</w:t>
      </w:r>
    </w:p>
    <w:p w14:paraId="1DED5599" w14:textId="1ACCA9FE" w:rsidR="00F8305A" w:rsidRDefault="278BCBDD" w:rsidP="004F02EE">
      <w:pPr>
        <w:spacing w:line="257" w:lineRule="auto"/>
        <w:jc w:val="both"/>
        <w:rPr>
          <w:rFonts w:eastAsiaTheme="minorEastAsia"/>
        </w:rPr>
      </w:pPr>
      <w:r w:rsidRPr="29A8477B">
        <w:rPr>
          <w:rFonts w:eastAsiaTheme="minorEastAsia"/>
        </w:rPr>
        <w:t xml:space="preserve">Analiza obravnava delovanje gospodarskega podpornega okolja v Mestni občini Nova Gorica (MONG) in podaja predloge za vzpostavitev učinkovitejšega inovacijsko-podjetniškega ekosistema. Temeljno vprašanje je, kako bolje povezati podporne institucije, organizacije znanja in gospodarstvo, da bi </w:t>
      </w:r>
    </w:p>
    <w:p w14:paraId="2E186E3C" w14:textId="281738DE" w:rsidR="1633040D" w:rsidRDefault="278BCBDD" w:rsidP="004F02EE">
      <w:pPr>
        <w:spacing w:line="257" w:lineRule="auto"/>
        <w:jc w:val="both"/>
        <w:rPr>
          <w:rFonts w:eastAsiaTheme="minorEastAsia"/>
        </w:rPr>
      </w:pPr>
      <w:r w:rsidRPr="29A8477B">
        <w:rPr>
          <w:rFonts w:eastAsiaTheme="minorEastAsia"/>
        </w:rPr>
        <w:t xml:space="preserve">podjetjem zagotovili celovito podporo in s tem spodbudili gospodarski razvoj ter ustvarjanje kakovostnih delovnih mest. </w:t>
      </w:r>
    </w:p>
    <w:p w14:paraId="03BED892" w14:textId="11C7E8A4" w:rsidR="1633040D" w:rsidRDefault="278BCBDD" w:rsidP="004F02EE">
      <w:pPr>
        <w:spacing w:line="257" w:lineRule="auto"/>
        <w:jc w:val="both"/>
        <w:rPr>
          <w:rFonts w:eastAsiaTheme="minorEastAsia"/>
        </w:rPr>
      </w:pPr>
      <w:r w:rsidRPr="29A8477B">
        <w:rPr>
          <w:rFonts w:eastAsiaTheme="minorEastAsia"/>
        </w:rPr>
        <w:lastRenderedPageBreak/>
        <w:t xml:space="preserve">Dokument izhaja iz prepričanja, da dolgoročni razvoj občine temelji na močnem gospodarstvu, kakovostnih delovnih mestih, inovacijah in podjetništvu. Zato mora občina vzpostaviti pogoje, v katerih bodo institucije znanja, podporne organizacije, podjetja in drugi deležniki delovali usklajeno ter sledili skupnim razvojnim ciljem. </w:t>
      </w:r>
    </w:p>
    <w:p w14:paraId="19C18E20" w14:textId="294CEFD6" w:rsidR="1633040D" w:rsidRDefault="278BCBDD" w:rsidP="004F02EE">
      <w:pPr>
        <w:spacing w:before="240" w:after="120" w:line="257" w:lineRule="auto"/>
        <w:jc w:val="both"/>
        <w:rPr>
          <w:rFonts w:eastAsiaTheme="minorEastAsia"/>
          <w:b/>
          <w:bCs/>
        </w:rPr>
      </w:pPr>
      <w:r w:rsidRPr="29A8477B">
        <w:rPr>
          <w:rFonts w:eastAsiaTheme="minorEastAsia"/>
          <w:b/>
          <w:bCs/>
        </w:rPr>
        <w:t>Ključne ugotovitve</w:t>
      </w:r>
    </w:p>
    <w:p w14:paraId="4BD5D71E" w14:textId="75F75265" w:rsidR="1633040D" w:rsidRDefault="278BCBDD" w:rsidP="004F02EE">
      <w:pPr>
        <w:spacing w:line="257" w:lineRule="auto"/>
        <w:jc w:val="both"/>
        <w:rPr>
          <w:rFonts w:eastAsiaTheme="minorEastAsia"/>
        </w:rPr>
      </w:pPr>
      <w:r w:rsidRPr="29A8477B">
        <w:rPr>
          <w:rFonts w:eastAsiaTheme="minorEastAsia"/>
        </w:rPr>
        <w:t xml:space="preserve">Analiza ugotavlja, da inovacijsko-podjetniški ekosistem v MONG sicer obstaja, vendar deluje nepovezano, brez zadostne koordinacije in jasnih razvojnih usmeritev. Posamezne organizacije izvajajo številne kakovostne programe, vendar med njimi ni dovolj sodelovanja, zato celoten sistem ne dosega pričakovanih učinkov. Posebej je izpostavljena šibka povezava med raziskovalno-razvojno dejavnostjo in gospodarstvom ter prevelika usmerjenost posameznih organizacij v lasten razvoj namesto v skupne cilje. </w:t>
      </w:r>
    </w:p>
    <w:p w14:paraId="3F180F1E" w14:textId="3A38E648" w:rsidR="1633040D" w:rsidRDefault="278BCBDD" w:rsidP="004F02EE">
      <w:pPr>
        <w:spacing w:after="0" w:line="257" w:lineRule="auto"/>
        <w:jc w:val="both"/>
        <w:rPr>
          <w:rFonts w:eastAsiaTheme="minorEastAsia"/>
        </w:rPr>
      </w:pPr>
      <w:r w:rsidRPr="29A8477B">
        <w:rPr>
          <w:rFonts w:eastAsiaTheme="minorEastAsia"/>
        </w:rPr>
        <w:t>Dokument izpostavlja sedem ključnih razvojnih izzivov:</w:t>
      </w:r>
    </w:p>
    <w:p w14:paraId="5B26612E" w14:textId="48120348" w:rsidR="1633040D" w:rsidRDefault="278BCBDD" w:rsidP="004A1C14">
      <w:pPr>
        <w:pStyle w:val="Odstavekseznama"/>
        <w:numPr>
          <w:ilvl w:val="0"/>
          <w:numId w:val="9"/>
        </w:numPr>
        <w:tabs>
          <w:tab w:val="left" w:pos="0"/>
          <w:tab w:val="left" w:pos="720"/>
        </w:tabs>
        <w:spacing w:after="0" w:line="257" w:lineRule="auto"/>
        <w:jc w:val="both"/>
        <w:rPr>
          <w:rFonts w:eastAsiaTheme="minorEastAsia"/>
        </w:rPr>
      </w:pPr>
      <w:r w:rsidRPr="29A8477B">
        <w:rPr>
          <w:rFonts w:eastAsiaTheme="minorEastAsia"/>
        </w:rPr>
        <w:t>razvoj in privabljanje talentov,</w:t>
      </w:r>
    </w:p>
    <w:p w14:paraId="69BA0B16" w14:textId="03722833" w:rsidR="1633040D" w:rsidRDefault="278BCBDD" w:rsidP="004A1C14">
      <w:pPr>
        <w:pStyle w:val="Odstavekseznama"/>
        <w:numPr>
          <w:ilvl w:val="0"/>
          <w:numId w:val="9"/>
        </w:numPr>
        <w:tabs>
          <w:tab w:val="left" w:pos="0"/>
          <w:tab w:val="left" w:pos="720"/>
        </w:tabs>
        <w:spacing w:after="0" w:line="257" w:lineRule="auto"/>
        <w:jc w:val="both"/>
        <w:rPr>
          <w:rFonts w:eastAsiaTheme="minorEastAsia"/>
        </w:rPr>
      </w:pPr>
      <w:r w:rsidRPr="29A8477B">
        <w:rPr>
          <w:rFonts w:eastAsiaTheme="minorEastAsia"/>
        </w:rPr>
        <w:t>krepitev raziskav, razvoja in inovacij,</w:t>
      </w:r>
    </w:p>
    <w:p w14:paraId="63F283C5" w14:textId="10127DA9" w:rsidR="1633040D" w:rsidRDefault="278BCBDD" w:rsidP="004A1C14">
      <w:pPr>
        <w:pStyle w:val="Odstavekseznama"/>
        <w:numPr>
          <w:ilvl w:val="0"/>
          <w:numId w:val="9"/>
        </w:numPr>
        <w:tabs>
          <w:tab w:val="left" w:pos="0"/>
          <w:tab w:val="left" w:pos="720"/>
        </w:tabs>
        <w:spacing w:after="0" w:line="257" w:lineRule="auto"/>
        <w:jc w:val="both"/>
        <w:rPr>
          <w:rFonts w:eastAsiaTheme="minorEastAsia"/>
        </w:rPr>
      </w:pPr>
      <w:r w:rsidRPr="29A8477B">
        <w:rPr>
          <w:rFonts w:eastAsiaTheme="minorEastAsia"/>
        </w:rPr>
        <w:t>spodbujanje nastajanja novih podjetij,</w:t>
      </w:r>
    </w:p>
    <w:p w14:paraId="40B62B4F" w14:textId="6588D0EA" w:rsidR="1633040D" w:rsidRDefault="278BCBDD" w:rsidP="004A1C14">
      <w:pPr>
        <w:pStyle w:val="Odstavekseznama"/>
        <w:numPr>
          <w:ilvl w:val="0"/>
          <w:numId w:val="9"/>
        </w:numPr>
        <w:tabs>
          <w:tab w:val="left" w:pos="0"/>
          <w:tab w:val="left" w:pos="720"/>
        </w:tabs>
        <w:spacing w:after="0" w:line="257" w:lineRule="auto"/>
        <w:jc w:val="both"/>
        <w:rPr>
          <w:rFonts w:eastAsiaTheme="minorEastAsia"/>
        </w:rPr>
      </w:pPr>
      <w:r w:rsidRPr="29A8477B">
        <w:rPr>
          <w:rFonts w:eastAsiaTheme="minorEastAsia"/>
        </w:rPr>
        <w:t>finančna podpora gospodarstvu,</w:t>
      </w:r>
    </w:p>
    <w:p w14:paraId="59EB327C" w14:textId="232AB987" w:rsidR="1633040D" w:rsidRDefault="278BCBDD" w:rsidP="004A1C14">
      <w:pPr>
        <w:pStyle w:val="Odstavekseznama"/>
        <w:numPr>
          <w:ilvl w:val="0"/>
          <w:numId w:val="9"/>
        </w:numPr>
        <w:tabs>
          <w:tab w:val="left" w:pos="0"/>
          <w:tab w:val="left" w:pos="720"/>
        </w:tabs>
        <w:spacing w:after="0" w:line="257" w:lineRule="auto"/>
        <w:jc w:val="both"/>
        <w:rPr>
          <w:rFonts w:eastAsiaTheme="minorEastAsia"/>
        </w:rPr>
      </w:pPr>
      <w:r w:rsidRPr="29A8477B">
        <w:rPr>
          <w:rFonts w:eastAsiaTheme="minorEastAsia"/>
        </w:rPr>
        <w:t>razvoj infrastrukture,</w:t>
      </w:r>
    </w:p>
    <w:p w14:paraId="58351A81" w14:textId="4DE98925" w:rsidR="1633040D" w:rsidRDefault="278BCBDD" w:rsidP="004A1C14">
      <w:pPr>
        <w:pStyle w:val="Odstavekseznama"/>
        <w:numPr>
          <w:ilvl w:val="0"/>
          <w:numId w:val="9"/>
        </w:numPr>
        <w:tabs>
          <w:tab w:val="left" w:pos="0"/>
          <w:tab w:val="left" w:pos="720"/>
        </w:tabs>
        <w:spacing w:after="0" w:line="257" w:lineRule="auto"/>
        <w:jc w:val="both"/>
        <w:rPr>
          <w:rFonts w:eastAsiaTheme="minorEastAsia"/>
        </w:rPr>
      </w:pPr>
      <w:r w:rsidRPr="29A8477B">
        <w:rPr>
          <w:rFonts w:eastAsiaTheme="minorEastAsia"/>
        </w:rPr>
        <w:t>oblikovanje jasnih razvojnih dokumentov,</w:t>
      </w:r>
    </w:p>
    <w:p w14:paraId="01FB4EA1" w14:textId="50375732" w:rsidR="1633040D" w:rsidRDefault="278BCBDD" w:rsidP="004A1C14">
      <w:pPr>
        <w:pStyle w:val="Odstavekseznama"/>
        <w:numPr>
          <w:ilvl w:val="0"/>
          <w:numId w:val="9"/>
        </w:numPr>
        <w:tabs>
          <w:tab w:val="left" w:pos="0"/>
          <w:tab w:val="left" w:pos="720"/>
        </w:tabs>
        <w:spacing w:line="257" w:lineRule="auto"/>
        <w:jc w:val="both"/>
        <w:rPr>
          <w:rFonts w:eastAsiaTheme="minorEastAsia"/>
        </w:rPr>
      </w:pPr>
      <w:r w:rsidRPr="29A8477B">
        <w:rPr>
          <w:rFonts w:eastAsiaTheme="minorEastAsia"/>
        </w:rPr>
        <w:t xml:space="preserve">učinkovito upravljanje in koordinacija deležnikov. </w:t>
      </w:r>
    </w:p>
    <w:p w14:paraId="51BCB186" w14:textId="3B8A68AA" w:rsidR="1633040D" w:rsidRDefault="278BCBDD" w:rsidP="004F02EE">
      <w:pPr>
        <w:spacing w:before="240" w:after="120" w:line="257" w:lineRule="auto"/>
        <w:jc w:val="both"/>
        <w:rPr>
          <w:rFonts w:eastAsiaTheme="minorEastAsia"/>
          <w:b/>
          <w:bCs/>
        </w:rPr>
      </w:pPr>
      <w:r w:rsidRPr="29A8477B">
        <w:rPr>
          <w:rFonts w:eastAsiaTheme="minorEastAsia"/>
          <w:b/>
          <w:bCs/>
        </w:rPr>
        <w:t>Obstoječe prednosti</w:t>
      </w:r>
    </w:p>
    <w:p w14:paraId="2DF222BE" w14:textId="3B1E18DD" w:rsidR="1633040D" w:rsidRDefault="278BCBDD" w:rsidP="004F02EE">
      <w:pPr>
        <w:spacing w:line="257" w:lineRule="auto"/>
        <w:jc w:val="both"/>
        <w:rPr>
          <w:rFonts w:eastAsiaTheme="minorEastAsia"/>
        </w:rPr>
      </w:pPr>
      <w:r w:rsidRPr="29A8477B">
        <w:rPr>
          <w:rFonts w:eastAsiaTheme="minorEastAsia"/>
        </w:rPr>
        <w:t xml:space="preserve">MONG že razpolaga s pomembnimi razvojnimi viri. V podpornem okolju sodeluje več kot deset organizacij in približno sto strokovnjakov, letno pa je za podporne aktivnosti in finančne spodbude gospodarstvu namenjenih več milijonov evrov. Na voljo so številni programi, kot so dejavnosti Primorskega tehnološkega parka, Javnega sklada malega gospodarstva Goriške, Univerze v Novi Gorici, Območne obrtno-podjetniške zbornice in drugih organizacij. </w:t>
      </w:r>
    </w:p>
    <w:p w14:paraId="43B9334E" w14:textId="61DE9EDE" w:rsidR="1633040D" w:rsidRDefault="278BCBDD" w:rsidP="004F02EE">
      <w:pPr>
        <w:spacing w:after="0" w:line="257" w:lineRule="auto"/>
        <w:jc w:val="both"/>
        <w:rPr>
          <w:rFonts w:eastAsiaTheme="minorEastAsia"/>
        </w:rPr>
      </w:pPr>
      <w:r w:rsidRPr="29A8477B">
        <w:rPr>
          <w:rFonts w:eastAsiaTheme="minorEastAsia"/>
        </w:rPr>
        <w:t>Po oceni analize težava ni v pomanjkanju virov, temveč v njihovem razpršenem in premalo usklajenem delovanju. Zato analiza predlaga:</w:t>
      </w:r>
    </w:p>
    <w:p w14:paraId="2879E805" w14:textId="2B1D143F" w:rsidR="1633040D" w:rsidRDefault="278BCBDD" w:rsidP="004A1C14">
      <w:pPr>
        <w:pStyle w:val="Odstavekseznama"/>
        <w:numPr>
          <w:ilvl w:val="0"/>
          <w:numId w:val="8"/>
        </w:numPr>
        <w:tabs>
          <w:tab w:val="left" w:pos="0"/>
          <w:tab w:val="left" w:pos="720"/>
        </w:tabs>
        <w:spacing w:after="0" w:line="257" w:lineRule="auto"/>
        <w:jc w:val="both"/>
        <w:rPr>
          <w:rFonts w:eastAsiaTheme="minorEastAsia"/>
        </w:rPr>
      </w:pPr>
      <w:r w:rsidRPr="29A8477B">
        <w:rPr>
          <w:rFonts w:eastAsiaTheme="minorEastAsia"/>
        </w:rPr>
        <w:t>strateško načrtovanje,</w:t>
      </w:r>
    </w:p>
    <w:p w14:paraId="7AABD66A" w14:textId="2DB61194" w:rsidR="1633040D" w:rsidRDefault="278BCBDD" w:rsidP="004A1C14">
      <w:pPr>
        <w:pStyle w:val="Odstavekseznama"/>
        <w:numPr>
          <w:ilvl w:val="0"/>
          <w:numId w:val="8"/>
        </w:numPr>
        <w:tabs>
          <w:tab w:val="left" w:pos="0"/>
          <w:tab w:val="left" w:pos="720"/>
        </w:tabs>
        <w:spacing w:after="0" w:line="257" w:lineRule="auto"/>
        <w:jc w:val="both"/>
        <w:rPr>
          <w:rFonts w:eastAsiaTheme="minorEastAsia"/>
        </w:rPr>
      </w:pPr>
      <w:r w:rsidRPr="29A8477B">
        <w:rPr>
          <w:rFonts w:eastAsiaTheme="minorEastAsia"/>
        </w:rPr>
        <w:t>boljše usmerjanje dejavnosti,</w:t>
      </w:r>
    </w:p>
    <w:p w14:paraId="14CA83DC" w14:textId="49958129" w:rsidR="1633040D" w:rsidRDefault="278BCBDD" w:rsidP="004A1C14">
      <w:pPr>
        <w:pStyle w:val="Odstavekseznama"/>
        <w:numPr>
          <w:ilvl w:val="0"/>
          <w:numId w:val="8"/>
        </w:numPr>
        <w:tabs>
          <w:tab w:val="left" w:pos="0"/>
          <w:tab w:val="left" w:pos="720"/>
        </w:tabs>
        <w:spacing w:after="0" w:line="257" w:lineRule="auto"/>
        <w:jc w:val="both"/>
        <w:rPr>
          <w:rFonts w:eastAsiaTheme="minorEastAsia"/>
        </w:rPr>
      </w:pPr>
      <w:r w:rsidRPr="29A8477B">
        <w:rPr>
          <w:rFonts w:eastAsiaTheme="minorEastAsia"/>
        </w:rPr>
        <w:t>prilagajanje programov dejanskim potrebam gospodarstva,</w:t>
      </w:r>
    </w:p>
    <w:p w14:paraId="228D0693" w14:textId="6FC9A68C" w:rsidR="1633040D" w:rsidRDefault="278BCBDD" w:rsidP="004A1C14">
      <w:pPr>
        <w:pStyle w:val="Odstavekseznama"/>
        <w:numPr>
          <w:ilvl w:val="0"/>
          <w:numId w:val="8"/>
        </w:numPr>
        <w:tabs>
          <w:tab w:val="left" w:pos="0"/>
          <w:tab w:val="left" w:pos="720"/>
        </w:tabs>
        <w:spacing w:after="0" w:line="257" w:lineRule="auto"/>
        <w:jc w:val="both"/>
        <w:rPr>
          <w:rFonts w:eastAsiaTheme="minorEastAsia"/>
        </w:rPr>
      </w:pPr>
      <w:r w:rsidRPr="29A8477B">
        <w:rPr>
          <w:rFonts w:eastAsiaTheme="minorEastAsia"/>
        </w:rPr>
        <w:t>učinkovitejšo porabo virov,</w:t>
      </w:r>
    </w:p>
    <w:p w14:paraId="7E786CBC" w14:textId="0268F9DE" w:rsidR="1633040D" w:rsidRDefault="278BCBDD" w:rsidP="004A1C14">
      <w:pPr>
        <w:pStyle w:val="Odstavekseznama"/>
        <w:numPr>
          <w:ilvl w:val="0"/>
          <w:numId w:val="8"/>
        </w:numPr>
        <w:tabs>
          <w:tab w:val="left" w:pos="0"/>
          <w:tab w:val="left" w:pos="720"/>
        </w:tabs>
        <w:spacing w:line="257" w:lineRule="auto"/>
        <w:jc w:val="both"/>
        <w:rPr>
          <w:rFonts w:eastAsiaTheme="minorEastAsia"/>
        </w:rPr>
      </w:pPr>
      <w:r w:rsidRPr="29A8477B">
        <w:rPr>
          <w:rFonts w:eastAsiaTheme="minorEastAsia"/>
        </w:rPr>
        <w:t xml:space="preserve">sistematično spremljanje rezultatov. </w:t>
      </w:r>
    </w:p>
    <w:p w14:paraId="0A14EBA3" w14:textId="7205F5C3" w:rsidR="1633040D" w:rsidRDefault="278BCBDD" w:rsidP="004F02EE">
      <w:pPr>
        <w:spacing w:before="240" w:after="120" w:line="257" w:lineRule="auto"/>
        <w:jc w:val="both"/>
        <w:rPr>
          <w:rFonts w:eastAsiaTheme="minorEastAsia"/>
          <w:b/>
          <w:bCs/>
        </w:rPr>
      </w:pPr>
      <w:r w:rsidRPr="29A8477B">
        <w:rPr>
          <w:rFonts w:eastAsiaTheme="minorEastAsia"/>
          <w:b/>
          <w:bCs/>
        </w:rPr>
        <w:t>Predlagana vizija razvoja</w:t>
      </w:r>
    </w:p>
    <w:p w14:paraId="37CC5B02" w14:textId="2F3F0312" w:rsidR="1633040D" w:rsidRDefault="278BCBDD" w:rsidP="004F02EE">
      <w:pPr>
        <w:spacing w:after="0" w:line="257" w:lineRule="auto"/>
        <w:jc w:val="both"/>
        <w:rPr>
          <w:rFonts w:eastAsiaTheme="minorEastAsia"/>
        </w:rPr>
      </w:pPr>
      <w:r w:rsidRPr="29A8477B">
        <w:rPr>
          <w:rFonts w:eastAsiaTheme="minorEastAsia"/>
        </w:rPr>
        <w:t>Predlagana vizija razvoja gospodarstva MONG temelji na štirih ključnih usmeritvah: trajnostni gospodarski razvoj, razvoj centra znanja, inovacij, visokotehnoloških podjetij, usmeritev v zelene in digitalne tehnologije ter kakovostna podpora podjetjem v vseh razvojnih fazah. Ključni razvojni cilji so:</w:t>
      </w:r>
    </w:p>
    <w:p w14:paraId="5E5CF4C9" w14:textId="5ADA4507" w:rsidR="1633040D" w:rsidRDefault="278BCBDD" w:rsidP="004A1C14">
      <w:pPr>
        <w:pStyle w:val="Odstavekseznama"/>
        <w:numPr>
          <w:ilvl w:val="0"/>
          <w:numId w:val="7"/>
        </w:numPr>
        <w:tabs>
          <w:tab w:val="left" w:pos="0"/>
          <w:tab w:val="left" w:pos="720"/>
        </w:tabs>
        <w:spacing w:after="0" w:line="257" w:lineRule="auto"/>
        <w:jc w:val="both"/>
        <w:rPr>
          <w:rFonts w:eastAsiaTheme="minorEastAsia"/>
        </w:rPr>
      </w:pPr>
      <w:r w:rsidRPr="29A8477B">
        <w:rPr>
          <w:rFonts w:eastAsiaTheme="minorEastAsia"/>
        </w:rPr>
        <w:t>povečanje števila novih podjetij,</w:t>
      </w:r>
    </w:p>
    <w:p w14:paraId="2104510F" w14:textId="2760B575" w:rsidR="1633040D" w:rsidRDefault="278BCBDD" w:rsidP="004A1C14">
      <w:pPr>
        <w:pStyle w:val="Odstavekseznama"/>
        <w:numPr>
          <w:ilvl w:val="0"/>
          <w:numId w:val="7"/>
        </w:numPr>
        <w:tabs>
          <w:tab w:val="left" w:pos="0"/>
          <w:tab w:val="left" w:pos="720"/>
        </w:tabs>
        <w:spacing w:after="0" w:line="257" w:lineRule="auto"/>
        <w:jc w:val="both"/>
        <w:rPr>
          <w:rFonts w:eastAsiaTheme="minorEastAsia"/>
        </w:rPr>
      </w:pPr>
      <w:r w:rsidRPr="29A8477B">
        <w:rPr>
          <w:rFonts w:eastAsiaTheme="minorEastAsia"/>
        </w:rPr>
        <w:t>privabljanje in zadrževanje talentov,</w:t>
      </w:r>
    </w:p>
    <w:p w14:paraId="29C2C4B5" w14:textId="7FB57250" w:rsidR="1633040D" w:rsidRDefault="278BCBDD" w:rsidP="004A1C14">
      <w:pPr>
        <w:pStyle w:val="Odstavekseznama"/>
        <w:numPr>
          <w:ilvl w:val="0"/>
          <w:numId w:val="7"/>
        </w:numPr>
        <w:tabs>
          <w:tab w:val="left" w:pos="0"/>
          <w:tab w:val="left" w:pos="720"/>
        </w:tabs>
        <w:spacing w:after="0" w:line="257" w:lineRule="auto"/>
        <w:jc w:val="both"/>
        <w:rPr>
          <w:rFonts w:eastAsiaTheme="minorEastAsia"/>
        </w:rPr>
      </w:pPr>
      <w:r w:rsidRPr="29A8477B">
        <w:rPr>
          <w:rFonts w:eastAsiaTheme="minorEastAsia"/>
        </w:rPr>
        <w:t>rast inovativnosti in dodane vrednosti,</w:t>
      </w:r>
    </w:p>
    <w:p w14:paraId="4864D292" w14:textId="53638769" w:rsidR="00961B39" w:rsidRPr="00FE0FD5" w:rsidRDefault="278BCBDD" w:rsidP="004A1C14">
      <w:pPr>
        <w:pStyle w:val="Odstavekseznama"/>
        <w:numPr>
          <w:ilvl w:val="0"/>
          <w:numId w:val="7"/>
        </w:numPr>
        <w:tabs>
          <w:tab w:val="left" w:pos="0"/>
          <w:tab w:val="left" w:pos="720"/>
        </w:tabs>
        <w:spacing w:after="0" w:line="257" w:lineRule="auto"/>
        <w:jc w:val="both"/>
        <w:rPr>
          <w:rFonts w:eastAsiaTheme="minorEastAsia"/>
        </w:rPr>
      </w:pPr>
      <w:r w:rsidRPr="29A8477B">
        <w:rPr>
          <w:rFonts w:eastAsiaTheme="minorEastAsia"/>
        </w:rPr>
        <w:t>razvoj novih gospodarskih dejavnosti,</w:t>
      </w:r>
    </w:p>
    <w:p w14:paraId="78FE41A6" w14:textId="63FF3C49" w:rsidR="1633040D" w:rsidRDefault="278BCBDD" w:rsidP="004A1C14">
      <w:pPr>
        <w:pStyle w:val="Odstavekseznama"/>
        <w:numPr>
          <w:ilvl w:val="0"/>
          <w:numId w:val="6"/>
        </w:numPr>
        <w:spacing w:after="0" w:line="257" w:lineRule="auto"/>
        <w:ind w:left="714" w:hanging="357"/>
        <w:jc w:val="both"/>
        <w:rPr>
          <w:rFonts w:eastAsiaTheme="minorEastAsia"/>
        </w:rPr>
      </w:pPr>
      <w:r w:rsidRPr="29A8477B">
        <w:rPr>
          <w:rFonts w:eastAsiaTheme="minorEastAsia"/>
        </w:rPr>
        <w:t xml:space="preserve">revitalizacija degradiranih urbanih območij za gospodarsko uporabo. </w:t>
      </w:r>
    </w:p>
    <w:p w14:paraId="73DF8AAF" w14:textId="26473E19" w:rsidR="1633040D" w:rsidRDefault="278BCBDD" w:rsidP="004F02EE">
      <w:pPr>
        <w:spacing w:before="240" w:after="120" w:line="257" w:lineRule="auto"/>
        <w:jc w:val="both"/>
        <w:rPr>
          <w:rFonts w:eastAsiaTheme="minorEastAsia"/>
          <w:b/>
          <w:bCs/>
        </w:rPr>
      </w:pPr>
      <w:r w:rsidRPr="29A8477B">
        <w:rPr>
          <w:rFonts w:eastAsiaTheme="minorEastAsia"/>
          <w:b/>
          <w:bCs/>
        </w:rPr>
        <w:lastRenderedPageBreak/>
        <w:t>Predlagani ukrepi</w:t>
      </w:r>
    </w:p>
    <w:p w14:paraId="034A8F6C" w14:textId="4F94B34D" w:rsidR="1633040D" w:rsidRDefault="278BCBDD" w:rsidP="004F02EE">
      <w:pPr>
        <w:spacing w:line="257" w:lineRule="auto"/>
        <w:jc w:val="both"/>
        <w:rPr>
          <w:rFonts w:eastAsiaTheme="minorEastAsia"/>
        </w:rPr>
      </w:pPr>
      <w:r w:rsidRPr="29A8477B">
        <w:rPr>
          <w:rFonts w:eastAsiaTheme="minorEastAsia"/>
        </w:rPr>
        <w:t>Analiza predlaga pet ključnih korakov za vzpostavitev učinkovitega ekosistema.</w:t>
      </w:r>
    </w:p>
    <w:p w14:paraId="6555A7C3" w14:textId="357BFBF4" w:rsidR="1633040D" w:rsidRDefault="278BCBDD" w:rsidP="004F02EE">
      <w:pPr>
        <w:spacing w:after="0" w:line="257" w:lineRule="auto"/>
        <w:jc w:val="both"/>
        <w:rPr>
          <w:rFonts w:eastAsiaTheme="minorEastAsia"/>
        </w:rPr>
      </w:pPr>
      <w:r w:rsidRPr="29A8477B">
        <w:rPr>
          <w:rFonts w:eastAsiaTheme="minorEastAsia"/>
        </w:rPr>
        <w:t>1. Vzpostavitev partnerstva deležnikov</w:t>
      </w:r>
    </w:p>
    <w:p w14:paraId="5A2DFBD5" w14:textId="1C1CBA34" w:rsidR="1633040D" w:rsidRDefault="278BCBDD" w:rsidP="004F02EE">
      <w:pPr>
        <w:spacing w:line="257" w:lineRule="auto"/>
        <w:jc w:val="both"/>
        <w:rPr>
          <w:rFonts w:eastAsiaTheme="minorEastAsia"/>
        </w:rPr>
      </w:pPr>
      <w:r w:rsidRPr="29A8477B">
        <w:rPr>
          <w:rFonts w:eastAsiaTheme="minorEastAsia"/>
        </w:rPr>
        <w:t xml:space="preserve">Vse ključne institucije naj oblikujejo formalno partnerstvo, v katerem bodo jasno opredeljene njihove vloge, odgovornosti in prispevki k skupnim razvojnim ciljem. </w:t>
      </w:r>
    </w:p>
    <w:p w14:paraId="1AD6FD3B" w14:textId="31CB49D5" w:rsidR="1633040D" w:rsidRDefault="278BCBDD" w:rsidP="004F02EE">
      <w:pPr>
        <w:spacing w:after="0" w:line="257" w:lineRule="auto"/>
        <w:jc w:val="both"/>
        <w:rPr>
          <w:rFonts w:eastAsiaTheme="minorEastAsia"/>
        </w:rPr>
      </w:pPr>
      <w:r w:rsidRPr="29A8477B">
        <w:rPr>
          <w:rFonts w:eastAsiaTheme="minorEastAsia"/>
        </w:rPr>
        <w:t>2. Oblikovanje enotnega sistema podpornih mehanizmov</w:t>
      </w:r>
    </w:p>
    <w:p w14:paraId="407A6AB1" w14:textId="70630398" w:rsidR="1633040D" w:rsidRDefault="278BCBDD" w:rsidP="004F02EE">
      <w:pPr>
        <w:spacing w:line="257" w:lineRule="auto"/>
        <w:jc w:val="both"/>
        <w:rPr>
          <w:rFonts w:eastAsiaTheme="minorEastAsia"/>
        </w:rPr>
      </w:pPr>
      <w:r w:rsidRPr="29A8477B">
        <w:rPr>
          <w:rFonts w:eastAsiaTheme="minorEastAsia"/>
        </w:rPr>
        <w:t xml:space="preserve">Podpora mora biti prilagojena celotnemu življenjskemu ciklu podjetja – od razvoja podjetniške ideje in ustanovitve podjetja do njegove rasti, internacionalizacije in nadaljnjega razvoja. V središče vseh aktivnosti mora biti postavljeno inovativno in produktivno podjetništvo. </w:t>
      </w:r>
    </w:p>
    <w:p w14:paraId="1AD02598" w14:textId="0F799269" w:rsidR="1633040D" w:rsidRDefault="278BCBDD" w:rsidP="004F02EE">
      <w:pPr>
        <w:spacing w:after="0" w:line="257" w:lineRule="auto"/>
        <w:jc w:val="both"/>
        <w:rPr>
          <w:rFonts w:eastAsiaTheme="minorEastAsia"/>
        </w:rPr>
      </w:pPr>
      <w:r w:rsidRPr="29A8477B">
        <w:rPr>
          <w:rFonts w:eastAsiaTheme="minorEastAsia"/>
        </w:rPr>
        <w:t>3. Večletno načrtovanje razvoja gospodarstva</w:t>
      </w:r>
    </w:p>
    <w:p w14:paraId="16707578" w14:textId="0DCC84BA" w:rsidR="1633040D" w:rsidRDefault="278BCBDD" w:rsidP="004F02EE">
      <w:pPr>
        <w:spacing w:line="257" w:lineRule="auto"/>
        <w:jc w:val="both"/>
        <w:rPr>
          <w:rFonts w:eastAsiaTheme="minorEastAsia"/>
        </w:rPr>
      </w:pPr>
      <w:r w:rsidRPr="29A8477B">
        <w:rPr>
          <w:rFonts w:eastAsiaTheme="minorEastAsia"/>
        </w:rPr>
        <w:t xml:space="preserve">MONG naj pripravi večletni načrt razvoja gospodarstva s prioritetami, na podlagi katerega bodo posamezni deležniki pripravljali svoje letne programe dela. To bo omogočilo boljše usklajevanje aktivnosti in učinkovitejšo porabo sredstev. </w:t>
      </w:r>
    </w:p>
    <w:p w14:paraId="235C50E1" w14:textId="4FF6C1D3" w:rsidR="1633040D" w:rsidRDefault="278BCBDD" w:rsidP="004F02EE">
      <w:pPr>
        <w:spacing w:after="0" w:line="257" w:lineRule="auto"/>
        <w:jc w:val="both"/>
        <w:rPr>
          <w:rFonts w:eastAsiaTheme="minorEastAsia"/>
        </w:rPr>
      </w:pPr>
      <w:r w:rsidRPr="29A8477B">
        <w:rPr>
          <w:rFonts w:eastAsiaTheme="minorEastAsia"/>
        </w:rPr>
        <w:t>4. Razvoj infrastrukture</w:t>
      </w:r>
    </w:p>
    <w:p w14:paraId="38423A90" w14:textId="0F6ADA62" w:rsidR="1633040D" w:rsidRDefault="278BCBDD" w:rsidP="004F02EE">
      <w:pPr>
        <w:spacing w:line="257" w:lineRule="auto"/>
        <w:jc w:val="both"/>
        <w:rPr>
          <w:rFonts w:eastAsiaTheme="minorEastAsia"/>
        </w:rPr>
      </w:pPr>
      <w:r w:rsidRPr="29A8477B">
        <w:rPr>
          <w:rFonts w:eastAsiaTheme="minorEastAsia"/>
        </w:rPr>
        <w:t xml:space="preserve">Poleg prometne in komunalne infrastrukture je treba razvijati tudi raziskovalno infrastrukturo, podjetniške inkubatorje, </w:t>
      </w:r>
      <w:proofErr w:type="spellStart"/>
      <w:r w:rsidRPr="29A8477B">
        <w:rPr>
          <w:rFonts w:eastAsiaTheme="minorEastAsia"/>
        </w:rPr>
        <w:t>coworking</w:t>
      </w:r>
      <w:proofErr w:type="spellEnd"/>
      <w:r w:rsidRPr="29A8477B">
        <w:rPr>
          <w:rFonts w:eastAsiaTheme="minorEastAsia"/>
        </w:rPr>
        <w:t xml:space="preserve"> prostore ter poslovne in industrijske cone. Infrastruktura mora biti načrtovana skladno s potrebami gospodarstva. </w:t>
      </w:r>
    </w:p>
    <w:p w14:paraId="5EE58C1D" w14:textId="79AF3088" w:rsidR="1633040D" w:rsidRDefault="278BCBDD" w:rsidP="004F02EE">
      <w:pPr>
        <w:spacing w:after="0" w:line="257" w:lineRule="auto"/>
        <w:jc w:val="both"/>
        <w:rPr>
          <w:rFonts w:eastAsiaTheme="minorEastAsia"/>
        </w:rPr>
      </w:pPr>
      <w:r w:rsidRPr="29A8477B">
        <w:rPr>
          <w:rFonts w:eastAsiaTheme="minorEastAsia"/>
        </w:rPr>
        <w:t>5. Spremljanje rezultatov</w:t>
      </w:r>
    </w:p>
    <w:p w14:paraId="42CFB0B2" w14:textId="2FD81660" w:rsidR="1706C59B" w:rsidRPr="00261917" w:rsidRDefault="278BCBDD" w:rsidP="004F02EE">
      <w:pPr>
        <w:spacing w:line="257" w:lineRule="auto"/>
        <w:jc w:val="both"/>
        <w:rPr>
          <w:rFonts w:eastAsiaTheme="minorEastAsia"/>
        </w:rPr>
      </w:pPr>
      <w:r w:rsidRPr="1706C59B">
        <w:rPr>
          <w:rFonts w:eastAsiaTheme="minorEastAsia"/>
        </w:rPr>
        <w:t xml:space="preserve">Občina mora redno spremljati doseganje zastavljenih ciljev, analizirati potrebe gospodarstva in po potrebi prilagajati razvojne ukrepe ter podporne programe. </w:t>
      </w:r>
    </w:p>
    <w:p w14:paraId="36950C7F" w14:textId="130A6CF5" w:rsidR="1633040D" w:rsidRDefault="278BCBDD" w:rsidP="004F02EE">
      <w:pPr>
        <w:spacing w:before="240" w:after="120" w:line="257" w:lineRule="auto"/>
        <w:jc w:val="both"/>
        <w:rPr>
          <w:rFonts w:eastAsiaTheme="minorEastAsia"/>
          <w:b/>
          <w:bCs/>
        </w:rPr>
      </w:pPr>
      <w:r w:rsidRPr="29A8477B">
        <w:rPr>
          <w:rFonts w:eastAsiaTheme="minorEastAsia"/>
          <w:b/>
          <w:bCs/>
        </w:rPr>
        <w:t>Vloga Mestne občine Nova Gorica</w:t>
      </w:r>
    </w:p>
    <w:p w14:paraId="7CF879A4" w14:textId="4E54E317" w:rsidR="1633040D" w:rsidRDefault="278BCBDD" w:rsidP="004F02EE">
      <w:pPr>
        <w:spacing w:after="0" w:line="257" w:lineRule="auto"/>
        <w:jc w:val="both"/>
        <w:rPr>
          <w:rFonts w:eastAsiaTheme="minorEastAsia"/>
        </w:rPr>
      </w:pPr>
      <w:r w:rsidRPr="29A8477B">
        <w:rPr>
          <w:rFonts w:eastAsiaTheme="minorEastAsia"/>
        </w:rPr>
        <w:t>Osrednje sporočilo dokumenta je, da mora MONG prevzeti bistveno bolj aktivno razvojno vlogo. Ker se ekosistem trenutno nahaja v začetni fazi razvoja, je potrebno centralizirano vodenje in koordinacija vseh deležnikov. Naloge občine naj vključujejo:</w:t>
      </w:r>
    </w:p>
    <w:p w14:paraId="2D20C842" w14:textId="22010D54" w:rsidR="1633040D" w:rsidRDefault="278BCBDD" w:rsidP="004A1C14">
      <w:pPr>
        <w:pStyle w:val="Odstavekseznama"/>
        <w:numPr>
          <w:ilvl w:val="0"/>
          <w:numId w:val="5"/>
        </w:numPr>
        <w:tabs>
          <w:tab w:val="left" w:pos="0"/>
          <w:tab w:val="left" w:pos="720"/>
        </w:tabs>
        <w:spacing w:after="0" w:line="257" w:lineRule="auto"/>
        <w:jc w:val="both"/>
        <w:rPr>
          <w:rFonts w:eastAsiaTheme="minorEastAsia"/>
        </w:rPr>
      </w:pPr>
      <w:r w:rsidRPr="29A8477B">
        <w:rPr>
          <w:rFonts w:eastAsiaTheme="minorEastAsia"/>
        </w:rPr>
        <w:t>strateško načrtovanje razvoja gospodarstva,</w:t>
      </w:r>
    </w:p>
    <w:p w14:paraId="0AB7ED57" w14:textId="43078FE9" w:rsidR="1633040D" w:rsidRDefault="278BCBDD" w:rsidP="004A1C14">
      <w:pPr>
        <w:pStyle w:val="Odstavekseznama"/>
        <w:numPr>
          <w:ilvl w:val="0"/>
          <w:numId w:val="5"/>
        </w:numPr>
        <w:tabs>
          <w:tab w:val="left" w:pos="0"/>
          <w:tab w:val="left" w:pos="720"/>
        </w:tabs>
        <w:spacing w:after="0" w:line="257" w:lineRule="auto"/>
        <w:jc w:val="both"/>
        <w:rPr>
          <w:rFonts w:eastAsiaTheme="minorEastAsia"/>
        </w:rPr>
      </w:pPr>
      <w:r w:rsidRPr="29A8477B">
        <w:rPr>
          <w:rFonts w:eastAsiaTheme="minorEastAsia"/>
        </w:rPr>
        <w:t>usklajevanje deležnikov,</w:t>
      </w:r>
    </w:p>
    <w:p w14:paraId="7849C0F9" w14:textId="67CD1D7A" w:rsidR="1633040D" w:rsidRDefault="278BCBDD" w:rsidP="004A1C14">
      <w:pPr>
        <w:pStyle w:val="Odstavekseznama"/>
        <w:numPr>
          <w:ilvl w:val="0"/>
          <w:numId w:val="5"/>
        </w:numPr>
        <w:tabs>
          <w:tab w:val="left" w:pos="0"/>
          <w:tab w:val="left" w:pos="720"/>
        </w:tabs>
        <w:spacing w:after="0" w:line="257" w:lineRule="auto"/>
        <w:jc w:val="both"/>
        <w:rPr>
          <w:rFonts w:eastAsiaTheme="minorEastAsia"/>
        </w:rPr>
      </w:pPr>
      <w:r w:rsidRPr="29A8477B">
        <w:rPr>
          <w:rFonts w:eastAsiaTheme="minorEastAsia"/>
        </w:rPr>
        <w:t>zagotavljanje pogojev za razvoj infrastrukture,</w:t>
      </w:r>
    </w:p>
    <w:p w14:paraId="305D9AB3" w14:textId="61D60F31" w:rsidR="1633040D" w:rsidRDefault="278BCBDD" w:rsidP="004A1C14">
      <w:pPr>
        <w:pStyle w:val="Odstavekseznama"/>
        <w:numPr>
          <w:ilvl w:val="0"/>
          <w:numId w:val="5"/>
        </w:numPr>
        <w:tabs>
          <w:tab w:val="left" w:pos="0"/>
          <w:tab w:val="left" w:pos="720"/>
        </w:tabs>
        <w:spacing w:after="0" w:line="257" w:lineRule="auto"/>
        <w:jc w:val="both"/>
        <w:rPr>
          <w:rFonts w:eastAsiaTheme="minorEastAsia"/>
        </w:rPr>
      </w:pPr>
      <w:r w:rsidRPr="29A8477B">
        <w:rPr>
          <w:rFonts w:eastAsiaTheme="minorEastAsia"/>
        </w:rPr>
        <w:t>razporejanje finančnih virov,</w:t>
      </w:r>
    </w:p>
    <w:p w14:paraId="2CE5C89F" w14:textId="71841D3E" w:rsidR="1633040D" w:rsidRDefault="278BCBDD" w:rsidP="004A1C14">
      <w:pPr>
        <w:pStyle w:val="Odstavekseznama"/>
        <w:numPr>
          <w:ilvl w:val="0"/>
          <w:numId w:val="5"/>
        </w:numPr>
        <w:tabs>
          <w:tab w:val="left" w:pos="0"/>
          <w:tab w:val="left" w:pos="720"/>
        </w:tabs>
        <w:spacing w:after="0" w:line="257" w:lineRule="auto"/>
        <w:jc w:val="both"/>
        <w:rPr>
          <w:rFonts w:eastAsiaTheme="minorEastAsia"/>
        </w:rPr>
      </w:pPr>
      <w:r w:rsidRPr="29A8477B">
        <w:rPr>
          <w:rFonts w:eastAsiaTheme="minorEastAsia"/>
        </w:rPr>
        <w:t>spremljanje rezultatov,</w:t>
      </w:r>
    </w:p>
    <w:p w14:paraId="33D627AC" w14:textId="431FD8F7" w:rsidR="1633040D" w:rsidRDefault="278BCBDD" w:rsidP="004A1C14">
      <w:pPr>
        <w:pStyle w:val="Odstavekseznama"/>
        <w:numPr>
          <w:ilvl w:val="0"/>
          <w:numId w:val="4"/>
        </w:numPr>
        <w:spacing w:after="0" w:line="257" w:lineRule="auto"/>
        <w:ind w:left="714" w:hanging="357"/>
        <w:jc w:val="both"/>
        <w:rPr>
          <w:rFonts w:eastAsiaTheme="minorEastAsia"/>
        </w:rPr>
      </w:pPr>
      <w:r w:rsidRPr="29A8477B">
        <w:rPr>
          <w:rFonts w:eastAsiaTheme="minorEastAsia"/>
        </w:rPr>
        <w:t xml:space="preserve">promocijo gospodarstva in podjetništva. </w:t>
      </w:r>
    </w:p>
    <w:p w14:paraId="3A4FEE4E" w14:textId="4176ED6B" w:rsidR="1633040D" w:rsidRDefault="278BCBDD" w:rsidP="004F02EE">
      <w:pPr>
        <w:spacing w:line="257" w:lineRule="auto"/>
        <w:jc w:val="both"/>
        <w:rPr>
          <w:rFonts w:eastAsiaTheme="minorEastAsia"/>
        </w:rPr>
      </w:pPr>
      <w:r w:rsidRPr="29A8477B">
        <w:rPr>
          <w:rFonts w:eastAsiaTheme="minorEastAsia"/>
        </w:rPr>
        <w:t>Dokument poudarja, da gospodarstvo ne sme biti le eno izmed razvojnih področij občine, temveč mora postati ena njenih osrednjih razvojnih prioritet.</w:t>
      </w:r>
    </w:p>
    <w:p w14:paraId="1155E727" w14:textId="051C88C7" w:rsidR="1633040D" w:rsidRDefault="278BCBDD" w:rsidP="004F02EE">
      <w:pPr>
        <w:spacing w:before="240" w:after="120" w:line="257" w:lineRule="auto"/>
        <w:jc w:val="both"/>
        <w:rPr>
          <w:rFonts w:eastAsiaTheme="minorEastAsia"/>
          <w:b/>
          <w:bCs/>
        </w:rPr>
      </w:pPr>
      <w:r w:rsidRPr="29A8477B">
        <w:rPr>
          <w:rFonts w:eastAsiaTheme="minorEastAsia"/>
          <w:b/>
          <w:bCs/>
        </w:rPr>
        <w:t>Predlagani prvi koraki</w:t>
      </w:r>
    </w:p>
    <w:p w14:paraId="091AFD50" w14:textId="19134225" w:rsidR="1633040D" w:rsidRDefault="278BCBDD" w:rsidP="004F02EE">
      <w:pPr>
        <w:spacing w:after="0" w:line="257" w:lineRule="auto"/>
        <w:jc w:val="both"/>
        <w:rPr>
          <w:rFonts w:eastAsiaTheme="minorEastAsia"/>
        </w:rPr>
      </w:pPr>
      <w:r w:rsidRPr="29A8477B">
        <w:rPr>
          <w:rFonts w:eastAsiaTheme="minorEastAsia"/>
        </w:rPr>
        <w:t>Za začetek vzpostavitve učinkovitega sistema analiza predlaga naslednje aktivnosti:</w:t>
      </w:r>
    </w:p>
    <w:p w14:paraId="0E58B89F" w14:textId="5CE6DCBE" w:rsidR="1633040D" w:rsidRDefault="278BCBDD" w:rsidP="004A1C14">
      <w:pPr>
        <w:pStyle w:val="Odstavekseznama"/>
        <w:numPr>
          <w:ilvl w:val="0"/>
          <w:numId w:val="3"/>
        </w:numPr>
        <w:tabs>
          <w:tab w:val="left" w:pos="0"/>
          <w:tab w:val="left" w:pos="720"/>
        </w:tabs>
        <w:spacing w:after="0" w:line="257" w:lineRule="auto"/>
        <w:jc w:val="both"/>
        <w:rPr>
          <w:rFonts w:eastAsiaTheme="minorEastAsia"/>
        </w:rPr>
      </w:pPr>
      <w:r w:rsidRPr="29A8477B">
        <w:rPr>
          <w:rFonts w:eastAsiaTheme="minorEastAsia"/>
        </w:rPr>
        <w:t>MONG prevzame koordinacijo deležnikov.</w:t>
      </w:r>
    </w:p>
    <w:p w14:paraId="2F2E7A78" w14:textId="0A29E354" w:rsidR="1633040D" w:rsidRDefault="278BCBDD" w:rsidP="004A1C14">
      <w:pPr>
        <w:pStyle w:val="Odstavekseznama"/>
        <w:numPr>
          <w:ilvl w:val="0"/>
          <w:numId w:val="3"/>
        </w:numPr>
        <w:tabs>
          <w:tab w:val="left" w:pos="0"/>
          <w:tab w:val="left" w:pos="720"/>
        </w:tabs>
        <w:spacing w:after="0" w:line="257" w:lineRule="auto"/>
        <w:jc w:val="both"/>
        <w:rPr>
          <w:rFonts w:eastAsiaTheme="minorEastAsia"/>
        </w:rPr>
      </w:pPr>
      <w:r w:rsidRPr="29A8477B">
        <w:rPr>
          <w:rFonts w:eastAsiaTheme="minorEastAsia"/>
        </w:rPr>
        <w:t>Pripravi večletni razvojni načrt gospodarstva.</w:t>
      </w:r>
    </w:p>
    <w:p w14:paraId="737CD089" w14:textId="2B005881" w:rsidR="1633040D" w:rsidRDefault="278BCBDD" w:rsidP="004A1C14">
      <w:pPr>
        <w:pStyle w:val="Odstavekseznama"/>
        <w:numPr>
          <w:ilvl w:val="0"/>
          <w:numId w:val="3"/>
        </w:numPr>
        <w:tabs>
          <w:tab w:val="left" w:pos="0"/>
          <w:tab w:val="left" w:pos="720"/>
        </w:tabs>
        <w:spacing w:after="0" w:line="257" w:lineRule="auto"/>
        <w:jc w:val="both"/>
        <w:rPr>
          <w:rFonts w:eastAsiaTheme="minorEastAsia"/>
        </w:rPr>
      </w:pPr>
      <w:r w:rsidRPr="29A8477B">
        <w:rPr>
          <w:rFonts w:eastAsiaTheme="minorEastAsia"/>
        </w:rPr>
        <w:t>Deležnike usmeri v oblikovanje letnih operativnih programov.</w:t>
      </w:r>
    </w:p>
    <w:p w14:paraId="1BDA8C33" w14:textId="0EF325A5" w:rsidR="1633040D" w:rsidRDefault="278BCBDD" w:rsidP="004A1C14">
      <w:pPr>
        <w:pStyle w:val="Odstavekseznama"/>
        <w:numPr>
          <w:ilvl w:val="0"/>
          <w:numId w:val="3"/>
        </w:numPr>
        <w:tabs>
          <w:tab w:val="left" w:pos="0"/>
          <w:tab w:val="left" w:pos="720"/>
        </w:tabs>
        <w:spacing w:after="0" w:line="257" w:lineRule="auto"/>
        <w:jc w:val="both"/>
        <w:rPr>
          <w:rFonts w:eastAsiaTheme="minorEastAsia"/>
        </w:rPr>
      </w:pPr>
      <w:r w:rsidRPr="29A8477B">
        <w:rPr>
          <w:rFonts w:eastAsiaTheme="minorEastAsia"/>
        </w:rPr>
        <w:t>Poskrbi za usklajenost vseh programov.</w:t>
      </w:r>
    </w:p>
    <w:p w14:paraId="44CD4AA3" w14:textId="444BFB55" w:rsidR="1633040D" w:rsidRDefault="278BCBDD" w:rsidP="004A1C14">
      <w:pPr>
        <w:pStyle w:val="Odstavekseznama"/>
        <w:numPr>
          <w:ilvl w:val="0"/>
          <w:numId w:val="3"/>
        </w:numPr>
        <w:tabs>
          <w:tab w:val="left" w:pos="0"/>
          <w:tab w:val="left" w:pos="720"/>
        </w:tabs>
        <w:spacing w:after="0" w:line="257" w:lineRule="auto"/>
        <w:jc w:val="both"/>
        <w:rPr>
          <w:rFonts w:eastAsiaTheme="minorEastAsia"/>
        </w:rPr>
      </w:pPr>
      <w:r w:rsidRPr="29A8477B">
        <w:rPr>
          <w:rFonts w:eastAsiaTheme="minorEastAsia"/>
        </w:rPr>
        <w:t>Na podlagi skupnih prioritet razporedi finančne vire.</w:t>
      </w:r>
    </w:p>
    <w:p w14:paraId="6C7DC567" w14:textId="029758B9" w:rsidR="00961B39" w:rsidRPr="00FE0FD5" w:rsidRDefault="278BCBDD" w:rsidP="004A1C14">
      <w:pPr>
        <w:pStyle w:val="Odstavekseznama"/>
        <w:numPr>
          <w:ilvl w:val="0"/>
          <w:numId w:val="3"/>
        </w:numPr>
        <w:tabs>
          <w:tab w:val="left" w:pos="0"/>
          <w:tab w:val="left" w:pos="720"/>
        </w:tabs>
        <w:spacing w:after="0" w:line="257" w:lineRule="auto"/>
        <w:jc w:val="both"/>
        <w:rPr>
          <w:rFonts w:eastAsiaTheme="minorEastAsia"/>
        </w:rPr>
      </w:pPr>
      <w:r w:rsidRPr="29A8477B">
        <w:rPr>
          <w:rFonts w:eastAsiaTheme="minorEastAsia"/>
        </w:rPr>
        <w:t xml:space="preserve">Spremlja rezultate in prilagaja ukrepe dejanskim potrebam gospodarstva. </w:t>
      </w:r>
    </w:p>
    <w:p w14:paraId="352AB886" w14:textId="132E263E" w:rsidR="1633040D" w:rsidRDefault="278BCBDD" w:rsidP="00961B39">
      <w:pPr>
        <w:spacing w:before="240" w:after="120" w:line="257" w:lineRule="auto"/>
        <w:rPr>
          <w:rFonts w:eastAsiaTheme="minorEastAsia"/>
          <w:b/>
          <w:bCs/>
        </w:rPr>
      </w:pPr>
      <w:r w:rsidRPr="29A8477B">
        <w:rPr>
          <w:rFonts w:eastAsiaTheme="minorEastAsia"/>
          <w:b/>
          <w:bCs/>
        </w:rPr>
        <w:lastRenderedPageBreak/>
        <w:t>Zaključek</w:t>
      </w:r>
    </w:p>
    <w:p w14:paraId="5C0DE545" w14:textId="08F8EC47" w:rsidR="1633040D" w:rsidRDefault="278BCBDD" w:rsidP="00961B39">
      <w:pPr>
        <w:spacing w:after="0"/>
        <w:jc w:val="both"/>
        <w:rPr>
          <w:rFonts w:eastAsiaTheme="minorEastAsia"/>
        </w:rPr>
      </w:pPr>
      <w:r w:rsidRPr="29A8477B">
        <w:rPr>
          <w:rFonts w:eastAsiaTheme="minorEastAsia"/>
        </w:rPr>
        <w:t>Analiza ugotavlja, da ima Nova Gorica ustrezne organizacijske, strokovne in finančne potenciale za razvoj močnega inovacijsko-podjetniškega ekosistema, vendar ti trenutno niso dovolj povezani. Ključ do uspeha ni ustanavljanje novih institucij, temveč boljše sodelovanje, skupno načrtovanje in učinkovita koordinacija obstoječih deležnikov. MONG mora prevzeti aktivno vodilno vlogo ter vzpostaviti sistem, ki bo podpiral razvoj podjetništva, inovacij in gospodarstva ter prispeval k ustvarjanju kakovostnih delovnih mest in dolgoročni konkurenčnosti občine</w:t>
      </w:r>
    </w:p>
    <w:p w14:paraId="398AD69D" w14:textId="42E44BD9" w:rsidR="00DA5A6B" w:rsidRDefault="00DA5A6B" w:rsidP="00961B39">
      <w:pPr>
        <w:pStyle w:val="Naslov"/>
        <w:jc w:val="both"/>
      </w:pPr>
    </w:p>
    <w:sectPr w:rsidR="00DA5A6B" w:rsidSect="00405C6A">
      <w:headerReference w:type="default" r:id="rId25"/>
      <w:footerReference w:type="default" r:id="rId26"/>
      <w:headerReference w:type="first" r:id="rId27"/>
      <w:pgSz w:w="11906" w:h="16838"/>
      <w:pgMar w:top="1247" w:right="1134" w:bottom="1247" w:left="1134" w:header="794"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F4A1B" w14:textId="77777777" w:rsidR="004217D8" w:rsidRDefault="004217D8">
      <w:pPr>
        <w:spacing w:after="0" w:line="240" w:lineRule="auto"/>
      </w:pPr>
      <w:r>
        <w:separator/>
      </w:r>
    </w:p>
  </w:endnote>
  <w:endnote w:type="continuationSeparator" w:id="0">
    <w:p w14:paraId="18AB88D2" w14:textId="77777777" w:rsidR="004217D8" w:rsidRDefault="004217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ot;Courier New&quot;">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EE"/>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9859878"/>
      <w:docPartObj>
        <w:docPartGallery w:val="Page Numbers (Bottom of Page)"/>
        <w:docPartUnique/>
      </w:docPartObj>
    </w:sdtPr>
    <w:sdtContent>
      <w:p w14:paraId="14C911FC" w14:textId="07A2A916" w:rsidR="00707572" w:rsidRDefault="00990235">
        <w:pPr>
          <w:pStyle w:val="Noga"/>
          <w:jc w:val="center"/>
        </w:pPr>
        <w:r>
          <w:rPr>
            <w:noProof/>
          </w:rPr>
          <w:drawing>
            <wp:anchor distT="0" distB="0" distL="114300" distR="114300" simplePos="0" relativeHeight="251664384" behindDoc="1" locked="0" layoutInCell="1" allowOverlap="1" wp14:anchorId="4B0C68F5" wp14:editId="149FCA37">
              <wp:simplePos x="0" y="0"/>
              <wp:positionH relativeFrom="page">
                <wp:posOffset>19050</wp:posOffset>
              </wp:positionH>
              <wp:positionV relativeFrom="bottomMargin">
                <wp:posOffset>158115</wp:posOffset>
              </wp:positionV>
              <wp:extent cx="7513180" cy="554399"/>
              <wp:effectExtent l="0" t="0" r="0" b="0"/>
              <wp:wrapNone/>
              <wp:docPr id="453683787" name="Slika 453683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lika 11"/>
                      <pic:cNvPicPr/>
                    </pic:nvPicPr>
                    <pic:blipFill>
                      <a:blip r:embed="rId1">
                        <a:extLst>
                          <a:ext uri="{28A0092B-C50C-407E-A947-70E740481C1C}">
                            <a14:useLocalDpi xmlns:a14="http://schemas.microsoft.com/office/drawing/2010/main" val="0"/>
                          </a:ext>
                        </a:extLst>
                      </a:blip>
                      <a:stretch>
                        <a:fillRect/>
                      </a:stretch>
                    </pic:blipFill>
                    <pic:spPr>
                      <a:xfrm>
                        <a:off x="0" y="0"/>
                        <a:ext cx="7513180" cy="554399"/>
                      </a:xfrm>
                      <a:prstGeom prst="rect">
                        <a:avLst/>
                      </a:prstGeom>
                    </pic:spPr>
                  </pic:pic>
                </a:graphicData>
              </a:graphic>
              <wp14:sizeRelH relativeFrom="margin">
                <wp14:pctWidth>0</wp14:pctWidth>
              </wp14:sizeRelH>
              <wp14:sizeRelV relativeFrom="margin">
                <wp14:pctHeight>0</wp14:pctHeight>
              </wp14:sizeRelV>
            </wp:anchor>
          </w:drawing>
        </w:r>
        <w:r w:rsidR="00707572">
          <w:fldChar w:fldCharType="begin"/>
        </w:r>
        <w:r w:rsidR="00707572">
          <w:instrText>PAGE   \* MERGEFORMAT</w:instrText>
        </w:r>
        <w:r w:rsidR="00707572">
          <w:fldChar w:fldCharType="separate"/>
        </w:r>
        <w:r w:rsidR="00707572">
          <w:t>2</w:t>
        </w:r>
        <w:r w:rsidR="00707572">
          <w:fldChar w:fldCharType="end"/>
        </w:r>
      </w:p>
    </w:sdtContent>
  </w:sdt>
  <w:p w14:paraId="14B87654" w14:textId="31AAFC6D" w:rsidR="00084822" w:rsidRDefault="000848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60CA5" w14:textId="27AC1959" w:rsidR="00707572" w:rsidRDefault="00707572">
    <w:pPr>
      <w:pStyle w:val="Noga"/>
      <w:jc w:val="center"/>
    </w:pPr>
  </w:p>
  <w:p w14:paraId="0030B2A1" w14:textId="77777777" w:rsidR="00707572" w:rsidRDefault="00707572">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FC360" w14:textId="28A6311B" w:rsidR="56A112A9" w:rsidRDefault="00624BCD" w:rsidP="56A112A9">
    <w:pPr>
      <w:pStyle w:val="Noga"/>
    </w:pPr>
    <w:r>
      <w:rPr>
        <w:noProof/>
      </w:rPr>
      <w:drawing>
        <wp:anchor distT="0" distB="0" distL="114300" distR="114300" simplePos="0" relativeHeight="251668480" behindDoc="1" locked="0" layoutInCell="1" allowOverlap="1" wp14:anchorId="52251EE4" wp14:editId="5FEEC48E">
          <wp:simplePos x="0" y="0"/>
          <wp:positionH relativeFrom="margin">
            <wp:posOffset>-717200</wp:posOffset>
          </wp:positionH>
          <wp:positionV relativeFrom="page">
            <wp:posOffset>6961156</wp:posOffset>
          </wp:positionV>
          <wp:extent cx="10536865" cy="573700"/>
          <wp:effectExtent l="0" t="0" r="0" b="0"/>
          <wp:wrapNone/>
          <wp:docPr id="583562825" name="Slika 58356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ika 5"/>
                  <pic:cNvPicPr/>
                </pic:nvPicPr>
                <pic:blipFill>
                  <a:blip r:embed="rId1">
                    <a:extLst>
                      <a:ext uri="{28A0092B-C50C-407E-A947-70E740481C1C}">
                        <a14:useLocalDpi xmlns:a14="http://schemas.microsoft.com/office/drawing/2010/main" val="0"/>
                      </a:ext>
                    </a:extLst>
                  </a:blip>
                  <a:stretch>
                    <a:fillRect/>
                  </a:stretch>
                </pic:blipFill>
                <pic:spPr>
                  <a:xfrm>
                    <a:off x="0" y="0"/>
                    <a:ext cx="10536865" cy="573700"/>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ED3C3" w14:textId="6B9EF55F" w:rsidR="56A112A9" w:rsidRDefault="00624BCD" w:rsidP="56A112A9">
    <w:pPr>
      <w:pStyle w:val="Noga"/>
    </w:pPr>
    <w:r>
      <w:rPr>
        <w:noProof/>
      </w:rPr>
      <w:drawing>
        <wp:anchor distT="0" distB="0" distL="114300" distR="114300" simplePos="0" relativeHeight="251667456" behindDoc="1" locked="0" layoutInCell="1" allowOverlap="1" wp14:anchorId="4C383240" wp14:editId="79188117">
          <wp:simplePos x="0" y="0"/>
          <wp:positionH relativeFrom="page">
            <wp:posOffset>23854</wp:posOffset>
          </wp:positionH>
          <wp:positionV relativeFrom="page">
            <wp:posOffset>10098157</wp:posOffset>
          </wp:positionV>
          <wp:extent cx="7513180" cy="554400"/>
          <wp:effectExtent l="0" t="0" r="0"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13180" cy="5544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46834" w14:textId="77777777" w:rsidR="004217D8" w:rsidRDefault="004217D8">
      <w:pPr>
        <w:spacing w:after="0" w:line="240" w:lineRule="auto"/>
      </w:pPr>
      <w:r>
        <w:separator/>
      </w:r>
    </w:p>
  </w:footnote>
  <w:footnote w:type="continuationSeparator" w:id="0">
    <w:p w14:paraId="700C36F8" w14:textId="77777777" w:rsidR="004217D8" w:rsidRDefault="004217D8">
      <w:pPr>
        <w:spacing w:after="0" w:line="240" w:lineRule="auto"/>
      </w:pPr>
      <w:r>
        <w:continuationSeparator/>
      </w:r>
    </w:p>
  </w:footnote>
  <w:footnote w:id="1">
    <w:p w14:paraId="0914BD06" w14:textId="1ED8916B" w:rsidR="00793895" w:rsidRDefault="00793895">
      <w:pPr>
        <w:pStyle w:val="Sprotnaopomba-besedilo"/>
      </w:pPr>
      <w:r>
        <w:rPr>
          <w:rStyle w:val="Sprotnaopomba-sklic"/>
        </w:rPr>
        <w:footnoteRef/>
      </w:r>
      <w:r>
        <w:t xml:space="preserve"> Strateški kazalniki so podrobneje opredeljeni v Prilogi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2FFCE" w14:textId="567E5AEB" w:rsidR="00C801ED" w:rsidRDefault="00990235" w:rsidP="00875847">
    <w:pPr>
      <w:pStyle w:val="Glava"/>
      <w:tabs>
        <w:tab w:val="clear" w:pos="4680"/>
        <w:tab w:val="clear" w:pos="9360"/>
        <w:tab w:val="left" w:pos="1725"/>
      </w:tabs>
    </w:pPr>
    <w:r>
      <w:rPr>
        <w:noProof/>
      </w:rPr>
      <w:drawing>
        <wp:anchor distT="0" distB="0" distL="114300" distR="114300" simplePos="0" relativeHeight="251663360" behindDoc="1" locked="0" layoutInCell="1" allowOverlap="1" wp14:anchorId="4872BDAA" wp14:editId="043F6663">
          <wp:simplePos x="0" y="0"/>
          <wp:positionH relativeFrom="margin">
            <wp:posOffset>-701429</wp:posOffset>
          </wp:positionH>
          <wp:positionV relativeFrom="page">
            <wp:posOffset>0</wp:posOffset>
          </wp:positionV>
          <wp:extent cx="7476948" cy="1335600"/>
          <wp:effectExtent l="0" t="0" r="0" b="0"/>
          <wp:wrapNone/>
          <wp:docPr id="1708114533" name="Slika 1708114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lika 10"/>
                  <pic:cNvPicPr/>
                </pic:nvPicPr>
                <pic:blipFill>
                  <a:blip r:embed="rId1">
                    <a:extLst>
                      <a:ext uri="{28A0092B-C50C-407E-A947-70E740481C1C}">
                        <a14:useLocalDpi xmlns:a14="http://schemas.microsoft.com/office/drawing/2010/main" val="0"/>
                      </a:ext>
                    </a:extLst>
                  </a:blip>
                  <a:stretch>
                    <a:fillRect/>
                  </a:stretch>
                </pic:blipFill>
                <pic:spPr>
                  <a:xfrm>
                    <a:off x="0" y="0"/>
                    <a:ext cx="7476948" cy="1335600"/>
                  </a:xfrm>
                  <a:prstGeom prst="rect">
                    <a:avLst/>
                  </a:prstGeom>
                </pic:spPr>
              </pic:pic>
            </a:graphicData>
          </a:graphic>
          <wp14:sizeRelH relativeFrom="margin">
            <wp14:pctWidth>0</wp14:pctWidth>
          </wp14:sizeRelH>
          <wp14:sizeRelV relativeFrom="margin">
            <wp14:pctHeight>0</wp14:pctHeight>
          </wp14:sizeRelV>
        </wp:anchor>
      </w:drawing>
    </w:r>
    <w:r w:rsidR="00875847">
      <w:tab/>
    </w:r>
  </w:p>
  <w:p w14:paraId="2BEEE702" w14:textId="77777777" w:rsidR="00875847" w:rsidRDefault="00875847" w:rsidP="00875847">
    <w:pPr>
      <w:pStyle w:val="Glava"/>
      <w:tabs>
        <w:tab w:val="clear" w:pos="4680"/>
        <w:tab w:val="clear" w:pos="9360"/>
        <w:tab w:val="left" w:pos="1725"/>
      </w:tabs>
    </w:pPr>
  </w:p>
  <w:p w14:paraId="17E2D96C" w14:textId="77777777" w:rsidR="00875847" w:rsidRDefault="00875847" w:rsidP="00875847">
    <w:pPr>
      <w:pStyle w:val="Glava"/>
      <w:tabs>
        <w:tab w:val="clear" w:pos="4680"/>
        <w:tab w:val="clear" w:pos="9360"/>
        <w:tab w:val="left" w:pos="1725"/>
      </w:tabs>
    </w:pPr>
  </w:p>
  <w:p w14:paraId="64212925" w14:textId="77777777" w:rsidR="00875847" w:rsidRDefault="00875847" w:rsidP="00875847">
    <w:pPr>
      <w:pStyle w:val="Glava"/>
      <w:tabs>
        <w:tab w:val="clear" w:pos="4680"/>
        <w:tab w:val="clear" w:pos="9360"/>
        <w:tab w:val="left" w:pos="1725"/>
      </w:tabs>
    </w:pPr>
  </w:p>
  <w:p w14:paraId="6E62D85E" w14:textId="77777777" w:rsidR="00875847" w:rsidRDefault="00875847" w:rsidP="00875847">
    <w:pPr>
      <w:pStyle w:val="Glava"/>
      <w:tabs>
        <w:tab w:val="clear" w:pos="4680"/>
        <w:tab w:val="clear" w:pos="9360"/>
        <w:tab w:val="left" w:pos="1725"/>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8FBC0" w14:textId="5C69D94A" w:rsidR="001D1453" w:rsidRDefault="00624BCD" w:rsidP="00AD79E9">
    <w:pPr>
      <w:pStyle w:val="Glava"/>
      <w:tabs>
        <w:tab w:val="clear" w:pos="4680"/>
        <w:tab w:val="clear" w:pos="9360"/>
        <w:tab w:val="left" w:pos="2439"/>
      </w:tabs>
    </w:pPr>
    <w:r>
      <w:rPr>
        <w:noProof/>
      </w:rPr>
      <w:drawing>
        <wp:anchor distT="0" distB="0" distL="114300" distR="114300" simplePos="0" relativeHeight="251666432" behindDoc="1" locked="0" layoutInCell="1" allowOverlap="1" wp14:anchorId="176FE93C" wp14:editId="6B1C97EC">
          <wp:simplePos x="0" y="0"/>
          <wp:positionH relativeFrom="margin">
            <wp:posOffset>-773184</wp:posOffset>
          </wp:positionH>
          <wp:positionV relativeFrom="page">
            <wp:posOffset>0</wp:posOffset>
          </wp:positionV>
          <wp:extent cx="10580914" cy="1315073"/>
          <wp:effectExtent l="0" t="0" r="0" b="0"/>
          <wp:wrapNone/>
          <wp:docPr id="608131559" name="Slika 60813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pic:cNvPicPr/>
                </pic:nvPicPr>
                <pic:blipFill>
                  <a:blip r:embed="rId1">
                    <a:extLst>
                      <a:ext uri="{28A0092B-C50C-407E-A947-70E740481C1C}">
                        <a14:useLocalDpi xmlns:a14="http://schemas.microsoft.com/office/drawing/2010/main" val="0"/>
                      </a:ext>
                    </a:extLst>
                  </a:blip>
                  <a:stretch>
                    <a:fillRect/>
                  </a:stretch>
                </pic:blipFill>
                <pic:spPr>
                  <a:xfrm>
                    <a:off x="0" y="0"/>
                    <a:ext cx="10580914" cy="1315073"/>
                  </a:xfrm>
                  <a:prstGeom prst="rect">
                    <a:avLst/>
                  </a:prstGeom>
                </pic:spPr>
              </pic:pic>
            </a:graphicData>
          </a:graphic>
          <wp14:sizeRelH relativeFrom="margin">
            <wp14:pctWidth>0</wp14:pctWidth>
          </wp14:sizeRelH>
          <wp14:sizeRelV relativeFrom="margin">
            <wp14:pctHeight>0</wp14:pctHeight>
          </wp14:sizeRelV>
        </wp:anchor>
      </w:drawing>
    </w:r>
    <w:r w:rsidR="00AD79E9">
      <w:tab/>
    </w:r>
  </w:p>
  <w:p w14:paraId="779F963E" w14:textId="02A652AE" w:rsidR="00FE0FD5" w:rsidRDefault="00624BCD" w:rsidP="00624BCD">
    <w:pPr>
      <w:pStyle w:val="Glava"/>
      <w:tabs>
        <w:tab w:val="clear" w:pos="4680"/>
        <w:tab w:val="clear" w:pos="9360"/>
        <w:tab w:val="left" w:pos="8792"/>
      </w:tabs>
    </w:pPr>
    <w:r>
      <w:tab/>
    </w:r>
  </w:p>
  <w:p w14:paraId="39D6410E" w14:textId="39343FBC" w:rsidR="003024E7" w:rsidRDefault="003024E7">
    <w:pPr>
      <w:pStyle w:val="Glava"/>
    </w:pPr>
  </w:p>
  <w:p w14:paraId="403A9269" w14:textId="77777777" w:rsidR="001D1453" w:rsidRDefault="001D1453">
    <w:pPr>
      <w:pStyle w:val="Glava"/>
    </w:pPr>
  </w:p>
  <w:p w14:paraId="6FE9B6B1" w14:textId="77777777" w:rsidR="00C84B47" w:rsidRDefault="00C84B4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2"/>
      <w:gridCol w:w="3213"/>
      <w:gridCol w:w="3213"/>
    </w:tblGrid>
    <w:tr w:rsidR="56A112A9" w14:paraId="427D238C" w14:textId="77777777" w:rsidTr="56A112A9">
      <w:trPr>
        <w:trHeight w:val="300"/>
      </w:trPr>
      <w:tc>
        <w:tcPr>
          <w:tcW w:w="4780" w:type="dxa"/>
        </w:tcPr>
        <w:p w14:paraId="3A5CA69E" w14:textId="2DE7A495" w:rsidR="56A112A9" w:rsidRDefault="56A112A9" w:rsidP="56A112A9">
          <w:pPr>
            <w:pStyle w:val="Glava"/>
            <w:ind w:left="-115"/>
          </w:pPr>
        </w:p>
      </w:tc>
      <w:tc>
        <w:tcPr>
          <w:tcW w:w="4780" w:type="dxa"/>
        </w:tcPr>
        <w:p w14:paraId="42E50F05" w14:textId="499BD1CC" w:rsidR="56A112A9" w:rsidRDefault="56A112A9" w:rsidP="56A112A9">
          <w:pPr>
            <w:pStyle w:val="Glava"/>
            <w:jc w:val="center"/>
          </w:pPr>
        </w:p>
      </w:tc>
      <w:tc>
        <w:tcPr>
          <w:tcW w:w="4780" w:type="dxa"/>
        </w:tcPr>
        <w:p w14:paraId="5DFC5F03" w14:textId="57AC7441" w:rsidR="56A112A9" w:rsidRDefault="56A112A9" w:rsidP="56A112A9">
          <w:pPr>
            <w:pStyle w:val="Glava"/>
            <w:ind w:right="-115"/>
            <w:jc w:val="right"/>
          </w:pPr>
        </w:p>
      </w:tc>
    </w:tr>
  </w:tbl>
  <w:p w14:paraId="7FCD514F" w14:textId="2B1C245D" w:rsidR="56A112A9" w:rsidRDefault="56A112A9" w:rsidP="56A112A9">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20842" w14:textId="60F10100" w:rsidR="00405C6A" w:rsidRDefault="00405C6A" w:rsidP="00AD79E9">
    <w:pPr>
      <w:pStyle w:val="Glava"/>
      <w:tabs>
        <w:tab w:val="clear" w:pos="4680"/>
        <w:tab w:val="clear" w:pos="9360"/>
        <w:tab w:val="left" w:pos="8904"/>
      </w:tabs>
    </w:pPr>
    <w:r>
      <w:rPr>
        <w:noProof/>
      </w:rPr>
      <w:drawing>
        <wp:anchor distT="0" distB="0" distL="114300" distR="114300" simplePos="0" relativeHeight="251670528" behindDoc="1" locked="0" layoutInCell="1" allowOverlap="1" wp14:anchorId="627E2709" wp14:editId="67E030DB">
          <wp:simplePos x="0" y="0"/>
          <wp:positionH relativeFrom="margin">
            <wp:align>center</wp:align>
          </wp:positionH>
          <wp:positionV relativeFrom="page">
            <wp:align>top</wp:align>
          </wp:positionV>
          <wp:extent cx="7476948" cy="1335600"/>
          <wp:effectExtent l="0" t="0" r="0" b="0"/>
          <wp:wrapNone/>
          <wp:docPr id="13" name="Slika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ka 13"/>
                  <pic:cNvPicPr/>
                </pic:nvPicPr>
                <pic:blipFill>
                  <a:blip r:embed="rId1">
                    <a:extLst>
                      <a:ext uri="{28A0092B-C50C-407E-A947-70E740481C1C}">
                        <a14:useLocalDpi xmlns:a14="http://schemas.microsoft.com/office/drawing/2010/main" val="0"/>
                      </a:ext>
                    </a:extLst>
                  </a:blip>
                  <a:stretch>
                    <a:fillRect/>
                  </a:stretch>
                </pic:blipFill>
                <pic:spPr>
                  <a:xfrm>
                    <a:off x="0" y="0"/>
                    <a:ext cx="7476948" cy="1335600"/>
                  </a:xfrm>
                  <a:prstGeom prst="rect">
                    <a:avLst/>
                  </a:prstGeom>
                </pic:spPr>
              </pic:pic>
            </a:graphicData>
          </a:graphic>
          <wp14:sizeRelH relativeFrom="margin">
            <wp14:pctWidth>0</wp14:pctWidth>
          </wp14:sizeRelH>
          <wp14:sizeRelV relativeFrom="margin">
            <wp14:pctHeight>0</wp14:pctHeight>
          </wp14:sizeRelV>
        </wp:anchor>
      </w:drawing>
    </w:r>
    <w:r w:rsidR="00AD79E9">
      <w:tab/>
    </w:r>
  </w:p>
  <w:p w14:paraId="3FB3A96A" w14:textId="77777777" w:rsidR="00405C6A" w:rsidRDefault="00405C6A" w:rsidP="00624BCD">
    <w:pPr>
      <w:pStyle w:val="Glava"/>
      <w:tabs>
        <w:tab w:val="clear" w:pos="4680"/>
        <w:tab w:val="clear" w:pos="9360"/>
        <w:tab w:val="left" w:pos="8792"/>
      </w:tabs>
    </w:pPr>
    <w:r>
      <w:tab/>
    </w:r>
  </w:p>
  <w:p w14:paraId="6A770E63" w14:textId="77777777" w:rsidR="00405C6A" w:rsidRDefault="00405C6A">
    <w:pPr>
      <w:pStyle w:val="Glava"/>
    </w:pPr>
  </w:p>
  <w:p w14:paraId="746FE5B8" w14:textId="77777777" w:rsidR="00405C6A" w:rsidRDefault="00405C6A">
    <w:pPr>
      <w:pStyle w:val="Glava"/>
    </w:pPr>
  </w:p>
  <w:p w14:paraId="03CCCA6B" w14:textId="77777777" w:rsidR="00405C6A" w:rsidRDefault="00405C6A">
    <w:pPr>
      <w:pStyle w:val="Glav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56A112A9" w14:paraId="18E4037B" w14:textId="77777777" w:rsidTr="56A112A9">
      <w:trPr>
        <w:trHeight w:val="300"/>
      </w:trPr>
      <w:tc>
        <w:tcPr>
          <w:tcW w:w="3210" w:type="dxa"/>
        </w:tcPr>
        <w:p w14:paraId="2C286424" w14:textId="3DDD1C43" w:rsidR="56A112A9" w:rsidRDefault="56A112A9" w:rsidP="56A112A9">
          <w:pPr>
            <w:pStyle w:val="Glava"/>
            <w:ind w:left="-115"/>
          </w:pPr>
        </w:p>
      </w:tc>
      <w:tc>
        <w:tcPr>
          <w:tcW w:w="3210" w:type="dxa"/>
        </w:tcPr>
        <w:p w14:paraId="24557472" w14:textId="5A2B941A" w:rsidR="56A112A9" w:rsidRDefault="56A112A9" w:rsidP="56A112A9">
          <w:pPr>
            <w:pStyle w:val="Glava"/>
            <w:jc w:val="center"/>
          </w:pPr>
        </w:p>
      </w:tc>
      <w:tc>
        <w:tcPr>
          <w:tcW w:w="3210" w:type="dxa"/>
        </w:tcPr>
        <w:p w14:paraId="081F977C" w14:textId="03993178" w:rsidR="56A112A9" w:rsidRDefault="56A112A9" w:rsidP="56A112A9">
          <w:pPr>
            <w:pStyle w:val="Glava"/>
            <w:ind w:right="-115"/>
            <w:jc w:val="right"/>
          </w:pPr>
        </w:p>
      </w:tc>
    </w:tr>
  </w:tbl>
  <w:p w14:paraId="79826A06" w14:textId="30685DC9" w:rsidR="56A112A9" w:rsidRDefault="56A112A9" w:rsidP="56A112A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9175"/>
    <w:multiLevelType w:val="hybridMultilevel"/>
    <w:tmpl w:val="C382CF5E"/>
    <w:lvl w:ilvl="0" w:tplc="0218C7A6">
      <w:start w:val="1"/>
      <w:numFmt w:val="decimal"/>
      <w:lvlText w:val="%1."/>
      <w:lvlJc w:val="left"/>
      <w:pPr>
        <w:ind w:left="720" w:hanging="360"/>
      </w:pPr>
    </w:lvl>
    <w:lvl w:ilvl="1" w:tplc="AC942080">
      <w:start w:val="1"/>
      <w:numFmt w:val="lowerLetter"/>
      <w:lvlText w:val="%2."/>
      <w:lvlJc w:val="left"/>
      <w:pPr>
        <w:ind w:left="1440" w:hanging="360"/>
      </w:pPr>
    </w:lvl>
    <w:lvl w:ilvl="2" w:tplc="122A16C0">
      <w:start w:val="1"/>
      <w:numFmt w:val="lowerRoman"/>
      <w:lvlText w:val="%3."/>
      <w:lvlJc w:val="right"/>
      <w:pPr>
        <w:ind w:left="2160" w:hanging="180"/>
      </w:pPr>
    </w:lvl>
    <w:lvl w:ilvl="3" w:tplc="2C006A60">
      <w:start w:val="1"/>
      <w:numFmt w:val="decimal"/>
      <w:lvlText w:val="%4."/>
      <w:lvlJc w:val="left"/>
      <w:pPr>
        <w:ind w:left="2880" w:hanging="360"/>
      </w:pPr>
    </w:lvl>
    <w:lvl w:ilvl="4" w:tplc="45C87D90">
      <w:start w:val="1"/>
      <w:numFmt w:val="lowerLetter"/>
      <w:lvlText w:val="%5."/>
      <w:lvlJc w:val="left"/>
      <w:pPr>
        <w:ind w:left="3600" w:hanging="360"/>
      </w:pPr>
    </w:lvl>
    <w:lvl w:ilvl="5" w:tplc="62EA0346">
      <w:start w:val="1"/>
      <w:numFmt w:val="lowerRoman"/>
      <w:lvlText w:val="%6."/>
      <w:lvlJc w:val="right"/>
      <w:pPr>
        <w:ind w:left="4320" w:hanging="180"/>
      </w:pPr>
    </w:lvl>
    <w:lvl w:ilvl="6" w:tplc="FDC065F8">
      <w:start w:val="1"/>
      <w:numFmt w:val="decimal"/>
      <w:lvlText w:val="%7."/>
      <w:lvlJc w:val="left"/>
      <w:pPr>
        <w:ind w:left="5040" w:hanging="360"/>
      </w:pPr>
    </w:lvl>
    <w:lvl w:ilvl="7" w:tplc="4782AF18">
      <w:start w:val="1"/>
      <w:numFmt w:val="lowerLetter"/>
      <w:lvlText w:val="%8."/>
      <w:lvlJc w:val="left"/>
      <w:pPr>
        <w:ind w:left="5760" w:hanging="360"/>
      </w:pPr>
    </w:lvl>
    <w:lvl w:ilvl="8" w:tplc="C97C3AA6">
      <w:start w:val="1"/>
      <w:numFmt w:val="lowerRoman"/>
      <w:lvlText w:val="%9."/>
      <w:lvlJc w:val="right"/>
      <w:pPr>
        <w:ind w:left="6480" w:hanging="180"/>
      </w:pPr>
    </w:lvl>
  </w:abstractNum>
  <w:abstractNum w:abstractNumId="1" w15:restartNumberingAfterBreak="0">
    <w:nsid w:val="017BB3EE"/>
    <w:multiLevelType w:val="hybridMultilevel"/>
    <w:tmpl w:val="BAD28A98"/>
    <w:lvl w:ilvl="0" w:tplc="6CE4F268">
      <w:start w:val="1"/>
      <w:numFmt w:val="decimal"/>
      <w:lvlText w:val="%1."/>
      <w:lvlJc w:val="left"/>
      <w:pPr>
        <w:ind w:left="720" w:hanging="360"/>
      </w:pPr>
    </w:lvl>
    <w:lvl w:ilvl="1" w:tplc="3508014C">
      <w:start w:val="1"/>
      <w:numFmt w:val="lowerLetter"/>
      <w:lvlText w:val="%2."/>
      <w:lvlJc w:val="left"/>
      <w:pPr>
        <w:ind w:left="1440" w:hanging="360"/>
      </w:pPr>
    </w:lvl>
    <w:lvl w:ilvl="2" w:tplc="0622B3B4">
      <w:start w:val="1"/>
      <w:numFmt w:val="lowerRoman"/>
      <w:lvlText w:val="%3."/>
      <w:lvlJc w:val="right"/>
      <w:pPr>
        <w:ind w:left="2160" w:hanging="180"/>
      </w:pPr>
    </w:lvl>
    <w:lvl w:ilvl="3" w:tplc="7A045368">
      <w:start w:val="1"/>
      <w:numFmt w:val="decimal"/>
      <w:lvlText w:val="%4."/>
      <w:lvlJc w:val="left"/>
      <w:pPr>
        <w:ind w:left="2880" w:hanging="360"/>
      </w:pPr>
    </w:lvl>
    <w:lvl w:ilvl="4" w:tplc="578057B0">
      <w:start w:val="1"/>
      <w:numFmt w:val="lowerLetter"/>
      <w:lvlText w:val="%5."/>
      <w:lvlJc w:val="left"/>
      <w:pPr>
        <w:ind w:left="3600" w:hanging="360"/>
      </w:pPr>
    </w:lvl>
    <w:lvl w:ilvl="5" w:tplc="80A26486">
      <w:start w:val="1"/>
      <w:numFmt w:val="lowerRoman"/>
      <w:lvlText w:val="%6."/>
      <w:lvlJc w:val="right"/>
      <w:pPr>
        <w:ind w:left="4320" w:hanging="180"/>
      </w:pPr>
    </w:lvl>
    <w:lvl w:ilvl="6" w:tplc="F29A8714">
      <w:start w:val="1"/>
      <w:numFmt w:val="decimal"/>
      <w:lvlText w:val="%7."/>
      <w:lvlJc w:val="left"/>
      <w:pPr>
        <w:ind w:left="5040" w:hanging="360"/>
      </w:pPr>
    </w:lvl>
    <w:lvl w:ilvl="7" w:tplc="69E4A69E">
      <w:start w:val="1"/>
      <w:numFmt w:val="lowerLetter"/>
      <w:lvlText w:val="%8."/>
      <w:lvlJc w:val="left"/>
      <w:pPr>
        <w:ind w:left="5760" w:hanging="360"/>
      </w:pPr>
    </w:lvl>
    <w:lvl w:ilvl="8" w:tplc="6826F852">
      <w:start w:val="1"/>
      <w:numFmt w:val="lowerRoman"/>
      <w:lvlText w:val="%9."/>
      <w:lvlJc w:val="right"/>
      <w:pPr>
        <w:ind w:left="6480" w:hanging="180"/>
      </w:pPr>
    </w:lvl>
  </w:abstractNum>
  <w:abstractNum w:abstractNumId="2" w15:restartNumberingAfterBreak="0">
    <w:nsid w:val="041195E2"/>
    <w:multiLevelType w:val="hybridMultilevel"/>
    <w:tmpl w:val="C472C550"/>
    <w:lvl w:ilvl="0" w:tplc="0172F0C8">
      <w:start w:val="1"/>
      <w:numFmt w:val="bullet"/>
      <w:lvlText w:val="o"/>
      <w:lvlJc w:val="left"/>
      <w:pPr>
        <w:ind w:left="720" w:hanging="360"/>
      </w:pPr>
      <w:rPr>
        <w:rFonts w:ascii="&quot;Courier New&quot;" w:hAnsi="&quot;Courier New&quot;" w:hint="default"/>
      </w:rPr>
    </w:lvl>
    <w:lvl w:ilvl="1" w:tplc="DDB4029C">
      <w:start w:val="1"/>
      <w:numFmt w:val="bullet"/>
      <w:lvlText w:val="o"/>
      <w:lvlJc w:val="left"/>
      <w:pPr>
        <w:ind w:left="1440" w:hanging="360"/>
      </w:pPr>
      <w:rPr>
        <w:rFonts w:ascii="Courier New" w:hAnsi="Courier New" w:hint="default"/>
      </w:rPr>
    </w:lvl>
    <w:lvl w:ilvl="2" w:tplc="9BCC6816">
      <w:start w:val="1"/>
      <w:numFmt w:val="bullet"/>
      <w:lvlText w:val=""/>
      <w:lvlJc w:val="left"/>
      <w:pPr>
        <w:ind w:left="2160" w:hanging="360"/>
      </w:pPr>
      <w:rPr>
        <w:rFonts w:ascii="Wingdings" w:hAnsi="Wingdings" w:hint="default"/>
      </w:rPr>
    </w:lvl>
    <w:lvl w:ilvl="3" w:tplc="751667BC">
      <w:start w:val="1"/>
      <w:numFmt w:val="bullet"/>
      <w:lvlText w:val=""/>
      <w:lvlJc w:val="left"/>
      <w:pPr>
        <w:ind w:left="2880" w:hanging="360"/>
      </w:pPr>
      <w:rPr>
        <w:rFonts w:ascii="Symbol" w:hAnsi="Symbol" w:hint="default"/>
      </w:rPr>
    </w:lvl>
    <w:lvl w:ilvl="4" w:tplc="32CABD4A">
      <w:start w:val="1"/>
      <w:numFmt w:val="bullet"/>
      <w:lvlText w:val="o"/>
      <w:lvlJc w:val="left"/>
      <w:pPr>
        <w:ind w:left="3600" w:hanging="360"/>
      </w:pPr>
      <w:rPr>
        <w:rFonts w:ascii="Courier New" w:hAnsi="Courier New" w:hint="default"/>
      </w:rPr>
    </w:lvl>
    <w:lvl w:ilvl="5" w:tplc="418E5872">
      <w:start w:val="1"/>
      <w:numFmt w:val="bullet"/>
      <w:lvlText w:val=""/>
      <w:lvlJc w:val="left"/>
      <w:pPr>
        <w:ind w:left="4320" w:hanging="360"/>
      </w:pPr>
      <w:rPr>
        <w:rFonts w:ascii="Wingdings" w:hAnsi="Wingdings" w:hint="default"/>
      </w:rPr>
    </w:lvl>
    <w:lvl w:ilvl="6" w:tplc="A6EC38CE">
      <w:start w:val="1"/>
      <w:numFmt w:val="bullet"/>
      <w:lvlText w:val=""/>
      <w:lvlJc w:val="left"/>
      <w:pPr>
        <w:ind w:left="5040" w:hanging="360"/>
      </w:pPr>
      <w:rPr>
        <w:rFonts w:ascii="Symbol" w:hAnsi="Symbol" w:hint="default"/>
      </w:rPr>
    </w:lvl>
    <w:lvl w:ilvl="7" w:tplc="90C20DBC">
      <w:start w:val="1"/>
      <w:numFmt w:val="bullet"/>
      <w:lvlText w:val="o"/>
      <w:lvlJc w:val="left"/>
      <w:pPr>
        <w:ind w:left="5760" w:hanging="360"/>
      </w:pPr>
      <w:rPr>
        <w:rFonts w:ascii="Courier New" w:hAnsi="Courier New" w:hint="default"/>
      </w:rPr>
    </w:lvl>
    <w:lvl w:ilvl="8" w:tplc="3B246054">
      <w:start w:val="1"/>
      <w:numFmt w:val="bullet"/>
      <w:lvlText w:val=""/>
      <w:lvlJc w:val="left"/>
      <w:pPr>
        <w:ind w:left="6480" w:hanging="360"/>
      </w:pPr>
      <w:rPr>
        <w:rFonts w:ascii="Wingdings" w:hAnsi="Wingdings" w:hint="default"/>
      </w:rPr>
    </w:lvl>
  </w:abstractNum>
  <w:abstractNum w:abstractNumId="3" w15:restartNumberingAfterBreak="0">
    <w:nsid w:val="05FE92D1"/>
    <w:multiLevelType w:val="hybridMultilevel"/>
    <w:tmpl w:val="5226F452"/>
    <w:lvl w:ilvl="0" w:tplc="700A9C7A">
      <w:start w:val="1"/>
      <w:numFmt w:val="decimal"/>
      <w:lvlText w:val="%1."/>
      <w:lvlJc w:val="left"/>
      <w:pPr>
        <w:ind w:left="720" w:hanging="360"/>
      </w:pPr>
    </w:lvl>
    <w:lvl w:ilvl="1" w:tplc="88D284DE">
      <w:start w:val="1"/>
      <w:numFmt w:val="lowerLetter"/>
      <w:lvlText w:val="%2."/>
      <w:lvlJc w:val="left"/>
      <w:pPr>
        <w:ind w:left="1440" w:hanging="360"/>
      </w:pPr>
    </w:lvl>
    <w:lvl w:ilvl="2" w:tplc="9908534E">
      <w:start w:val="1"/>
      <w:numFmt w:val="lowerRoman"/>
      <w:lvlText w:val="%3."/>
      <w:lvlJc w:val="right"/>
      <w:pPr>
        <w:ind w:left="2160" w:hanging="180"/>
      </w:pPr>
    </w:lvl>
    <w:lvl w:ilvl="3" w:tplc="58CC0CFC">
      <w:start w:val="1"/>
      <w:numFmt w:val="decimal"/>
      <w:lvlText w:val="%4."/>
      <w:lvlJc w:val="left"/>
      <w:pPr>
        <w:ind w:left="2880" w:hanging="360"/>
      </w:pPr>
    </w:lvl>
    <w:lvl w:ilvl="4" w:tplc="5A409E4A">
      <w:start w:val="1"/>
      <w:numFmt w:val="lowerLetter"/>
      <w:lvlText w:val="%5."/>
      <w:lvlJc w:val="left"/>
      <w:pPr>
        <w:ind w:left="3600" w:hanging="360"/>
      </w:pPr>
    </w:lvl>
    <w:lvl w:ilvl="5" w:tplc="0D8E6752">
      <w:start w:val="1"/>
      <w:numFmt w:val="lowerRoman"/>
      <w:lvlText w:val="%6."/>
      <w:lvlJc w:val="right"/>
      <w:pPr>
        <w:ind w:left="4320" w:hanging="180"/>
      </w:pPr>
    </w:lvl>
    <w:lvl w:ilvl="6" w:tplc="1F102188">
      <w:start w:val="1"/>
      <w:numFmt w:val="decimal"/>
      <w:lvlText w:val="%7."/>
      <w:lvlJc w:val="left"/>
      <w:pPr>
        <w:ind w:left="5040" w:hanging="360"/>
      </w:pPr>
    </w:lvl>
    <w:lvl w:ilvl="7" w:tplc="AAF28C42">
      <w:start w:val="1"/>
      <w:numFmt w:val="lowerLetter"/>
      <w:lvlText w:val="%8."/>
      <w:lvlJc w:val="left"/>
      <w:pPr>
        <w:ind w:left="5760" w:hanging="360"/>
      </w:pPr>
    </w:lvl>
    <w:lvl w:ilvl="8" w:tplc="39248286">
      <w:start w:val="1"/>
      <w:numFmt w:val="lowerRoman"/>
      <w:lvlText w:val="%9."/>
      <w:lvlJc w:val="right"/>
      <w:pPr>
        <w:ind w:left="6480" w:hanging="180"/>
      </w:pPr>
    </w:lvl>
  </w:abstractNum>
  <w:abstractNum w:abstractNumId="4" w15:restartNumberingAfterBreak="0">
    <w:nsid w:val="0642BABF"/>
    <w:multiLevelType w:val="hybridMultilevel"/>
    <w:tmpl w:val="0804BB4E"/>
    <w:lvl w:ilvl="0" w:tplc="5442D762">
      <w:start w:val="1"/>
      <w:numFmt w:val="bullet"/>
      <w:lvlText w:val=""/>
      <w:lvlJc w:val="left"/>
      <w:pPr>
        <w:ind w:left="720" w:hanging="360"/>
      </w:pPr>
      <w:rPr>
        <w:rFonts w:ascii="Symbol" w:hAnsi="Symbol" w:hint="default"/>
      </w:rPr>
    </w:lvl>
    <w:lvl w:ilvl="1" w:tplc="4DFAC85A">
      <w:start w:val="1"/>
      <w:numFmt w:val="bullet"/>
      <w:lvlText w:val="o"/>
      <w:lvlJc w:val="left"/>
      <w:pPr>
        <w:ind w:left="1440" w:hanging="360"/>
      </w:pPr>
      <w:rPr>
        <w:rFonts w:ascii="Courier New" w:hAnsi="Courier New" w:hint="default"/>
      </w:rPr>
    </w:lvl>
    <w:lvl w:ilvl="2" w:tplc="C5B4201E">
      <w:start w:val="1"/>
      <w:numFmt w:val="bullet"/>
      <w:lvlText w:val=""/>
      <w:lvlJc w:val="left"/>
      <w:pPr>
        <w:ind w:left="2160" w:hanging="360"/>
      </w:pPr>
      <w:rPr>
        <w:rFonts w:ascii="Wingdings" w:hAnsi="Wingdings" w:hint="default"/>
      </w:rPr>
    </w:lvl>
    <w:lvl w:ilvl="3" w:tplc="A6D6D638">
      <w:start w:val="1"/>
      <w:numFmt w:val="bullet"/>
      <w:lvlText w:val=""/>
      <w:lvlJc w:val="left"/>
      <w:pPr>
        <w:ind w:left="2880" w:hanging="360"/>
      </w:pPr>
      <w:rPr>
        <w:rFonts w:ascii="Symbol" w:hAnsi="Symbol" w:hint="default"/>
      </w:rPr>
    </w:lvl>
    <w:lvl w:ilvl="4" w:tplc="B7780E6A">
      <w:start w:val="1"/>
      <w:numFmt w:val="bullet"/>
      <w:lvlText w:val="o"/>
      <w:lvlJc w:val="left"/>
      <w:pPr>
        <w:ind w:left="3600" w:hanging="360"/>
      </w:pPr>
      <w:rPr>
        <w:rFonts w:ascii="Courier New" w:hAnsi="Courier New" w:hint="default"/>
      </w:rPr>
    </w:lvl>
    <w:lvl w:ilvl="5" w:tplc="68D8AD60">
      <w:start w:val="1"/>
      <w:numFmt w:val="bullet"/>
      <w:lvlText w:val=""/>
      <w:lvlJc w:val="left"/>
      <w:pPr>
        <w:ind w:left="4320" w:hanging="360"/>
      </w:pPr>
      <w:rPr>
        <w:rFonts w:ascii="Wingdings" w:hAnsi="Wingdings" w:hint="default"/>
      </w:rPr>
    </w:lvl>
    <w:lvl w:ilvl="6" w:tplc="D99CE398">
      <w:start w:val="1"/>
      <w:numFmt w:val="bullet"/>
      <w:lvlText w:val=""/>
      <w:lvlJc w:val="left"/>
      <w:pPr>
        <w:ind w:left="5040" w:hanging="360"/>
      </w:pPr>
      <w:rPr>
        <w:rFonts w:ascii="Symbol" w:hAnsi="Symbol" w:hint="default"/>
      </w:rPr>
    </w:lvl>
    <w:lvl w:ilvl="7" w:tplc="E4AAF698">
      <w:start w:val="1"/>
      <w:numFmt w:val="bullet"/>
      <w:lvlText w:val="o"/>
      <w:lvlJc w:val="left"/>
      <w:pPr>
        <w:ind w:left="5760" w:hanging="360"/>
      </w:pPr>
      <w:rPr>
        <w:rFonts w:ascii="Courier New" w:hAnsi="Courier New" w:hint="default"/>
      </w:rPr>
    </w:lvl>
    <w:lvl w:ilvl="8" w:tplc="DF381E3C">
      <w:start w:val="1"/>
      <w:numFmt w:val="bullet"/>
      <w:lvlText w:val=""/>
      <w:lvlJc w:val="left"/>
      <w:pPr>
        <w:ind w:left="6480" w:hanging="360"/>
      </w:pPr>
      <w:rPr>
        <w:rFonts w:ascii="Wingdings" w:hAnsi="Wingdings" w:hint="default"/>
      </w:rPr>
    </w:lvl>
  </w:abstractNum>
  <w:abstractNum w:abstractNumId="5" w15:restartNumberingAfterBreak="0">
    <w:nsid w:val="1410B539"/>
    <w:multiLevelType w:val="hybridMultilevel"/>
    <w:tmpl w:val="9EFA61CC"/>
    <w:lvl w:ilvl="0" w:tplc="5386BAD8">
      <w:start w:val="3"/>
      <w:numFmt w:val="decimal"/>
      <w:lvlText w:val="%1."/>
      <w:lvlJc w:val="left"/>
      <w:pPr>
        <w:ind w:left="720" w:hanging="360"/>
      </w:pPr>
    </w:lvl>
    <w:lvl w:ilvl="1" w:tplc="70C48D12">
      <w:start w:val="1"/>
      <w:numFmt w:val="lowerLetter"/>
      <w:lvlText w:val="%2."/>
      <w:lvlJc w:val="left"/>
      <w:pPr>
        <w:ind w:left="1440" w:hanging="360"/>
      </w:pPr>
    </w:lvl>
    <w:lvl w:ilvl="2" w:tplc="88E4F2E6">
      <w:start w:val="1"/>
      <w:numFmt w:val="lowerRoman"/>
      <w:lvlText w:val="%3."/>
      <w:lvlJc w:val="right"/>
      <w:pPr>
        <w:ind w:left="2160" w:hanging="180"/>
      </w:pPr>
    </w:lvl>
    <w:lvl w:ilvl="3" w:tplc="20F23EA8">
      <w:start w:val="1"/>
      <w:numFmt w:val="decimal"/>
      <w:lvlText w:val="%4."/>
      <w:lvlJc w:val="left"/>
      <w:pPr>
        <w:ind w:left="2880" w:hanging="360"/>
      </w:pPr>
    </w:lvl>
    <w:lvl w:ilvl="4" w:tplc="0F6025A4">
      <w:start w:val="1"/>
      <w:numFmt w:val="lowerLetter"/>
      <w:lvlText w:val="%5."/>
      <w:lvlJc w:val="left"/>
      <w:pPr>
        <w:ind w:left="3600" w:hanging="360"/>
      </w:pPr>
    </w:lvl>
    <w:lvl w:ilvl="5" w:tplc="5A6444B2">
      <w:start w:val="1"/>
      <w:numFmt w:val="lowerRoman"/>
      <w:lvlText w:val="%6."/>
      <w:lvlJc w:val="right"/>
      <w:pPr>
        <w:ind w:left="4320" w:hanging="180"/>
      </w:pPr>
    </w:lvl>
    <w:lvl w:ilvl="6" w:tplc="BDAE40CE">
      <w:start w:val="1"/>
      <w:numFmt w:val="decimal"/>
      <w:lvlText w:val="%7."/>
      <w:lvlJc w:val="left"/>
      <w:pPr>
        <w:ind w:left="5040" w:hanging="360"/>
      </w:pPr>
    </w:lvl>
    <w:lvl w:ilvl="7" w:tplc="6B24B6A8">
      <w:start w:val="1"/>
      <w:numFmt w:val="lowerLetter"/>
      <w:lvlText w:val="%8."/>
      <w:lvlJc w:val="left"/>
      <w:pPr>
        <w:ind w:left="5760" w:hanging="360"/>
      </w:pPr>
    </w:lvl>
    <w:lvl w:ilvl="8" w:tplc="E89686F6">
      <w:start w:val="1"/>
      <w:numFmt w:val="lowerRoman"/>
      <w:lvlText w:val="%9."/>
      <w:lvlJc w:val="right"/>
      <w:pPr>
        <w:ind w:left="6480" w:hanging="180"/>
      </w:pPr>
    </w:lvl>
  </w:abstractNum>
  <w:abstractNum w:abstractNumId="6" w15:restartNumberingAfterBreak="0">
    <w:nsid w:val="17063B27"/>
    <w:multiLevelType w:val="hybridMultilevel"/>
    <w:tmpl w:val="B7A2648E"/>
    <w:lvl w:ilvl="0" w:tplc="3BFA520E">
      <w:start w:val="1"/>
      <w:numFmt w:val="bullet"/>
      <w:lvlText w:val="o"/>
      <w:lvlJc w:val="left"/>
      <w:pPr>
        <w:ind w:left="720" w:hanging="360"/>
      </w:pPr>
      <w:rPr>
        <w:rFonts w:ascii="&quot;Courier New&quot;" w:hAnsi="&quot;Courier New&quot;" w:hint="default"/>
      </w:rPr>
    </w:lvl>
    <w:lvl w:ilvl="1" w:tplc="7774089E">
      <w:start w:val="1"/>
      <w:numFmt w:val="bullet"/>
      <w:lvlText w:val="o"/>
      <w:lvlJc w:val="left"/>
      <w:pPr>
        <w:ind w:left="1440" w:hanging="360"/>
      </w:pPr>
      <w:rPr>
        <w:rFonts w:ascii="Courier New" w:hAnsi="Courier New" w:hint="default"/>
      </w:rPr>
    </w:lvl>
    <w:lvl w:ilvl="2" w:tplc="E2B606A8">
      <w:start w:val="1"/>
      <w:numFmt w:val="bullet"/>
      <w:lvlText w:val=""/>
      <w:lvlJc w:val="left"/>
      <w:pPr>
        <w:ind w:left="2160" w:hanging="360"/>
      </w:pPr>
      <w:rPr>
        <w:rFonts w:ascii="Wingdings" w:hAnsi="Wingdings" w:hint="default"/>
      </w:rPr>
    </w:lvl>
    <w:lvl w:ilvl="3" w:tplc="C31A4624">
      <w:start w:val="1"/>
      <w:numFmt w:val="bullet"/>
      <w:lvlText w:val=""/>
      <w:lvlJc w:val="left"/>
      <w:pPr>
        <w:ind w:left="2880" w:hanging="360"/>
      </w:pPr>
      <w:rPr>
        <w:rFonts w:ascii="Symbol" w:hAnsi="Symbol" w:hint="default"/>
      </w:rPr>
    </w:lvl>
    <w:lvl w:ilvl="4" w:tplc="6A524E08">
      <w:start w:val="1"/>
      <w:numFmt w:val="bullet"/>
      <w:lvlText w:val="o"/>
      <w:lvlJc w:val="left"/>
      <w:pPr>
        <w:ind w:left="3600" w:hanging="360"/>
      </w:pPr>
      <w:rPr>
        <w:rFonts w:ascii="Courier New" w:hAnsi="Courier New" w:hint="default"/>
      </w:rPr>
    </w:lvl>
    <w:lvl w:ilvl="5" w:tplc="1ED899C2">
      <w:start w:val="1"/>
      <w:numFmt w:val="bullet"/>
      <w:lvlText w:val=""/>
      <w:lvlJc w:val="left"/>
      <w:pPr>
        <w:ind w:left="4320" w:hanging="360"/>
      </w:pPr>
      <w:rPr>
        <w:rFonts w:ascii="Wingdings" w:hAnsi="Wingdings" w:hint="default"/>
      </w:rPr>
    </w:lvl>
    <w:lvl w:ilvl="6" w:tplc="3D9A9BA8">
      <w:start w:val="1"/>
      <w:numFmt w:val="bullet"/>
      <w:lvlText w:val=""/>
      <w:lvlJc w:val="left"/>
      <w:pPr>
        <w:ind w:left="5040" w:hanging="360"/>
      </w:pPr>
      <w:rPr>
        <w:rFonts w:ascii="Symbol" w:hAnsi="Symbol" w:hint="default"/>
      </w:rPr>
    </w:lvl>
    <w:lvl w:ilvl="7" w:tplc="1AEAE1EC">
      <w:start w:val="1"/>
      <w:numFmt w:val="bullet"/>
      <w:lvlText w:val="o"/>
      <w:lvlJc w:val="left"/>
      <w:pPr>
        <w:ind w:left="5760" w:hanging="360"/>
      </w:pPr>
      <w:rPr>
        <w:rFonts w:ascii="Courier New" w:hAnsi="Courier New" w:hint="default"/>
      </w:rPr>
    </w:lvl>
    <w:lvl w:ilvl="8" w:tplc="B24CBC36">
      <w:start w:val="1"/>
      <w:numFmt w:val="bullet"/>
      <w:lvlText w:val=""/>
      <w:lvlJc w:val="left"/>
      <w:pPr>
        <w:ind w:left="6480" w:hanging="360"/>
      </w:pPr>
      <w:rPr>
        <w:rFonts w:ascii="Wingdings" w:hAnsi="Wingdings" w:hint="default"/>
      </w:rPr>
    </w:lvl>
  </w:abstractNum>
  <w:abstractNum w:abstractNumId="7" w15:restartNumberingAfterBreak="0">
    <w:nsid w:val="17A1DF9B"/>
    <w:multiLevelType w:val="hybridMultilevel"/>
    <w:tmpl w:val="D924CFD6"/>
    <w:lvl w:ilvl="0" w:tplc="E580259C">
      <w:start w:val="1"/>
      <w:numFmt w:val="bullet"/>
      <w:lvlText w:val="-"/>
      <w:lvlJc w:val="left"/>
      <w:pPr>
        <w:ind w:left="720" w:hanging="360"/>
      </w:pPr>
      <w:rPr>
        <w:rFonts w:ascii="Aptos" w:hAnsi="Aptos" w:hint="default"/>
      </w:rPr>
    </w:lvl>
    <w:lvl w:ilvl="1" w:tplc="217E45CA">
      <w:start w:val="1"/>
      <w:numFmt w:val="bullet"/>
      <w:lvlText w:val="o"/>
      <w:lvlJc w:val="left"/>
      <w:pPr>
        <w:ind w:left="1440" w:hanging="360"/>
      </w:pPr>
      <w:rPr>
        <w:rFonts w:ascii="Courier New" w:hAnsi="Courier New" w:hint="default"/>
      </w:rPr>
    </w:lvl>
    <w:lvl w:ilvl="2" w:tplc="B5980004">
      <w:start w:val="1"/>
      <w:numFmt w:val="bullet"/>
      <w:lvlText w:val=""/>
      <w:lvlJc w:val="left"/>
      <w:pPr>
        <w:ind w:left="2160" w:hanging="360"/>
      </w:pPr>
      <w:rPr>
        <w:rFonts w:ascii="Wingdings" w:hAnsi="Wingdings" w:hint="default"/>
      </w:rPr>
    </w:lvl>
    <w:lvl w:ilvl="3" w:tplc="0512FDDC">
      <w:start w:val="1"/>
      <w:numFmt w:val="bullet"/>
      <w:lvlText w:val=""/>
      <w:lvlJc w:val="left"/>
      <w:pPr>
        <w:ind w:left="2880" w:hanging="360"/>
      </w:pPr>
      <w:rPr>
        <w:rFonts w:ascii="Symbol" w:hAnsi="Symbol" w:hint="default"/>
      </w:rPr>
    </w:lvl>
    <w:lvl w:ilvl="4" w:tplc="8AE27326">
      <w:start w:val="1"/>
      <w:numFmt w:val="bullet"/>
      <w:lvlText w:val="o"/>
      <w:lvlJc w:val="left"/>
      <w:pPr>
        <w:ind w:left="3600" w:hanging="360"/>
      </w:pPr>
      <w:rPr>
        <w:rFonts w:ascii="Courier New" w:hAnsi="Courier New" w:hint="default"/>
      </w:rPr>
    </w:lvl>
    <w:lvl w:ilvl="5" w:tplc="F188A122">
      <w:start w:val="1"/>
      <w:numFmt w:val="bullet"/>
      <w:lvlText w:val=""/>
      <w:lvlJc w:val="left"/>
      <w:pPr>
        <w:ind w:left="4320" w:hanging="360"/>
      </w:pPr>
      <w:rPr>
        <w:rFonts w:ascii="Wingdings" w:hAnsi="Wingdings" w:hint="default"/>
      </w:rPr>
    </w:lvl>
    <w:lvl w:ilvl="6" w:tplc="23640108">
      <w:start w:val="1"/>
      <w:numFmt w:val="bullet"/>
      <w:lvlText w:val=""/>
      <w:lvlJc w:val="left"/>
      <w:pPr>
        <w:ind w:left="5040" w:hanging="360"/>
      </w:pPr>
      <w:rPr>
        <w:rFonts w:ascii="Symbol" w:hAnsi="Symbol" w:hint="default"/>
      </w:rPr>
    </w:lvl>
    <w:lvl w:ilvl="7" w:tplc="EE8E5AC8">
      <w:start w:val="1"/>
      <w:numFmt w:val="bullet"/>
      <w:lvlText w:val="o"/>
      <w:lvlJc w:val="left"/>
      <w:pPr>
        <w:ind w:left="5760" w:hanging="360"/>
      </w:pPr>
      <w:rPr>
        <w:rFonts w:ascii="Courier New" w:hAnsi="Courier New" w:hint="default"/>
      </w:rPr>
    </w:lvl>
    <w:lvl w:ilvl="8" w:tplc="FDC04FFC">
      <w:start w:val="1"/>
      <w:numFmt w:val="bullet"/>
      <w:lvlText w:val=""/>
      <w:lvlJc w:val="left"/>
      <w:pPr>
        <w:ind w:left="6480" w:hanging="360"/>
      </w:pPr>
      <w:rPr>
        <w:rFonts w:ascii="Wingdings" w:hAnsi="Wingdings" w:hint="default"/>
      </w:rPr>
    </w:lvl>
  </w:abstractNum>
  <w:abstractNum w:abstractNumId="8" w15:restartNumberingAfterBreak="0">
    <w:nsid w:val="18BC4A93"/>
    <w:multiLevelType w:val="hybridMultilevel"/>
    <w:tmpl w:val="10AC0626"/>
    <w:lvl w:ilvl="0" w:tplc="213435A0">
      <w:start w:val="1"/>
      <w:numFmt w:val="bullet"/>
      <w:lvlText w:val="·"/>
      <w:lvlJc w:val="left"/>
      <w:pPr>
        <w:ind w:left="720" w:hanging="360"/>
      </w:pPr>
      <w:rPr>
        <w:rFonts w:ascii="Symbol" w:hAnsi="Symbol" w:hint="default"/>
      </w:rPr>
    </w:lvl>
    <w:lvl w:ilvl="1" w:tplc="A6B4C560">
      <w:start w:val="1"/>
      <w:numFmt w:val="bullet"/>
      <w:lvlText w:val="o"/>
      <w:lvlJc w:val="left"/>
      <w:pPr>
        <w:ind w:left="1440" w:hanging="360"/>
      </w:pPr>
      <w:rPr>
        <w:rFonts w:ascii="Courier New" w:hAnsi="Courier New" w:hint="default"/>
      </w:rPr>
    </w:lvl>
    <w:lvl w:ilvl="2" w:tplc="7B20FFB2">
      <w:start w:val="1"/>
      <w:numFmt w:val="bullet"/>
      <w:lvlText w:val=""/>
      <w:lvlJc w:val="left"/>
      <w:pPr>
        <w:ind w:left="2160" w:hanging="360"/>
      </w:pPr>
      <w:rPr>
        <w:rFonts w:ascii="Wingdings" w:hAnsi="Wingdings" w:hint="default"/>
      </w:rPr>
    </w:lvl>
    <w:lvl w:ilvl="3" w:tplc="DFC05376">
      <w:start w:val="1"/>
      <w:numFmt w:val="bullet"/>
      <w:lvlText w:val=""/>
      <w:lvlJc w:val="left"/>
      <w:pPr>
        <w:ind w:left="2880" w:hanging="360"/>
      </w:pPr>
      <w:rPr>
        <w:rFonts w:ascii="Symbol" w:hAnsi="Symbol" w:hint="default"/>
      </w:rPr>
    </w:lvl>
    <w:lvl w:ilvl="4" w:tplc="41582076">
      <w:start w:val="1"/>
      <w:numFmt w:val="bullet"/>
      <w:lvlText w:val="o"/>
      <w:lvlJc w:val="left"/>
      <w:pPr>
        <w:ind w:left="3600" w:hanging="360"/>
      </w:pPr>
      <w:rPr>
        <w:rFonts w:ascii="Courier New" w:hAnsi="Courier New" w:hint="default"/>
      </w:rPr>
    </w:lvl>
    <w:lvl w:ilvl="5" w:tplc="CDF844B0">
      <w:start w:val="1"/>
      <w:numFmt w:val="bullet"/>
      <w:lvlText w:val=""/>
      <w:lvlJc w:val="left"/>
      <w:pPr>
        <w:ind w:left="4320" w:hanging="360"/>
      </w:pPr>
      <w:rPr>
        <w:rFonts w:ascii="Wingdings" w:hAnsi="Wingdings" w:hint="default"/>
      </w:rPr>
    </w:lvl>
    <w:lvl w:ilvl="6" w:tplc="A982591E">
      <w:start w:val="1"/>
      <w:numFmt w:val="bullet"/>
      <w:lvlText w:val=""/>
      <w:lvlJc w:val="left"/>
      <w:pPr>
        <w:ind w:left="5040" w:hanging="360"/>
      </w:pPr>
      <w:rPr>
        <w:rFonts w:ascii="Symbol" w:hAnsi="Symbol" w:hint="default"/>
      </w:rPr>
    </w:lvl>
    <w:lvl w:ilvl="7" w:tplc="52B2D860">
      <w:start w:val="1"/>
      <w:numFmt w:val="bullet"/>
      <w:lvlText w:val="o"/>
      <w:lvlJc w:val="left"/>
      <w:pPr>
        <w:ind w:left="5760" w:hanging="360"/>
      </w:pPr>
      <w:rPr>
        <w:rFonts w:ascii="Courier New" w:hAnsi="Courier New" w:hint="default"/>
      </w:rPr>
    </w:lvl>
    <w:lvl w:ilvl="8" w:tplc="83B0988C">
      <w:start w:val="1"/>
      <w:numFmt w:val="bullet"/>
      <w:lvlText w:val=""/>
      <w:lvlJc w:val="left"/>
      <w:pPr>
        <w:ind w:left="6480" w:hanging="360"/>
      </w:pPr>
      <w:rPr>
        <w:rFonts w:ascii="Wingdings" w:hAnsi="Wingdings" w:hint="default"/>
      </w:rPr>
    </w:lvl>
  </w:abstractNum>
  <w:abstractNum w:abstractNumId="9" w15:restartNumberingAfterBreak="0">
    <w:nsid w:val="1B198475"/>
    <w:multiLevelType w:val="hybridMultilevel"/>
    <w:tmpl w:val="6AFCC8EC"/>
    <w:lvl w:ilvl="0" w:tplc="B2E23084">
      <w:start w:val="2"/>
      <w:numFmt w:val="decimal"/>
      <w:lvlText w:val="%1."/>
      <w:lvlJc w:val="left"/>
      <w:pPr>
        <w:ind w:left="720" w:hanging="360"/>
      </w:pPr>
    </w:lvl>
    <w:lvl w:ilvl="1" w:tplc="AD50832C">
      <w:start w:val="1"/>
      <w:numFmt w:val="lowerLetter"/>
      <w:lvlText w:val="%2."/>
      <w:lvlJc w:val="left"/>
      <w:pPr>
        <w:ind w:left="1440" w:hanging="360"/>
      </w:pPr>
    </w:lvl>
    <w:lvl w:ilvl="2" w:tplc="A2948BF4">
      <w:start w:val="1"/>
      <w:numFmt w:val="lowerRoman"/>
      <w:lvlText w:val="%3."/>
      <w:lvlJc w:val="right"/>
      <w:pPr>
        <w:ind w:left="2160" w:hanging="180"/>
      </w:pPr>
    </w:lvl>
    <w:lvl w:ilvl="3" w:tplc="6FB619AC">
      <w:start w:val="1"/>
      <w:numFmt w:val="decimal"/>
      <w:lvlText w:val="%4."/>
      <w:lvlJc w:val="left"/>
      <w:pPr>
        <w:ind w:left="2880" w:hanging="360"/>
      </w:pPr>
    </w:lvl>
    <w:lvl w:ilvl="4" w:tplc="42C4E73A">
      <w:start w:val="1"/>
      <w:numFmt w:val="lowerLetter"/>
      <w:lvlText w:val="%5."/>
      <w:lvlJc w:val="left"/>
      <w:pPr>
        <w:ind w:left="3600" w:hanging="360"/>
      </w:pPr>
    </w:lvl>
    <w:lvl w:ilvl="5" w:tplc="1E76FE64">
      <w:start w:val="1"/>
      <w:numFmt w:val="lowerRoman"/>
      <w:lvlText w:val="%6."/>
      <w:lvlJc w:val="right"/>
      <w:pPr>
        <w:ind w:left="4320" w:hanging="180"/>
      </w:pPr>
    </w:lvl>
    <w:lvl w:ilvl="6" w:tplc="E0EA1B0A">
      <w:start w:val="1"/>
      <w:numFmt w:val="decimal"/>
      <w:lvlText w:val="%7."/>
      <w:lvlJc w:val="left"/>
      <w:pPr>
        <w:ind w:left="5040" w:hanging="360"/>
      </w:pPr>
    </w:lvl>
    <w:lvl w:ilvl="7" w:tplc="CB32E512">
      <w:start w:val="1"/>
      <w:numFmt w:val="lowerLetter"/>
      <w:lvlText w:val="%8."/>
      <w:lvlJc w:val="left"/>
      <w:pPr>
        <w:ind w:left="5760" w:hanging="360"/>
      </w:pPr>
    </w:lvl>
    <w:lvl w:ilvl="8" w:tplc="7D70D4A6">
      <w:start w:val="1"/>
      <w:numFmt w:val="lowerRoman"/>
      <w:lvlText w:val="%9."/>
      <w:lvlJc w:val="right"/>
      <w:pPr>
        <w:ind w:left="6480" w:hanging="180"/>
      </w:pPr>
    </w:lvl>
  </w:abstractNum>
  <w:abstractNum w:abstractNumId="10" w15:restartNumberingAfterBreak="0">
    <w:nsid w:val="1B8EAD59"/>
    <w:multiLevelType w:val="hybridMultilevel"/>
    <w:tmpl w:val="B69CECB6"/>
    <w:lvl w:ilvl="0" w:tplc="9D123248">
      <w:start w:val="1"/>
      <w:numFmt w:val="bullet"/>
      <w:lvlText w:val=""/>
      <w:lvlJc w:val="left"/>
      <w:pPr>
        <w:ind w:left="720" w:hanging="360"/>
      </w:pPr>
      <w:rPr>
        <w:rFonts w:ascii="Symbol" w:hAnsi="Symbol" w:hint="default"/>
      </w:rPr>
    </w:lvl>
    <w:lvl w:ilvl="1" w:tplc="79B0E662">
      <w:start w:val="1"/>
      <w:numFmt w:val="bullet"/>
      <w:lvlText w:val="o"/>
      <w:lvlJc w:val="left"/>
      <w:pPr>
        <w:ind w:left="1440" w:hanging="360"/>
      </w:pPr>
      <w:rPr>
        <w:rFonts w:ascii="Courier New" w:hAnsi="Courier New" w:hint="default"/>
      </w:rPr>
    </w:lvl>
    <w:lvl w:ilvl="2" w:tplc="D2B86A42">
      <w:start w:val="1"/>
      <w:numFmt w:val="bullet"/>
      <w:lvlText w:val=""/>
      <w:lvlJc w:val="left"/>
      <w:pPr>
        <w:ind w:left="2160" w:hanging="360"/>
      </w:pPr>
      <w:rPr>
        <w:rFonts w:ascii="Wingdings" w:hAnsi="Wingdings" w:hint="default"/>
      </w:rPr>
    </w:lvl>
    <w:lvl w:ilvl="3" w:tplc="D340CC6A">
      <w:start w:val="1"/>
      <w:numFmt w:val="bullet"/>
      <w:lvlText w:val=""/>
      <w:lvlJc w:val="left"/>
      <w:pPr>
        <w:ind w:left="2880" w:hanging="360"/>
      </w:pPr>
      <w:rPr>
        <w:rFonts w:ascii="Symbol" w:hAnsi="Symbol" w:hint="default"/>
      </w:rPr>
    </w:lvl>
    <w:lvl w:ilvl="4" w:tplc="BCFEFBE6">
      <w:start w:val="1"/>
      <w:numFmt w:val="bullet"/>
      <w:lvlText w:val="o"/>
      <w:lvlJc w:val="left"/>
      <w:pPr>
        <w:ind w:left="3600" w:hanging="360"/>
      </w:pPr>
      <w:rPr>
        <w:rFonts w:ascii="Courier New" w:hAnsi="Courier New" w:hint="default"/>
      </w:rPr>
    </w:lvl>
    <w:lvl w:ilvl="5" w:tplc="491C45D4">
      <w:start w:val="1"/>
      <w:numFmt w:val="bullet"/>
      <w:lvlText w:val=""/>
      <w:lvlJc w:val="left"/>
      <w:pPr>
        <w:ind w:left="4320" w:hanging="360"/>
      </w:pPr>
      <w:rPr>
        <w:rFonts w:ascii="Wingdings" w:hAnsi="Wingdings" w:hint="default"/>
      </w:rPr>
    </w:lvl>
    <w:lvl w:ilvl="6" w:tplc="573E7CBC">
      <w:start w:val="1"/>
      <w:numFmt w:val="bullet"/>
      <w:lvlText w:val=""/>
      <w:lvlJc w:val="left"/>
      <w:pPr>
        <w:ind w:left="5040" w:hanging="360"/>
      </w:pPr>
      <w:rPr>
        <w:rFonts w:ascii="Symbol" w:hAnsi="Symbol" w:hint="default"/>
      </w:rPr>
    </w:lvl>
    <w:lvl w:ilvl="7" w:tplc="D870DEC8">
      <w:start w:val="1"/>
      <w:numFmt w:val="bullet"/>
      <w:lvlText w:val="o"/>
      <w:lvlJc w:val="left"/>
      <w:pPr>
        <w:ind w:left="5760" w:hanging="360"/>
      </w:pPr>
      <w:rPr>
        <w:rFonts w:ascii="Courier New" w:hAnsi="Courier New" w:hint="default"/>
      </w:rPr>
    </w:lvl>
    <w:lvl w:ilvl="8" w:tplc="31E46ADE">
      <w:start w:val="1"/>
      <w:numFmt w:val="bullet"/>
      <w:lvlText w:val=""/>
      <w:lvlJc w:val="left"/>
      <w:pPr>
        <w:ind w:left="6480" w:hanging="360"/>
      </w:pPr>
      <w:rPr>
        <w:rFonts w:ascii="Wingdings" w:hAnsi="Wingdings" w:hint="default"/>
      </w:rPr>
    </w:lvl>
  </w:abstractNum>
  <w:abstractNum w:abstractNumId="11" w15:restartNumberingAfterBreak="0">
    <w:nsid w:val="1C5CE906"/>
    <w:multiLevelType w:val="hybridMultilevel"/>
    <w:tmpl w:val="02408E80"/>
    <w:lvl w:ilvl="0" w:tplc="2ADECF42">
      <w:start w:val="1"/>
      <w:numFmt w:val="bullet"/>
      <w:lvlText w:val=""/>
      <w:lvlJc w:val="left"/>
      <w:pPr>
        <w:ind w:left="720" w:hanging="360"/>
      </w:pPr>
      <w:rPr>
        <w:rFonts w:ascii="Symbol" w:hAnsi="Symbol" w:hint="default"/>
      </w:rPr>
    </w:lvl>
    <w:lvl w:ilvl="1" w:tplc="CCF8ED92">
      <w:start w:val="1"/>
      <w:numFmt w:val="bullet"/>
      <w:lvlText w:val="o"/>
      <w:lvlJc w:val="left"/>
      <w:pPr>
        <w:ind w:left="1440" w:hanging="360"/>
      </w:pPr>
      <w:rPr>
        <w:rFonts w:ascii="Courier New" w:hAnsi="Courier New" w:hint="default"/>
      </w:rPr>
    </w:lvl>
    <w:lvl w:ilvl="2" w:tplc="917E1D64">
      <w:start w:val="1"/>
      <w:numFmt w:val="bullet"/>
      <w:lvlText w:val=""/>
      <w:lvlJc w:val="left"/>
      <w:pPr>
        <w:ind w:left="2160" w:hanging="360"/>
      </w:pPr>
      <w:rPr>
        <w:rFonts w:ascii="Wingdings" w:hAnsi="Wingdings" w:hint="default"/>
      </w:rPr>
    </w:lvl>
    <w:lvl w:ilvl="3" w:tplc="E15881A8">
      <w:start w:val="1"/>
      <w:numFmt w:val="bullet"/>
      <w:lvlText w:val=""/>
      <w:lvlJc w:val="left"/>
      <w:pPr>
        <w:ind w:left="2880" w:hanging="360"/>
      </w:pPr>
      <w:rPr>
        <w:rFonts w:ascii="Symbol" w:hAnsi="Symbol" w:hint="default"/>
      </w:rPr>
    </w:lvl>
    <w:lvl w:ilvl="4" w:tplc="81B46D5C">
      <w:start w:val="1"/>
      <w:numFmt w:val="bullet"/>
      <w:lvlText w:val="o"/>
      <w:lvlJc w:val="left"/>
      <w:pPr>
        <w:ind w:left="3600" w:hanging="360"/>
      </w:pPr>
      <w:rPr>
        <w:rFonts w:ascii="Courier New" w:hAnsi="Courier New" w:hint="default"/>
      </w:rPr>
    </w:lvl>
    <w:lvl w:ilvl="5" w:tplc="0450C976">
      <w:start w:val="1"/>
      <w:numFmt w:val="bullet"/>
      <w:lvlText w:val=""/>
      <w:lvlJc w:val="left"/>
      <w:pPr>
        <w:ind w:left="4320" w:hanging="360"/>
      </w:pPr>
      <w:rPr>
        <w:rFonts w:ascii="Wingdings" w:hAnsi="Wingdings" w:hint="default"/>
      </w:rPr>
    </w:lvl>
    <w:lvl w:ilvl="6" w:tplc="4C76C638">
      <w:start w:val="1"/>
      <w:numFmt w:val="bullet"/>
      <w:lvlText w:val=""/>
      <w:lvlJc w:val="left"/>
      <w:pPr>
        <w:ind w:left="5040" w:hanging="360"/>
      </w:pPr>
      <w:rPr>
        <w:rFonts w:ascii="Symbol" w:hAnsi="Symbol" w:hint="default"/>
      </w:rPr>
    </w:lvl>
    <w:lvl w:ilvl="7" w:tplc="EA042D44">
      <w:start w:val="1"/>
      <w:numFmt w:val="bullet"/>
      <w:lvlText w:val="o"/>
      <w:lvlJc w:val="left"/>
      <w:pPr>
        <w:ind w:left="5760" w:hanging="360"/>
      </w:pPr>
      <w:rPr>
        <w:rFonts w:ascii="Courier New" w:hAnsi="Courier New" w:hint="default"/>
      </w:rPr>
    </w:lvl>
    <w:lvl w:ilvl="8" w:tplc="D09EE88C">
      <w:start w:val="1"/>
      <w:numFmt w:val="bullet"/>
      <w:lvlText w:val=""/>
      <w:lvlJc w:val="left"/>
      <w:pPr>
        <w:ind w:left="6480" w:hanging="360"/>
      </w:pPr>
      <w:rPr>
        <w:rFonts w:ascii="Wingdings" w:hAnsi="Wingdings" w:hint="default"/>
      </w:rPr>
    </w:lvl>
  </w:abstractNum>
  <w:abstractNum w:abstractNumId="12" w15:restartNumberingAfterBreak="0">
    <w:nsid w:val="1EF8F88F"/>
    <w:multiLevelType w:val="hybridMultilevel"/>
    <w:tmpl w:val="71C62E5C"/>
    <w:lvl w:ilvl="0" w:tplc="0670531E">
      <w:start w:val="1"/>
      <w:numFmt w:val="bullet"/>
      <w:lvlText w:val="-"/>
      <w:lvlJc w:val="left"/>
      <w:pPr>
        <w:ind w:left="720" w:hanging="360"/>
      </w:pPr>
      <w:rPr>
        <w:rFonts w:ascii="Aptos" w:hAnsi="Aptos" w:hint="default"/>
      </w:rPr>
    </w:lvl>
    <w:lvl w:ilvl="1" w:tplc="F828C904">
      <w:start w:val="1"/>
      <w:numFmt w:val="bullet"/>
      <w:lvlText w:val="o"/>
      <w:lvlJc w:val="left"/>
      <w:pPr>
        <w:ind w:left="1440" w:hanging="360"/>
      </w:pPr>
      <w:rPr>
        <w:rFonts w:ascii="Courier New" w:hAnsi="Courier New" w:hint="default"/>
      </w:rPr>
    </w:lvl>
    <w:lvl w:ilvl="2" w:tplc="1AF2FBFC">
      <w:start w:val="1"/>
      <w:numFmt w:val="bullet"/>
      <w:lvlText w:val=""/>
      <w:lvlJc w:val="left"/>
      <w:pPr>
        <w:ind w:left="2160" w:hanging="360"/>
      </w:pPr>
      <w:rPr>
        <w:rFonts w:ascii="Wingdings" w:hAnsi="Wingdings" w:hint="default"/>
      </w:rPr>
    </w:lvl>
    <w:lvl w:ilvl="3" w:tplc="8B48E5A2">
      <w:start w:val="1"/>
      <w:numFmt w:val="bullet"/>
      <w:lvlText w:val=""/>
      <w:lvlJc w:val="left"/>
      <w:pPr>
        <w:ind w:left="2880" w:hanging="360"/>
      </w:pPr>
      <w:rPr>
        <w:rFonts w:ascii="Symbol" w:hAnsi="Symbol" w:hint="default"/>
      </w:rPr>
    </w:lvl>
    <w:lvl w:ilvl="4" w:tplc="2A2C5346">
      <w:start w:val="1"/>
      <w:numFmt w:val="bullet"/>
      <w:lvlText w:val="o"/>
      <w:lvlJc w:val="left"/>
      <w:pPr>
        <w:ind w:left="3600" w:hanging="360"/>
      </w:pPr>
      <w:rPr>
        <w:rFonts w:ascii="Courier New" w:hAnsi="Courier New" w:hint="default"/>
      </w:rPr>
    </w:lvl>
    <w:lvl w:ilvl="5" w:tplc="1FB0FF30">
      <w:start w:val="1"/>
      <w:numFmt w:val="bullet"/>
      <w:lvlText w:val=""/>
      <w:lvlJc w:val="left"/>
      <w:pPr>
        <w:ind w:left="4320" w:hanging="360"/>
      </w:pPr>
      <w:rPr>
        <w:rFonts w:ascii="Wingdings" w:hAnsi="Wingdings" w:hint="default"/>
      </w:rPr>
    </w:lvl>
    <w:lvl w:ilvl="6" w:tplc="99EC7D64">
      <w:start w:val="1"/>
      <w:numFmt w:val="bullet"/>
      <w:lvlText w:val=""/>
      <w:lvlJc w:val="left"/>
      <w:pPr>
        <w:ind w:left="5040" w:hanging="360"/>
      </w:pPr>
      <w:rPr>
        <w:rFonts w:ascii="Symbol" w:hAnsi="Symbol" w:hint="default"/>
      </w:rPr>
    </w:lvl>
    <w:lvl w:ilvl="7" w:tplc="DFFC52D2">
      <w:start w:val="1"/>
      <w:numFmt w:val="bullet"/>
      <w:lvlText w:val="o"/>
      <w:lvlJc w:val="left"/>
      <w:pPr>
        <w:ind w:left="5760" w:hanging="360"/>
      </w:pPr>
      <w:rPr>
        <w:rFonts w:ascii="Courier New" w:hAnsi="Courier New" w:hint="default"/>
      </w:rPr>
    </w:lvl>
    <w:lvl w:ilvl="8" w:tplc="D3B6761A">
      <w:start w:val="1"/>
      <w:numFmt w:val="bullet"/>
      <w:lvlText w:val=""/>
      <w:lvlJc w:val="left"/>
      <w:pPr>
        <w:ind w:left="6480" w:hanging="360"/>
      </w:pPr>
      <w:rPr>
        <w:rFonts w:ascii="Wingdings" w:hAnsi="Wingdings" w:hint="default"/>
      </w:rPr>
    </w:lvl>
  </w:abstractNum>
  <w:abstractNum w:abstractNumId="13" w15:restartNumberingAfterBreak="0">
    <w:nsid w:val="262B1D2F"/>
    <w:multiLevelType w:val="hybridMultilevel"/>
    <w:tmpl w:val="2570A5BC"/>
    <w:lvl w:ilvl="0" w:tplc="C562F746">
      <w:start w:val="1"/>
      <w:numFmt w:val="bullet"/>
      <w:lvlText w:val=""/>
      <w:lvlJc w:val="left"/>
      <w:pPr>
        <w:ind w:left="720" w:hanging="360"/>
      </w:pPr>
      <w:rPr>
        <w:rFonts w:ascii="Symbol" w:hAnsi="Symbol" w:hint="default"/>
      </w:rPr>
    </w:lvl>
    <w:lvl w:ilvl="1" w:tplc="CA8023BC">
      <w:start w:val="1"/>
      <w:numFmt w:val="bullet"/>
      <w:lvlText w:val="o"/>
      <w:lvlJc w:val="left"/>
      <w:pPr>
        <w:ind w:left="1440" w:hanging="360"/>
      </w:pPr>
      <w:rPr>
        <w:rFonts w:ascii="Courier New" w:hAnsi="Courier New" w:hint="default"/>
      </w:rPr>
    </w:lvl>
    <w:lvl w:ilvl="2" w:tplc="478414A2">
      <w:start w:val="1"/>
      <w:numFmt w:val="bullet"/>
      <w:lvlText w:val=""/>
      <w:lvlJc w:val="left"/>
      <w:pPr>
        <w:ind w:left="2160" w:hanging="360"/>
      </w:pPr>
      <w:rPr>
        <w:rFonts w:ascii="Wingdings" w:hAnsi="Wingdings" w:hint="default"/>
      </w:rPr>
    </w:lvl>
    <w:lvl w:ilvl="3" w:tplc="0CB25BF0">
      <w:start w:val="1"/>
      <w:numFmt w:val="bullet"/>
      <w:lvlText w:val=""/>
      <w:lvlJc w:val="left"/>
      <w:pPr>
        <w:ind w:left="2880" w:hanging="360"/>
      </w:pPr>
      <w:rPr>
        <w:rFonts w:ascii="Symbol" w:hAnsi="Symbol" w:hint="default"/>
      </w:rPr>
    </w:lvl>
    <w:lvl w:ilvl="4" w:tplc="7A3247C2">
      <w:start w:val="1"/>
      <w:numFmt w:val="bullet"/>
      <w:lvlText w:val="o"/>
      <w:lvlJc w:val="left"/>
      <w:pPr>
        <w:ind w:left="3600" w:hanging="360"/>
      </w:pPr>
      <w:rPr>
        <w:rFonts w:ascii="Courier New" w:hAnsi="Courier New" w:hint="default"/>
      </w:rPr>
    </w:lvl>
    <w:lvl w:ilvl="5" w:tplc="383840AE">
      <w:start w:val="1"/>
      <w:numFmt w:val="bullet"/>
      <w:lvlText w:val=""/>
      <w:lvlJc w:val="left"/>
      <w:pPr>
        <w:ind w:left="4320" w:hanging="360"/>
      </w:pPr>
      <w:rPr>
        <w:rFonts w:ascii="Wingdings" w:hAnsi="Wingdings" w:hint="default"/>
      </w:rPr>
    </w:lvl>
    <w:lvl w:ilvl="6" w:tplc="C7709E08">
      <w:start w:val="1"/>
      <w:numFmt w:val="bullet"/>
      <w:lvlText w:val=""/>
      <w:lvlJc w:val="left"/>
      <w:pPr>
        <w:ind w:left="5040" w:hanging="360"/>
      </w:pPr>
      <w:rPr>
        <w:rFonts w:ascii="Symbol" w:hAnsi="Symbol" w:hint="default"/>
      </w:rPr>
    </w:lvl>
    <w:lvl w:ilvl="7" w:tplc="2D36E6DC">
      <w:start w:val="1"/>
      <w:numFmt w:val="bullet"/>
      <w:lvlText w:val="o"/>
      <w:lvlJc w:val="left"/>
      <w:pPr>
        <w:ind w:left="5760" w:hanging="360"/>
      </w:pPr>
      <w:rPr>
        <w:rFonts w:ascii="Courier New" w:hAnsi="Courier New" w:hint="default"/>
      </w:rPr>
    </w:lvl>
    <w:lvl w:ilvl="8" w:tplc="2E96BC10">
      <w:start w:val="1"/>
      <w:numFmt w:val="bullet"/>
      <w:lvlText w:val=""/>
      <w:lvlJc w:val="left"/>
      <w:pPr>
        <w:ind w:left="6480" w:hanging="360"/>
      </w:pPr>
      <w:rPr>
        <w:rFonts w:ascii="Wingdings" w:hAnsi="Wingdings" w:hint="default"/>
      </w:rPr>
    </w:lvl>
  </w:abstractNum>
  <w:abstractNum w:abstractNumId="14" w15:restartNumberingAfterBreak="0">
    <w:nsid w:val="2792C748"/>
    <w:multiLevelType w:val="hybridMultilevel"/>
    <w:tmpl w:val="147AEF50"/>
    <w:lvl w:ilvl="0" w:tplc="87543884">
      <w:start w:val="1"/>
      <w:numFmt w:val="bullet"/>
      <w:lvlText w:val="o"/>
      <w:lvlJc w:val="left"/>
      <w:pPr>
        <w:ind w:left="720" w:hanging="360"/>
      </w:pPr>
      <w:rPr>
        <w:rFonts w:ascii="&quot;Courier New&quot;" w:hAnsi="&quot;Courier New&quot;" w:hint="default"/>
      </w:rPr>
    </w:lvl>
    <w:lvl w:ilvl="1" w:tplc="93A253C6">
      <w:start w:val="1"/>
      <w:numFmt w:val="bullet"/>
      <w:lvlText w:val="o"/>
      <w:lvlJc w:val="left"/>
      <w:pPr>
        <w:ind w:left="1440" w:hanging="360"/>
      </w:pPr>
      <w:rPr>
        <w:rFonts w:ascii="Courier New" w:hAnsi="Courier New" w:hint="default"/>
      </w:rPr>
    </w:lvl>
    <w:lvl w:ilvl="2" w:tplc="6358A2E6">
      <w:start w:val="1"/>
      <w:numFmt w:val="bullet"/>
      <w:lvlText w:val=""/>
      <w:lvlJc w:val="left"/>
      <w:pPr>
        <w:ind w:left="2160" w:hanging="360"/>
      </w:pPr>
      <w:rPr>
        <w:rFonts w:ascii="Wingdings" w:hAnsi="Wingdings" w:hint="default"/>
      </w:rPr>
    </w:lvl>
    <w:lvl w:ilvl="3" w:tplc="BA60667C">
      <w:start w:val="1"/>
      <w:numFmt w:val="bullet"/>
      <w:lvlText w:val=""/>
      <w:lvlJc w:val="left"/>
      <w:pPr>
        <w:ind w:left="2880" w:hanging="360"/>
      </w:pPr>
      <w:rPr>
        <w:rFonts w:ascii="Symbol" w:hAnsi="Symbol" w:hint="default"/>
      </w:rPr>
    </w:lvl>
    <w:lvl w:ilvl="4" w:tplc="24E85B46">
      <w:start w:val="1"/>
      <w:numFmt w:val="bullet"/>
      <w:lvlText w:val="o"/>
      <w:lvlJc w:val="left"/>
      <w:pPr>
        <w:ind w:left="3600" w:hanging="360"/>
      </w:pPr>
      <w:rPr>
        <w:rFonts w:ascii="Courier New" w:hAnsi="Courier New" w:hint="default"/>
      </w:rPr>
    </w:lvl>
    <w:lvl w:ilvl="5" w:tplc="EB4EA178">
      <w:start w:val="1"/>
      <w:numFmt w:val="bullet"/>
      <w:lvlText w:val=""/>
      <w:lvlJc w:val="left"/>
      <w:pPr>
        <w:ind w:left="4320" w:hanging="360"/>
      </w:pPr>
      <w:rPr>
        <w:rFonts w:ascii="Wingdings" w:hAnsi="Wingdings" w:hint="default"/>
      </w:rPr>
    </w:lvl>
    <w:lvl w:ilvl="6" w:tplc="F76A33B0">
      <w:start w:val="1"/>
      <w:numFmt w:val="bullet"/>
      <w:lvlText w:val=""/>
      <w:lvlJc w:val="left"/>
      <w:pPr>
        <w:ind w:left="5040" w:hanging="360"/>
      </w:pPr>
      <w:rPr>
        <w:rFonts w:ascii="Symbol" w:hAnsi="Symbol" w:hint="default"/>
      </w:rPr>
    </w:lvl>
    <w:lvl w:ilvl="7" w:tplc="61182BD2">
      <w:start w:val="1"/>
      <w:numFmt w:val="bullet"/>
      <w:lvlText w:val="o"/>
      <w:lvlJc w:val="left"/>
      <w:pPr>
        <w:ind w:left="5760" w:hanging="360"/>
      </w:pPr>
      <w:rPr>
        <w:rFonts w:ascii="Courier New" w:hAnsi="Courier New" w:hint="default"/>
      </w:rPr>
    </w:lvl>
    <w:lvl w:ilvl="8" w:tplc="60668FBE">
      <w:start w:val="1"/>
      <w:numFmt w:val="bullet"/>
      <w:lvlText w:val=""/>
      <w:lvlJc w:val="left"/>
      <w:pPr>
        <w:ind w:left="6480" w:hanging="360"/>
      </w:pPr>
      <w:rPr>
        <w:rFonts w:ascii="Wingdings" w:hAnsi="Wingdings" w:hint="default"/>
      </w:rPr>
    </w:lvl>
  </w:abstractNum>
  <w:abstractNum w:abstractNumId="15" w15:restartNumberingAfterBreak="0">
    <w:nsid w:val="2885D46A"/>
    <w:multiLevelType w:val="hybridMultilevel"/>
    <w:tmpl w:val="8D124E16"/>
    <w:lvl w:ilvl="0" w:tplc="F5265410">
      <w:start w:val="1"/>
      <w:numFmt w:val="bullet"/>
      <w:lvlText w:val=""/>
      <w:lvlJc w:val="left"/>
      <w:pPr>
        <w:ind w:left="720" w:hanging="360"/>
      </w:pPr>
      <w:rPr>
        <w:rFonts w:ascii="Symbol" w:hAnsi="Symbol" w:hint="default"/>
      </w:rPr>
    </w:lvl>
    <w:lvl w:ilvl="1" w:tplc="6AC441AC">
      <w:start w:val="1"/>
      <w:numFmt w:val="bullet"/>
      <w:lvlText w:val="o"/>
      <w:lvlJc w:val="left"/>
      <w:pPr>
        <w:ind w:left="1440" w:hanging="360"/>
      </w:pPr>
      <w:rPr>
        <w:rFonts w:ascii="Courier New" w:hAnsi="Courier New" w:hint="default"/>
      </w:rPr>
    </w:lvl>
    <w:lvl w:ilvl="2" w:tplc="B82AA454">
      <w:start w:val="1"/>
      <w:numFmt w:val="bullet"/>
      <w:lvlText w:val=""/>
      <w:lvlJc w:val="left"/>
      <w:pPr>
        <w:ind w:left="2160" w:hanging="360"/>
      </w:pPr>
      <w:rPr>
        <w:rFonts w:ascii="Wingdings" w:hAnsi="Wingdings" w:hint="default"/>
      </w:rPr>
    </w:lvl>
    <w:lvl w:ilvl="3" w:tplc="DDB613AE">
      <w:start w:val="1"/>
      <w:numFmt w:val="bullet"/>
      <w:lvlText w:val=""/>
      <w:lvlJc w:val="left"/>
      <w:pPr>
        <w:ind w:left="2880" w:hanging="360"/>
      </w:pPr>
      <w:rPr>
        <w:rFonts w:ascii="Symbol" w:hAnsi="Symbol" w:hint="default"/>
      </w:rPr>
    </w:lvl>
    <w:lvl w:ilvl="4" w:tplc="407C4120">
      <w:start w:val="1"/>
      <w:numFmt w:val="bullet"/>
      <w:lvlText w:val="o"/>
      <w:lvlJc w:val="left"/>
      <w:pPr>
        <w:ind w:left="3600" w:hanging="360"/>
      </w:pPr>
      <w:rPr>
        <w:rFonts w:ascii="Courier New" w:hAnsi="Courier New" w:hint="default"/>
      </w:rPr>
    </w:lvl>
    <w:lvl w:ilvl="5" w:tplc="F2368138">
      <w:start w:val="1"/>
      <w:numFmt w:val="bullet"/>
      <w:lvlText w:val=""/>
      <w:lvlJc w:val="left"/>
      <w:pPr>
        <w:ind w:left="4320" w:hanging="360"/>
      </w:pPr>
      <w:rPr>
        <w:rFonts w:ascii="Wingdings" w:hAnsi="Wingdings" w:hint="default"/>
      </w:rPr>
    </w:lvl>
    <w:lvl w:ilvl="6" w:tplc="D54C57BC">
      <w:start w:val="1"/>
      <w:numFmt w:val="bullet"/>
      <w:lvlText w:val=""/>
      <w:lvlJc w:val="left"/>
      <w:pPr>
        <w:ind w:left="5040" w:hanging="360"/>
      </w:pPr>
      <w:rPr>
        <w:rFonts w:ascii="Symbol" w:hAnsi="Symbol" w:hint="default"/>
      </w:rPr>
    </w:lvl>
    <w:lvl w:ilvl="7" w:tplc="54BC275E">
      <w:start w:val="1"/>
      <w:numFmt w:val="bullet"/>
      <w:lvlText w:val="o"/>
      <w:lvlJc w:val="left"/>
      <w:pPr>
        <w:ind w:left="5760" w:hanging="360"/>
      </w:pPr>
      <w:rPr>
        <w:rFonts w:ascii="Courier New" w:hAnsi="Courier New" w:hint="default"/>
      </w:rPr>
    </w:lvl>
    <w:lvl w:ilvl="8" w:tplc="C3F0483A">
      <w:start w:val="1"/>
      <w:numFmt w:val="bullet"/>
      <w:lvlText w:val=""/>
      <w:lvlJc w:val="left"/>
      <w:pPr>
        <w:ind w:left="6480" w:hanging="360"/>
      </w:pPr>
      <w:rPr>
        <w:rFonts w:ascii="Wingdings" w:hAnsi="Wingdings" w:hint="default"/>
      </w:rPr>
    </w:lvl>
  </w:abstractNum>
  <w:abstractNum w:abstractNumId="16" w15:restartNumberingAfterBreak="0">
    <w:nsid w:val="2F889F54"/>
    <w:multiLevelType w:val="hybridMultilevel"/>
    <w:tmpl w:val="C342486E"/>
    <w:lvl w:ilvl="0" w:tplc="2B32A482">
      <w:start w:val="1"/>
      <w:numFmt w:val="bullet"/>
      <w:lvlText w:val="·"/>
      <w:lvlJc w:val="left"/>
      <w:pPr>
        <w:ind w:left="720" w:hanging="360"/>
      </w:pPr>
      <w:rPr>
        <w:rFonts w:ascii="Symbol" w:hAnsi="Symbol" w:hint="default"/>
      </w:rPr>
    </w:lvl>
    <w:lvl w:ilvl="1" w:tplc="97B47E4A">
      <w:start w:val="1"/>
      <w:numFmt w:val="bullet"/>
      <w:lvlText w:val="o"/>
      <w:lvlJc w:val="left"/>
      <w:pPr>
        <w:ind w:left="1440" w:hanging="360"/>
      </w:pPr>
      <w:rPr>
        <w:rFonts w:ascii="Courier New" w:hAnsi="Courier New" w:hint="default"/>
      </w:rPr>
    </w:lvl>
    <w:lvl w:ilvl="2" w:tplc="4208ADF2">
      <w:start w:val="1"/>
      <w:numFmt w:val="bullet"/>
      <w:lvlText w:val=""/>
      <w:lvlJc w:val="left"/>
      <w:pPr>
        <w:ind w:left="2160" w:hanging="360"/>
      </w:pPr>
      <w:rPr>
        <w:rFonts w:ascii="Wingdings" w:hAnsi="Wingdings" w:hint="default"/>
      </w:rPr>
    </w:lvl>
    <w:lvl w:ilvl="3" w:tplc="B19EAC36">
      <w:start w:val="1"/>
      <w:numFmt w:val="bullet"/>
      <w:lvlText w:val=""/>
      <w:lvlJc w:val="left"/>
      <w:pPr>
        <w:ind w:left="2880" w:hanging="360"/>
      </w:pPr>
      <w:rPr>
        <w:rFonts w:ascii="Symbol" w:hAnsi="Symbol" w:hint="default"/>
      </w:rPr>
    </w:lvl>
    <w:lvl w:ilvl="4" w:tplc="0374ECDA">
      <w:start w:val="1"/>
      <w:numFmt w:val="bullet"/>
      <w:lvlText w:val="o"/>
      <w:lvlJc w:val="left"/>
      <w:pPr>
        <w:ind w:left="3600" w:hanging="360"/>
      </w:pPr>
      <w:rPr>
        <w:rFonts w:ascii="Courier New" w:hAnsi="Courier New" w:hint="default"/>
      </w:rPr>
    </w:lvl>
    <w:lvl w:ilvl="5" w:tplc="2CDEA1A2">
      <w:start w:val="1"/>
      <w:numFmt w:val="bullet"/>
      <w:lvlText w:val=""/>
      <w:lvlJc w:val="left"/>
      <w:pPr>
        <w:ind w:left="4320" w:hanging="360"/>
      </w:pPr>
      <w:rPr>
        <w:rFonts w:ascii="Wingdings" w:hAnsi="Wingdings" w:hint="default"/>
      </w:rPr>
    </w:lvl>
    <w:lvl w:ilvl="6" w:tplc="76643C90">
      <w:start w:val="1"/>
      <w:numFmt w:val="bullet"/>
      <w:lvlText w:val=""/>
      <w:lvlJc w:val="left"/>
      <w:pPr>
        <w:ind w:left="5040" w:hanging="360"/>
      </w:pPr>
      <w:rPr>
        <w:rFonts w:ascii="Symbol" w:hAnsi="Symbol" w:hint="default"/>
      </w:rPr>
    </w:lvl>
    <w:lvl w:ilvl="7" w:tplc="B09E3D0C">
      <w:start w:val="1"/>
      <w:numFmt w:val="bullet"/>
      <w:lvlText w:val="o"/>
      <w:lvlJc w:val="left"/>
      <w:pPr>
        <w:ind w:left="5760" w:hanging="360"/>
      </w:pPr>
      <w:rPr>
        <w:rFonts w:ascii="Courier New" w:hAnsi="Courier New" w:hint="default"/>
      </w:rPr>
    </w:lvl>
    <w:lvl w:ilvl="8" w:tplc="483EF6C4">
      <w:start w:val="1"/>
      <w:numFmt w:val="bullet"/>
      <w:lvlText w:val=""/>
      <w:lvlJc w:val="left"/>
      <w:pPr>
        <w:ind w:left="6480" w:hanging="360"/>
      </w:pPr>
      <w:rPr>
        <w:rFonts w:ascii="Wingdings" w:hAnsi="Wingdings" w:hint="default"/>
      </w:rPr>
    </w:lvl>
  </w:abstractNum>
  <w:abstractNum w:abstractNumId="17" w15:restartNumberingAfterBreak="0">
    <w:nsid w:val="30142137"/>
    <w:multiLevelType w:val="hybridMultilevel"/>
    <w:tmpl w:val="CF9085F0"/>
    <w:lvl w:ilvl="0" w:tplc="04240001">
      <w:start w:val="1"/>
      <w:numFmt w:val="bullet"/>
      <w:lvlText w:val=""/>
      <w:lvlJc w:val="left"/>
      <w:pPr>
        <w:ind w:left="890" w:hanging="360"/>
      </w:pPr>
      <w:rPr>
        <w:rFonts w:ascii="Symbol" w:hAnsi="Symbol" w:hint="default"/>
      </w:rPr>
    </w:lvl>
    <w:lvl w:ilvl="1" w:tplc="04240003" w:tentative="1">
      <w:start w:val="1"/>
      <w:numFmt w:val="bullet"/>
      <w:lvlText w:val="o"/>
      <w:lvlJc w:val="left"/>
      <w:pPr>
        <w:ind w:left="1610" w:hanging="360"/>
      </w:pPr>
      <w:rPr>
        <w:rFonts w:ascii="Courier New" w:hAnsi="Courier New" w:cs="Courier New" w:hint="default"/>
      </w:rPr>
    </w:lvl>
    <w:lvl w:ilvl="2" w:tplc="04240005" w:tentative="1">
      <w:start w:val="1"/>
      <w:numFmt w:val="bullet"/>
      <w:lvlText w:val=""/>
      <w:lvlJc w:val="left"/>
      <w:pPr>
        <w:ind w:left="2330" w:hanging="360"/>
      </w:pPr>
      <w:rPr>
        <w:rFonts w:ascii="Wingdings" w:hAnsi="Wingdings" w:hint="default"/>
      </w:rPr>
    </w:lvl>
    <w:lvl w:ilvl="3" w:tplc="04240001" w:tentative="1">
      <w:start w:val="1"/>
      <w:numFmt w:val="bullet"/>
      <w:lvlText w:val=""/>
      <w:lvlJc w:val="left"/>
      <w:pPr>
        <w:ind w:left="3050" w:hanging="360"/>
      </w:pPr>
      <w:rPr>
        <w:rFonts w:ascii="Symbol" w:hAnsi="Symbol" w:hint="default"/>
      </w:rPr>
    </w:lvl>
    <w:lvl w:ilvl="4" w:tplc="04240003" w:tentative="1">
      <w:start w:val="1"/>
      <w:numFmt w:val="bullet"/>
      <w:lvlText w:val="o"/>
      <w:lvlJc w:val="left"/>
      <w:pPr>
        <w:ind w:left="3770" w:hanging="360"/>
      </w:pPr>
      <w:rPr>
        <w:rFonts w:ascii="Courier New" w:hAnsi="Courier New" w:cs="Courier New" w:hint="default"/>
      </w:rPr>
    </w:lvl>
    <w:lvl w:ilvl="5" w:tplc="04240005" w:tentative="1">
      <w:start w:val="1"/>
      <w:numFmt w:val="bullet"/>
      <w:lvlText w:val=""/>
      <w:lvlJc w:val="left"/>
      <w:pPr>
        <w:ind w:left="4490" w:hanging="360"/>
      </w:pPr>
      <w:rPr>
        <w:rFonts w:ascii="Wingdings" w:hAnsi="Wingdings" w:hint="default"/>
      </w:rPr>
    </w:lvl>
    <w:lvl w:ilvl="6" w:tplc="04240001" w:tentative="1">
      <w:start w:val="1"/>
      <w:numFmt w:val="bullet"/>
      <w:lvlText w:val=""/>
      <w:lvlJc w:val="left"/>
      <w:pPr>
        <w:ind w:left="5210" w:hanging="360"/>
      </w:pPr>
      <w:rPr>
        <w:rFonts w:ascii="Symbol" w:hAnsi="Symbol" w:hint="default"/>
      </w:rPr>
    </w:lvl>
    <w:lvl w:ilvl="7" w:tplc="04240003" w:tentative="1">
      <w:start w:val="1"/>
      <w:numFmt w:val="bullet"/>
      <w:lvlText w:val="o"/>
      <w:lvlJc w:val="left"/>
      <w:pPr>
        <w:ind w:left="5930" w:hanging="360"/>
      </w:pPr>
      <w:rPr>
        <w:rFonts w:ascii="Courier New" w:hAnsi="Courier New" w:cs="Courier New" w:hint="default"/>
      </w:rPr>
    </w:lvl>
    <w:lvl w:ilvl="8" w:tplc="04240005" w:tentative="1">
      <w:start w:val="1"/>
      <w:numFmt w:val="bullet"/>
      <w:lvlText w:val=""/>
      <w:lvlJc w:val="left"/>
      <w:pPr>
        <w:ind w:left="6650" w:hanging="360"/>
      </w:pPr>
      <w:rPr>
        <w:rFonts w:ascii="Wingdings" w:hAnsi="Wingdings" w:hint="default"/>
      </w:rPr>
    </w:lvl>
  </w:abstractNum>
  <w:abstractNum w:abstractNumId="18" w15:restartNumberingAfterBreak="0">
    <w:nsid w:val="31EE4CC8"/>
    <w:multiLevelType w:val="hybridMultilevel"/>
    <w:tmpl w:val="368851C4"/>
    <w:lvl w:ilvl="0" w:tplc="5D74B87C">
      <w:start w:val="1"/>
      <w:numFmt w:val="bullet"/>
      <w:lvlText w:val=""/>
      <w:lvlJc w:val="left"/>
      <w:pPr>
        <w:ind w:left="720" w:hanging="360"/>
      </w:pPr>
      <w:rPr>
        <w:rFonts w:ascii="Symbol" w:hAnsi="Symbol" w:hint="default"/>
      </w:rPr>
    </w:lvl>
    <w:lvl w:ilvl="1" w:tplc="1CF68708">
      <w:start w:val="1"/>
      <w:numFmt w:val="bullet"/>
      <w:lvlText w:val="o"/>
      <w:lvlJc w:val="left"/>
      <w:pPr>
        <w:ind w:left="1440" w:hanging="360"/>
      </w:pPr>
      <w:rPr>
        <w:rFonts w:ascii="Courier New" w:hAnsi="Courier New" w:hint="default"/>
      </w:rPr>
    </w:lvl>
    <w:lvl w:ilvl="2" w:tplc="CCEAD5D8">
      <w:start w:val="1"/>
      <w:numFmt w:val="bullet"/>
      <w:lvlText w:val=""/>
      <w:lvlJc w:val="left"/>
      <w:pPr>
        <w:ind w:left="2160" w:hanging="360"/>
      </w:pPr>
      <w:rPr>
        <w:rFonts w:ascii="Wingdings" w:hAnsi="Wingdings" w:hint="default"/>
      </w:rPr>
    </w:lvl>
    <w:lvl w:ilvl="3" w:tplc="81F64F66">
      <w:start w:val="1"/>
      <w:numFmt w:val="bullet"/>
      <w:lvlText w:val=""/>
      <w:lvlJc w:val="left"/>
      <w:pPr>
        <w:ind w:left="2880" w:hanging="360"/>
      </w:pPr>
      <w:rPr>
        <w:rFonts w:ascii="Symbol" w:hAnsi="Symbol" w:hint="default"/>
      </w:rPr>
    </w:lvl>
    <w:lvl w:ilvl="4" w:tplc="691E3E4A">
      <w:start w:val="1"/>
      <w:numFmt w:val="bullet"/>
      <w:lvlText w:val="o"/>
      <w:lvlJc w:val="left"/>
      <w:pPr>
        <w:ind w:left="3600" w:hanging="360"/>
      </w:pPr>
      <w:rPr>
        <w:rFonts w:ascii="Courier New" w:hAnsi="Courier New" w:hint="default"/>
      </w:rPr>
    </w:lvl>
    <w:lvl w:ilvl="5" w:tplc="27BCA896">
      <w:start w:val="1"/>
      <w:numFmt w:val="bullet"/>
      <w:lvlText w:val=""/>
      <w:lvlJc w:val="left"/>
      <w:pPr>
        <w:ind w:left="4320" w:hanging="360"/>
      </w:pPr>
      <w:rPr>
        <w:rFonts w:ascii="Wingdings" w:hAnsi="Wingdings" w:hint="default"/>
      </w:rPr>
    </w:lvl>
    <w:lvl w:ilvl="6" w:tplc="1AB6367A">
      <w:start w:val="1"/>
      <w:numFmt w:val="bullet"/>
      <w:lvlText w:val=""/>
      <w:lvlJc w:val="left"/>
      <w:pPr>
        <w:ind w:left="5040" w:hanging="360"/>
      </w:pPr>
      <w:rPr>
        <w:rFonts w:ascii="Symbol" w:hAnsi="Symbol" w:hint="default"/>
      </w:rPr>
    </w:lvl>
    <w:lvl w:ilvl="7" w:tplc="5CA490C6">
      <w:start w:val="1"/>
      <w:numFmt w:val="bullet"/>
      <w:lvlText w:val="o"/>
      <w:lvlJc w:val="left"/>
      <w:pPr>
        <w:ind w:left="5760" w:hanging="360"/>
      </w:pPr>
      <w:rPr>
        <w:rFonts w:ascii="Courier New" w:hAnsi="Courier New" w:hint="default"/>
      </w:rPr>
    </w:lvl>
    <w:lvl w:ilvl="8" w:tplc="92787BFC">
      <w:start w:val="1"/>
      <w:numFmt w:val="bullet"/>
      <w:lvlText w:val=""/>
      <w:lvlJc w:val="left"/>
      <w:pPr>
        <w:ind w:left="6480" w:hanging="360"/>
      </w:pPr>
      <w:rPr>
        <w:rFonts w:ascii="Wingdings" w:hAnsi="Wingdings" w:hint="default"/>
      </w:rPr>
    </w:lvl>
  </w:abstractNum>
  <w:abstractNum w:abstractNumId="19" w15:restartNumberingAfterBreak="0">
    <w:nsid w:val="32F2284C"/>
    <w:multiLevelType w:val="multilevel"/>
    <w:tmpl w:val="0AC8E622"/>
    <w:styleLink w:val="Trenutniseznam1"/>
    <w:lvl w:ilvl="0">
      <w:start w:val="1"/>
      <w:numFmt w:val="decimal"/>
      <w:lvlText w:val="%1"/>
      <w:lvlJc w:val="left"/>
      <w:pPr>
        <w:ind w:left="3621" w:hanging="360"/>
      </w:pPr>
      <w:rPr>
        <w:rFonts w:hint="default"/>
      </w:r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369E11BF"/>
    <w:multiLevelType w:val="hybridMultilevel"/>
    <w:tmpl w:val="9BE406B6"/>
    <w:lvl w:ilvl="0" w:tplc="F462F9F8">
      <w:start w:val="1"/>
      <w:numFmt w:val="bullet"/>
      <w:lvlText w:val=""/>
      <w:lvlJc w:val="left"/>
      <w:pPr>
        <w:ind w:left="720" w:hanging="360"/>
      </w:pPr>
      <w:rPr>
        <w:rFonts w:ascii="Symbol" w:hAnsi="Symbol" w:hint="default"/>
      </w:rPr>
    </w:lvl>
    <w:lvl w:ilvl="1" w:tplc="32508A80">
      <w:start w:val="1"/>
      <w:numFmt w:val="bullet"/>
      <w:lvlText w:val="o"/>
      <w:lvlJc w:val="left"/>
      <w:pPr>
        <w:ind w:left="1440" w:hanging="360"/>
      </w:pPr>
      <w:rPr>
        <w:rFonts w:ascii="Courier New" w:hAnsi="Courier New" w:hint="default"/>
      </w:rPr>
    </w:lvl>
    <w:lvl w:ilvl="2" w:tplc="CFDEFB86">
      <w:start w:val="1"/>
      <w:numFmt w:val="bullet"/>
      <w:lvlText w:val=""/>
      <w:lvlJc w:val="left"/>
      <w:pPr>
        <w:ind w:left="2160" w:hanging="360"/>
      </w:pPr>
      <w:rPr>
        <w:rFonts w:ascii="Wingdings" w:hAnsi="Wingdings" w:hint="default"/>
      </w:rPr>
    </w:lvl>
    <w:lvl w:ilvl="3" w:tplc="CE7CFB34">
      <w:start w:val="1"/>
      <w:numFmt w:val="bullet"/>
      <w:lvlText w:val=""/>
      <w:lvlJc w:val="left"/>
      <w:pPr>
        <w:ind w:left="2880" w:hanging="360"/>
      </w:pPr>
      <w:rPr>
        <w:rFonts w:ascii="Symbol" w:hAnsi="Symbol" w:hint="default"/>
      </w:rPr>
    </w:lvl>
    <w:lvl w:ilvl="4" w:tplc="B3FEC7C2">
      <w:start w:val="1"/>
      <w:numFmt w:val="bullet"/>
      <w:lvlText w:val="o"/>
      <w:lvlJc w:val="left"/>
      <w:pPr>
        <w:ind w:left="3600" w:hanging="360"/>
      </w:pPr>
      <w:rPr>
        <w:rFonts w:ascii="Courier New" w:hAnsi="Courier New" w:hint="default"/>
      </w:rPr>
    </w:lvl>
    <w:lvl w:ilvl="5" w:tplc="0BE807EA">
      <w:start w:val="1"/>
      <w:numFmt w:val="bullet"/>
      <w:lvlText w:val=""/>
      <w:lvlJc w:val="left"/>
      <w:pPr>
        <w:ind w:left="4320" w:hanging="360"/>
      </w:pPr>
      <w:rPr>
        <w:rFonts w:ascii="Wingdings" w:hAnsi="Wingdings" w:hint="default"/>
      </w:rPr>
    </w:lvl>
    <w:lvl w:ilvl="6" w:tplc="DC28A99A">
      <w:start w:val="1"/>
      <w:numFmt w:val="bullet"/>
      <w:lvlText w:val=""/>
      <w:lvlJc w:val="left"/>
      <w:pPr>
        <w:ind w:left="5040" w:hanging="360"/>
      </w:pPr>
      <w:rPr>
        <w:rFonts w:ascii="Symbol" w:hAnsi="Symbol" w:hint="default"/>
      </w:rPr>
    </w:lvl>
    <w:lvl w:ilvl="7" w:tplc="10FC03F6">
      <w:start w:val="1"/>
      <w:numFmt w:val="bullet"/>
      <w:lvlText w:val="o"/>
      <w:lvlJc w:val="left"/>
      <w:pPr>
        <w:ind w:left="5760" w:hanging="360"/>
      </w:pPr>
      <w:rPr>
        <w:rFonts w:ascii="Courier New" w:hAnsi="Courier New" w:hint="default"/>
      </w:rPr>
    </w:lvl>
    <w:lvl w:ilvl="8" w:tplc="3BA23A68">
      <w:start w:val="1"/>
      <w:numFmt w:val="bullet"/>
      <w:lvlText w:val=""/>
      <w:lvlJc w:val="left"/>
      <w:pPr>
        <w:ind w:left="6480" w:hanging="360"/>
      </w:pPr>
      <w:rPr>
        <w:rFonts w:ascii="Wingdings" w:hAnsi="Wingdings" w:hint="default"/>
      </w:rPr>
    </w:lvl>
  </w:abstractNum>
  <w:abstractNum w:abstractNumId="21" w15:restartNumberingAfterBreak="0">
    <w:nsid w:val="3B220DB8"/>
    <w:multiLevelType w:val="hybridMultilevel"/>
    <w:tmpl w:val="90D47C5C"/>
    <w:lvl w:ilvl="0" w:tplc="3EB069C8">
      <w:start w:val="1"/>
      <w:numFmt w:val="decimal"/>
      <w:lvlText w:val="%1."/>
      <w:lvlJc w:val="left"/>
      <w:pPr>
        <w:ind w:left="720" w:hanging="360"/>
      </w:pPr>
    </w:lvl>
    <w:lvl w:ilvl="1" w:tplc="75F231D2">
      <w:start w:val="1"/>
      <w:numFmt w:val="lowerLetter"/>
      <w:lvlText w:val="%2."/>
      <w:lvlJc w:val="left"/>
      <w:pPr>
        <w:ind w:left="1440" w:hanging="360"/>
      </w:pPr>
    </w:lvl>
    <w:lvl w:ilvl="2" w:tplc="925C6892">
      <w:start w:val="1"/>
      <w:numFmt w:val="lowerRoman"/>
      <w:lvlText w:val="%3."/>
      <w:lvlJc w:val="right"/>
      <w:pPr>
        <w:ind w:left="2160" w:hanging="180"/>
      </w:pPr>
    </w:lvl>
    <w:lvl w:ilvl="3" w:tplc="12CED7D2">
      <w:start w:val="1"/>
      <w:numFmt w:val="decimal"/>
      <w:lvlText w:val="%4."/>
      <w:lvlJc w:val="left"/>
      <w:pPr>
        <w:ind w:left="2880" w:hanging="360"/>
      </w:pPr>
    </w:lvl>
    <w:lvl w:ilvl="4" w:tplc="4BE4FC62">
      <w:start w:val="1"/>
      <w:numFmt w:val="lowerLetter"/>
      <w:lvlText w:val="%5."/>
      <w:lvlJc w:val="left"/>
      <w:pPr>
        <w:ind w:left="3600" w:hanging="360"/>
      </w:pPr>
    </w:lvl>
    <w:lvl w:ilvl="5" w:tplc="EEF6F24C">
      <w:start w:val="1"/>
      <w:numFmt w:val="lowerRoman"/>
      <w:lvlText w:val="%6."/>
      <w:lvlJc w:val="right"/>
      <w:pPr>
        <w:ind w:left="4320" w:hanging="180"/>
      </w:pPr>
    </w:lvl>
    <w:lvl w:ilvl="6" w:tplc="D0387626">
      <w:start w:val="1"/>
      <w:numFmt w:val="decimal"/>
      <w:lvlText w:val="%7."/>
      <w:lvlJc w:val="left"/>
      <w:pPr>
        <w:ind w:left="5040" w:hanging="360"/>
      </w:pPr>
    </w:lvl>
    <w:lvl w:ilvl="7" w:tplc="24E02E78">
      <w:start w:val="1"/>
      <w:numFmt w:val="lowerLetter"/>
      <w:lvlText w:val="%8."/>
      <w:lvlJc w:val="left"/>
      <w:pPr>
        <w:ind w:left="5760" w:hanging="360"/>
      </w:pPr>
    </w:lvl>
    <w:lvl w:ilvl="8" w:tplc="1B3C25D2">
      <w:start w:val="1"/>
      <w:numFmt w:val="lowerRoman"/>
      <w:lvlText w:val="%9."/>
      <w:lvlJc w:val="right"/>
      <w:pPr>
        <w:ind w:left="6480" w:hanging="180"/>
      </w:pPr>
    </w:lvl>
  </w:abstractNum>
  <w:abstractNum w:abstractNumId="22" w15:restartNumberingAfterBreak="0">
    <w:nsid w:val="4363C1AE"/>
    <w:multiLevelType w:val="hybridMultilevel"/>
    <w:tmpl w:val="76E6E15C"/>
    <w:lvl w:ilvl="0" w:tplc="16BA3382">
      <w:start w:val="1"/>
      <w:numFmt w:val="decimal"/>
      <w:lvlText w:val="%1."/>
      <w:lvlJc w:val="left"/>
      <w:pPr>
        <w:ind w:left="720" w:hanging="360"/>
      </w:pPr>
    </w:lvl>
    <w:lvl w:ilvl="1" w:tplc="92E002F6">
      <w:start w:val="1"/>
      <w:numFmt w:val="lowerLetter"/>
      <w:lvlText w:val="%2."/>
      <w:lvlJc w:val="left"/>
      <w:pPr>
        <w:ind w:left="1440" w:hanging="360"/>
      </w:pPr>
    </w:lvl>
    <w:lvl w:ilvl="2" w:tplc="E7765BE0">
      <w:start w:val="1"/>
      <w:numFmt w:val="lowerRoman"/>
      <w:lvlText w:val="%3."/>
      <w:lvlJc w:val="right"/>
      <w:pPr>
        <w:ind w:left="2160" w:hanging="180"/>
      </w:pPr>
    </w:lvl>
    <w:lvl w:ilvl="3" w:tplc="1FAC83AA">
      <w:start w:val="1"/>
      <w:numFmt w:val="decimal"/>
      <w:lvlText w:val="%4."/>
      <w:lvlJc w:val="left"/>
      <w:pPr>
        <w:ind w:left="2880" w:hanging="360"/>
      </w:pPr>
    </w:lvl>
    <w:lvl w:ilvl="4" w:tplc="B87C1E8C">
      <w:start w:val="1"/>
      <w:numFmt w:val="lowerLetter"/>
      <w:lvlText w:val="%5."/>
      <w:lvlJc w:val="left"/>
      <w:pPr>
        <w:ind w:left="3600" w:hanging="360"/>
      </w:pPr>
    </w:lvl>
    <w:lvl w:ilvl="5" w:tplc="60B09B1C">
      <w:start w:val="1"/>
      <w:numFmt w:val="lowerRoman"/>
      <w:lvlText w:val="%6."/>
      <w:lvlJc w:val="right"/>
      <w:pPr>
        <w:ind w:left="4320" w:hanging="180"/>
      </w:pPr>
    </w:lvl>
    <w:lvl w:ilvl="6" w:tplc="1BDAF39C">
      <w:start w:val="1"/>
      <w:numFmt w:val="decimal"/>
      <w:lvlText w:val="%7."/>
      <w:lvlJc w:val="left"/>
      <w:pPr>
        <w:ind w:left="5040" w:hanging="360"/>
      </w:pPr>
    </w:lvl>
    <w:lvl w:ilvl="7" w:tplc="34D65A26">
      <w:start w:val="1"/>
      <w:numFmt w:val="lowerLetter"/>
      <w:lvlText w:val="%8."/>
      <w:lvlJc w:val="left"/>
      <w:pPr>
        <w:ind w:left="5760" w:hanging="360"/>
      </w:pPr>
    </w:lvl>
    <w:lvl w:ilvl="8" w:tplc="FFE8F14E">
      <w:start w:val="1"/>
      <w:numFmt w:val="lowerRoman"/>
      <w:lvlText w:val="%9."/>
      <w:lvlJc w:val="right"/>
      <w:pPr>
        <w:ind w:left="6480" w:hanging="180"/>
      </w:pPr>
    </w:lvl>
  </w:abstractNum>
  <w:abstractNum w:abstractNumId="23" w15:restartNumberingAfterBreak="0">
    <w:nsid w:val="4396A8BA"/>
    <w:multiLevelType w:val="hybridMultilevel"/>
    <w:tmpl w:val="F6BC0F38"/>
    <w:lvl w:ilvl="0" w:tplc="5D3ACD16">
      <w:start w:val="1"/>
      <w:numFmt w:val="bullet"/>
      <w:lvlText w:val=""/>
      <w:lvlJc w:val="left"/>
      <w:pPr>
        <w:ind w:left="720" w:hanging="360"/>
      </w:pPr>
      <w:rPr>
        <w:rFonts w:ascii="Symbol" w:hAnsi="Symbol" w:hint="default"/>
      </w:rPr>
    </w:lvl>
    <w:lvl w:ilvl="1" w:tplc="4F583A5C">
      <w:start w:val="1"/>
      <w:numFmt w:val="bullet"/>
      <w:lvlText w:val="o"/>
      <w:lvlJc w:val="left"/>
      <w:pPr>
        <w:ind w:left="1440" w:hanging="360"/>
      </w:pPr>
      <w:rPr>
        <w:rFonts w:ascii="Courier New" w:hAnsi="Courier New" w:hint="default"/>
      </w:rPr>
    </w:lvl>
    <w:lvl w:ilvl="2" w:tplc="3662B8D4">
      <w:start w:val="1"/>
      <w:numFmt w:val="bullet"/>
      <w:lvlText w:val=""/>
      <w:lvlJc w:val="left"/>
      <w:pPr>
        <w:ind w:left="2160" w:hanging="360"/>
      </w:pPr>
      <w:rPr>
        <w:rFonts w:ascii="Wingdings" w:hAnsi="Wingdings" w:hint="default"/>
      </w:rPr>
    </w:lvl>
    <w:lvl w:ilvl="3" w:tplc="535EC674">
      <w:start w:val="1"/>
      <w:numFmt w:val="bullet"/>
      <w:lvlText w:val=""/>
      <w:lvlJc w:val="left"/>
      <w:pPr>
        <w:ind w:left="2880" w:hanging="360"/>
      </w:pPr>
      <w:rPr>
        <w:rFonts w:ascii="Symbol" w:hAnsi="Symbol" w:hint="default"/>
      </w:rPr>
    </w:lvl>
    <w:lvl w:ilvl="4" w:tplc="D6F07718">
      <w:start w:val="1"/>
      <w:numFmt w:val="bullet"/>
      <w:lvlText w:val="o"/>
      <w:lvlJc w:val="left"/>
      <w:pPr>
        <w:ind w:left="3600" w:hanging="360"/>
      </w:pPr>
      <w:rPr>
        <w:rFonts w:ascii="Courier New" w:hAnsi="Courier New" w:hint="default"/>
      </w:rPr>
    </w:lvl>
    <w:lvl w:ilvl="5" w:tplc="3CA01BA2">
      <w:start w:val="1"/>
      <w:numFmt w:val="bullet"/>
      <w:lvlText w:val=""/>
      <w:lvlJc w:val="left"/>
      <w:pPr>
        <w:ind w:left="4320" w:hanging="360"/>
      </w:pPr>
      <w:rPr>
        <w:rFonts w:ascii="Wingdings" w:hAnsi="Wingdings" w:hint="default"/>
      </w:rPr>
    </w:lvl>
    <w:lvl w:ilvl="6" w:tplc="5FCED48A">
      <w:start w:val="1"/>
      <w:numFmt w:val="bullet"/>
      <w:lvlText w:val=""/>
      <w:lvlJc w:val="left"/>
      <w:pPr>
        <w:ind w:left="5040" w:hanging="360"/>
      </w:pPr>
      <w:rPr>
        <w:rFonts w:ascii="Symbol" w:hAnsi="Symbol" w:hint="default"/>
      </w:rPr>
    </w:lvl>
    <w:lvl w:ilvl="7" w:tplc="6E228BCC">
      <w:start w:val="1"/>
      <w:numFmt w:val="bullet"/>
      <w:lvlText w:val="o"/>
      <w:lvlJc w:val="left"/>
      <w:pPr>
        <w:ind w:left="5760" w:hanging="360"/>
      </w:pPr>
      <w:rPr>
        <w:rFonts w:ascii="Courier New" w:hAnsi="Courier New" w:hint="default"/>
      </w:rPr>
    </w:lvl>
    <w:lvl w:ilvl="8" w:tplc="A148EA5E">
      <w:start w:val="1"/>
      <w:numFmt w:val="bullet"/>
      <w:lvlText w:val=""/>
      <w:lvlJc w:val="left"/>
      <w:pPr>
        <w:ind w:left="6480" w:hanging="360"/>
      </w:pPr>
      <w:rPr>
        <w:rFonts w:ascii="Wingdings" w:hAnsi="Wingdings" w:hint="default"/>
      </w:rPr>
    </w:lvl>
  </w:abstractNum>
  <w:abstractNum w:abstractNumId="24" w15:restartNumberingAfterBreak="0">
    <w:nsid w:val="4859D6D7"/>
    <w:multiLevelType w:val="hybridMultilevel"/>
    <w:tmpl w:val="39921CC0"/>
    <w:lvl w:ilvl="0" w:tplc="45E60130">
      <w:start w:val="1"/>
      <w:numFmt w:val="decimal"/>
      <w:lvlText w:val="%1."/>
      <w:lvlJc w:val="left"/>
      <w:pPr>
        <w:ind w:left="720" w:hanging="360"/>
      </w:pPr>
    </w:lvl>
    <w:lvl w:ilvl="1" w:tplc="DC9002D8">
      <w:start w:val="1"/>
      <w:numFmt w:val="lowerLetter"/>
      <w:lvlText w:val="%2."/>
      <w:lvlJc w:val="left"/>
      <w:pPr>
        <w:ind w:left="1440" w:hanging="360"/>
      </w:pPr>
    </w:lvl>
    <w:lvl w:ilvl="2" w:tplc="7B4A2194">
      <w:start w:val="1"/>
      <w:numFmt w:val="lowerRoman"/>
      <w:lvlText w:val="%3."/>
      <w:lvlJc w:val="right"/>
      <w:pPr>
        <w:ind w:left="2160" w:hanging="180"/>
      </w:pPr>
    </w:lvl>
    <w:lvl w:ilvl="3" w:tplc="9442354E">
      <w:start w:val="1"/>
      <w:numFmt w:val="decimal"/>
      <w:lvlText w:val="%4."/>
      <w:lvlJc w:val="left"/>
      <w:pPr>
        <w:ind w:left="2880" w:hanging="360"/>
      </w:pPr>
    </w:lvl>
    <w:lvl w:ilvl="4" w:tplc="81D67894">
      <w:start w:val="1"/>
      <w:numFmt w:val="lowerLetter"/>
      <w:lvlText w:val="%5."/>
      <w:lvlJc w:val="left"/>
      <w:pPr>
        <w:ind w:left="3600" w:hanging="360"/>
      </w:pPr>
    </w:lvl>
    <w:lvl w:ilvl="5" w:tplc="51349274">
      <w:start w:val="1"/>
      <w:numFmt w:val="lowerRoman"/>
      <w:lvlText w:val="%6."/>
      <w:lvlJc w:val="right"/>
      <w:pPr>
        <w:ind w:left="4320" w:hanging="180"/>
      </w:pPr>
    </w:lvl>
    <w:lvl w:ilvl="6" w:tplc="0B66B9C6">
      <w:start w:val="1"/>
      <w:numFmt w:val="decimal"/>
      <w:lvlText w:val="%7."/>
      <w:lvlJc w:val="left"/>
      <w:pPr>
        <w:ind w:left="5040" w:hanging="360"/>
      </w:pPr>
    </w:lvl>
    <w:lvl w:ilvl="7" w:tplc="508C7A66">
      <w:start w:val="1"/>
      <w:numFmt w:val="lowerLetter"/>
      <w:lvlText w:val="%8."/>
      <w:lvlJc w:val="left"/>
      <w:pPr>
        <w:ind w:left="5760" w:hanging="360"/>
      </w:pPr>
    </w:lvl>
    <w:lvl w:ilvl="8" w:tplc="046CE810">
      <w:start w:val="1"/>
      <w:numFmt w:val="lowerRoman"/>
      <w:lvlText w:val="%9."/>
      <w:lvlJc w:val="right"/>
      <w:pPr>
        <w:ind w:left="6480" w:hanging="180"/>
      </w:pPr>
    </w:lvl>
  </w:abstractNum>
  <w:abstractNum w:abstractNumId="25" w15:restartNumberingAfterBreak="0">
    <w:nsid w:val="4D09D98B"/>
    <w:multiLevelType w:val="hybridMultilevel"/>
    <w:tmpl w:val="D996E18A"/>
    <w:lvl w:ilvl="0" w:tplc="220C8AA0">
      <w:start w:val="1"/>
      <w:numFmt w:val="bullet"/>
      <w:lvlText w:val="-"/>
      <w:lvlJc w:val="left"/>
      <w:pPr>
        <w:ind w:left="720" w:hanging="360"/>
      </w:pPr>
      <w:rPr>
        <w:rFonts w:ascii="Aptos" w:hAnsi="Aptos" w:hint="default"/>
      </w:rPr>
    </w:lvl>
    <w:lvl w:ilvl="1" w:tplc="BADAB4BA">
      <w:start w:val="1"/>
      <w:numFmt w:val="bullet"/>
      <w:lvlText w:val="o"/>
      <w:lvlJc w:val="left"/>
      <w:pPr>
        <w:ind w:left="1440" w:hanging="360"/>
      </w:pPr>
      <w:rPr>
        <w:rFonts w:ascii="Courier New" w:hAnsi="Courier New" w:hint="default"/>
      </w:rPr>
    </w:lvl>
    <w:lvl w:ilvl="2" w:tplc="B22E2EBE">
      <w:start w:val="1"/>
      <w:numFmt w:val="bullet"/>
      <w:lvlText w:val=""/>
      <w:lvlJc w:val="left"/>
      <w:pPr>
        <w:ind w:left="2160" w:hanging="360"/>
      </w:pPr>
      <w:rPr>
        <w:rFonts w:ascii="Wingdings" w:hAnsi="Wingdings" w:hint="default"/>
      </w:rPr>
    </w:lvl>
    <w:lvl w:ilvl="3" w:tplc="B05C47BC">
      <w:start w:val="1"/>
      <w:numFmt w:val="bullet"/>
      <w:lvlText w:val=""/>
      <w:lvlJc w:val="left"/>
      <w:pPr>
        <w:ind w:left="2880" w:hanging="360"/>
      </w:pPr>
      <w:rPr>
        <w:rFonts w:ascii="Symbol" w:hAnsi="Symbol" w:hint="default"/>
      </w:rPr>
    </w:lvl>
    <w:lvl w:ilvl="4" w:tplc="73DE6D0E">
      <w:start w:val="1"/>
      <w:numFmt w:val="bullet"/>
      <w:lvlText w:val="o"/>
      <w:lvlJc w:val="left"/>
      <w:pPr>
        <w:ind w:left="3600" w:hanging="360"/>
      </w:pPr>
      <w:rPr>
        <w:rFonts w:ascii="Courier New" w:hAnsi="Courier New" w:hint="default"/>
      </w:rPr>
    </w:lvl>
    <w:lvl w:ilvl="5" w:tplc="114C131E">
      <w:start w:val="1"/>
      <w:numFmt w:val="bullet"/>
      <w:lvlText w:val=""/>
      <w:lvlJc w:val="left"/>
      <w:pPr>
        <w:ind w:left="4320" w:hanging="360"/>
      </w:pPr>
      <w:rPr>
        <w:rFonts w:ascii="Wingdings" w:hAnsi="Wingdings" w:hint="default"/>
      </w:rPr>
    </w:lvl>
    <w:lvl w:ilvl="6" w:tplc="DBCCB2C4">
      <w:start w:val="1"/>
      <w:numFmt w:val="bullet"/>
      <w:lvlText w:val=""/>
      <w:lvlJc w:val="left"/>
      <w:pPr>
        <w:ind w:left="5040" w:hanging="360"/>
      </w:pPr>
      <w:rPr>
        <w:rFonts w:ascii="Symbol" w:hAnsi="Symbol" w:hint="default"/>
      </w:rPr>
    </w:lvl>
    <w:lvl w:ilvl="7" w:tplc="883851C0">
      <w:start w:val="1"/>
      <w:numFmt w:val="bullet"/>
      <w:lvlText w:val="o"/>
      <w:lvlJc w:val="left"/>
      <w:pPr>
        <w:ind w:left="5760" w:hanging="360"/>
      </w:pPr>
      <w:rPr>
        <w:rFonts w:ascii="Courier New" w:hAnsi="Courier New" w:hint="default"/>
      </w:rPr>
    </w:lvl>
    <w:lvl w:ilvl="8" w:tplc="97FE75AC">
      <w:start w:val="1"/>
      <w:numFmt w:val="bullet"/>
      <w:lvlText w:val=""/>
      <w:lvlJc w:val="left"/>
      <w:pPr>
        <w:ind w:left="6480" w:hanging="360"/>
      </w:pPr>
      <w:rPr>
        <w:rFonts w:ascii="Wingdings" w:hAnsi="Wingdings" w:hint="default"/>
      </w:rPr>
    </w:lvl>
  </w:abstractNum>
  <w:abstractNum w:abstractNumId="26" w15:restartNumberingAfterBreak="0">
    <w:nsid w:val="5570EA72"/>
    <w:multiLevelType w:val="hybridMultilevel"/>
    <w:tmpl w:val="B12A4246"/>
    <w:lvl w:ilvl="0" w:tplc="C51095B2">
      <w:start w:val="1"/>
      <w:numFmt w:val="decimal"/>
      <w:lvlText w:val="%1."/>
      <w:lvlJc w:val="left"/>
      <w:pPr>
        <w:ind w:left="720" w:hanging="360"/>
      </w:pPr>
    </w:lvl>
    <w:lvl w:ilvl="1" w:tplc="7B4688E8">
      <w:start w:val="1"/>
      <w:numFmt w:val="lowerLetter"/>
      <w:lvlText w:val="%2."/>
      <w:lvlJc w:val="left"/>
      <w:pPr>
        <w:ind w:left="1440" w:hanging="360"/>
      </w:pPr>
    </w:lvl>
    <w:lvl w:ilvl="2" w:tplc="AB3233FE">
      <w:start w:val="1"/>
      <w:numFmt w:val="lowerRoman"/>
      <w:lvlText w:val="%3."/>
      <w:lvlJc w:val="right"/>
      <w:pPr>
        <w:ind w:left="2160" w:hanging="180"/>
      </w:pPr>
    </w:lvl>
    <w:lvl w:ilvl="3" w:tplc="000E5300">
      <w:start w:val="1"/>
      <w:numFmt w:val="decimal"/>
      <w:lvlText w:val="%4."/>
      <w:lvlJc w:val="left"/>
      <w:pPr>
        <w:ind w:left="2880" w:hanging="360"/>
      </w:pPr>
    </w:lvl>
    <w:lvl w:ilvl="4" w:tplc="BCA46674">
      <w:start w:val="1"/>
      <w:numFmt w:val="lowerLetter"/>
      <w:lvlText w:val="%5."/>
      <w:lvlJc w:val="left"/>
      <w:pPr>
        <w:ind w:left="3600" w:hanging="360"/>
      </w:pPr>
    </w:lvl>
    <w:lvl w:ilvl="5" w:tplc="D848DBB8">
      <w:start w:val="1"/>
      <w:numFmt w:val="lowerRoman"/>
      <w:lvlText w:val="%6."/>
      <w:lvlJc w:val="right"/>
      <w:pPr>
        <w:ind w:left="4320" w:hanging="180"/>
      </w:pPr>
    </w:lvl>
    <w:lvl w:ilvl="6" w:tplc="C17412BA">
      <w:start w:val="1"/>
      <w:numFmt w:val="decimal"/>
      <w:lvlText w:val="%7."/>
      <w:lvlJc w:val="left"/>
      <w:pPr>
        <w:ind w:left="5040" w:hanging="360"/>
      </w:pPr>
    </w:lvl>
    <w:lvl w:ilvl="7" w:tplc="C1AEE01E">
      <w:start w:val="1"/>
      <w:numFmt w:val="lowerLetter"/>
      <w:lvlText w:val="%8."/>
      <w:lvlJc w:val="left"/>
      <w:pPr>
        <w:ind w:left="5760" w:hanging="360"/>
      </w:pPr>
    </w:lvl>
    <w:lvl w:ilvl="8" w:tplc="7422D0CA">
      <w:start w:val="1"/>
      <w:numFmt w:val="lowerRoman"/>
      <w:lvlText w:val="%9."/>
      <w:lvlJc w:val="right"/>
      <w:pPr>
        <w:ind w:left="6480" w:hanging="180"/>
      </w:pPr>
    </w:lvl>
  </w:abstractNum>
  <w:abstractNum w:abstractNumId="27" w15:restartNumberingAfterBreak="0">
    <w:nsid w:val="5661626E"/>
    <w:multiLevelType w:val="hybridMultilevel"/>
    <w:tmpl w:val="7D6C2520"/>
    <w:lvl w:ilvl="0" w:tplc="7F987F8C">
      <w:start w:val="1"/>
      <w:numFmt w:val="bullet"/>
      <w:lvlText w:val="-"/>
      <w:lvlJc w:val="left"/>
      <w:pPr>
        <w:ind w:left="720" w:hanging="360"/>
      </w:pPr>
      <w:rPr>
        <w:rFonts w:ascii="Aptos" w:hAnsi="Aptos" w:hint="default"/>
      </w:rPr>
    </w:lvl>
    <w:lvl w:ilvl="1" w:tplc="BDEEC8A0">
      <w:start w:val="1"/>
      <w:numFmt w:val="bullet"/>
      <w:lvlText w:val="o"/>
      <w:lvlJc w:val="left"/>
      <w:pPr>
        <w:ind w:left="1440" w:hanging="360"/>
      </w:pPr>
      <w:rPr>
        <w:rFonts w:ascii="Courier New" w:hAnsi="Courier New" w:hint="default"/>
      </w:rPr>
    </w:lvl>
    <w:lvl w:ilvl="2" w:tplc="31E22350">
      <w:start w:val="1"/>
      <w:numFmt w:val="bullet"/>
      <w:lvlText w:val=""/>
      <w:lvlJc w:val="left"/>
      <w:pPr>
        <w:ind w:left="2160" w:hanging="360"/>
      </w:pPr>
      <w:rPr>
        <w:rFonts w:ascii="Wingdings" w:hAnsi="Wingdings" w:hint="default"/>
      </w:rPr>
    </w:lvl>
    <w:lvl w:ilvl="3" w:tplc="220C6E5C">
      <w:start w:val="1"/>
      <w:numFmt w:val="bullet"/>
      <w:lvlText w:val=""/>
      <w:lvlJc w:val="left"/>
      <w:pPr>
        <w:ind w:left="2880" w:hanging="360"/>
      </w:pPr>
      <w:rPr>
        <w:rFonts w:ascii="Symbol" w:hAnsi="Symbol" w:hint="default"/>
      </w:rPr>
    </w:lvl>
    <w:lvl w:ilvl="4" w:tplc="455C3B9C">
      <w:start w:val="1"/>
      <w:numFmt w:val="bullet"/>
      <w:lvlText w:val="o"/>
      <w:lvlJc w:val="left"/>
      <w:pPr>
        <w:ind w:left="3600" w:hanging="360"/>
      </w:pPr>
      <w:rPr>
        <w:rFonts w:ascii="Courier New" w:hAnsi="Courier New" w:hint="default"/>
      </w:rPr>
    </w:lvl>
    <w:lvl w:ilvl="5" w:tplc="1E82DF9A">
      <w:start w:val="1"/>
      <w:numFmt w:val="bullet"/>
      <w:lvlText w:val=""/>
      <w:lvlJc w:val="left"/>
      <w:pPr>
        <w:ind w:left="4320" w:hanging="360"/>
      </w:pPr>
      <w:rPr>
        <w:rFonts w:ascii="Wingdings" w:hAnsi="Wingdings" w:hint="default"/>
      </w:rPr>
    </w:lvl>
    <w:lvl w:ilvl="6" w:tplc="DBCA8E5C">
      <w:start w:val="1"/>
      <w:numFmt w:val="bullet"/>
      <w:lvlText w:val=""/>
      <w:lvlJc w:val="left"/>
      <w:pPr>
        <w:ind w:left="5040" w:hanging="360"/>
      </w:pPr>
      <w:rPr>
        <w:rFonts w:ascii="Symbol" w:hAnsi="Symbol" w:hint="default"/>
      </w:rPr>
    </w:lvl>
    <w:lvl w:ilvl="7" w:tplc="EAC6755C">
      <w:start w:val="1"/>
      <w:numFmt w:val="bullet"/>
      <w:lvlText w:val="o"/>
      <w:lvlJc w:val="left"/>
      <w:pPr>
        <w:ind w:left="5760" w:hanging="360"/>
      </w:pPr>
      <w:rPr>
        <w:rFonts w:ascii="Courier New" w:hAnsi="Courier New" w:hint="default"/>
      </w:rPr>
    </w:lvl>
    <w:lvl w:ilvl="8" w:tplc="BC908392">
      <w:start w:val="1"/>
      <w:numFmt w:val="bullet"/>
      <w:lvlText w:val=""/>
      <w:lvlJc w:val="left"/>
      <w:pPr>
        <w:ind w:left="6480" w:hanging="360"/>
      </w:pPr>
      <w:rPr>
        <w:rFonts w:ascii="Wingdings" w:hAnsi="Wingdings" w:hint="default"/>
      </w:rPr>
    </w:lvl>
  </w:abstractNum>
  <w:abstractNum w:abstractNumId="28" w15:restartNumberingAfterBreak="0">
    <w:nsid w:val="57143146"/>
    <w:multiLevelType w:val="hybridMultilevel"/>
    <w:tmpl w:val="F4A4E374"/>
    <w:lvl w:ilvl="0" w:tplc="90C0BAC0">
      <w:start w:val="1"/>
      <w:numFmt w:val="bullet"/>
      <w:lvlText w:val="-"/>
      <w:lvlJc w:val="left"/>
      <w:pPr>
        <w:ind w:left="720" w:hanging="360"/>
      </w:pPr>
      <w:rPr>
        <w:rFonts w:ascii="Aptos" w:hAnsi="Aptos" w:hint="default"/>
      </w:rPr>
    </w:lvl>
    <w:lvl w:ilvl="1" w:tplc="F11EAB94">
      <w:start w:val="1"/>
      <w:numFmt w:val="bullet"/>
      <w:lvlText w:val="o"/>
      <w:lvlJc w:val="left"/>
      <w:pPr>
        <w:ind w:left="1440" w:hanging="360"/>
      </w:pPr>
      <w:rPr>
        <w:rFonts w:ascii="Courier New" w:hAnsi="Courier New" w:hint="default"/>
      </w:rPr>
    </w:lvl>
    <w:lvl w:ilvl="2" w:tplc="C5527220">
      <w:start w:val="1"/>
      <w:numFmt w:val="bullet"/>
      <w:lvlText w:val=""/>
      <w:lvlJc w:val="left"/>
      <w:pPr>
        <w:ind w:left="2160" w:hanging="360"/>
      </w:pPr>
      <w:rPr>
        <w:rFonts w:ascii="Wingdings" w:hAnsi="Wingdings" w:hint="default"/>
      </w:rPr>
    </w:lvl>
    <w:lvl w:ilvl="3" w:tplc="ADA62A42">
      <w:start w:val="1"/>
      <w:numFmt w:val="bullet"/>
      <w:lvlText w:val=""/>
      <w:lvlJc w:val="left"/>
      <w:pPr>
        <w:ind w:left="2880" w:hanging="360"/>
      </w:pPr>
      <w:rPr>
        <w:rFonts w:ascii="Symbol" w:hAnsi="Symbol" w:hint="default"/>
      </w:rPr>
    </w:lvl>
    <w:lvl w:ilvl="4" w:tplc="9C8C45AA">
      <w:start w:val="1"/>
      <w:numFmt w:val="bullet"/>
      <w:lvlText w:val="o"/>
      <w:lvlJc w:val="left"/>
      <w:pPr>
        <w:ind w:left="3600" w:hanging="360"/>
      </w:pPr>
      <w:rPr>
        <w:rFonts w:ascii="Courier New" w:hAnsi="Courier New" w:hint="default"/>
      </w:rPr>
    </w:lvl>
    <w:lvl w:ilvl="5" w:tplc="EE6EA870">
      <w:start w:val="1"/>
      <w:numFmt w:val="bullet"/>
      <w:lvlText w:val=""/>
      <w:lvlJc w:val="left"/>
      <w:pPr>
        <w:ind w:left="4320" w:hanging="360"/>
      </w:pPr>
      <w:rPr>
        <w:rFonts w:ascii="Wingdings" w:hAnsi="Wingdings" w:hint="default"/>
      </w:rPr>
    </w:lvl>
    <w:lvl w:ilvl="6" w:tplc="53100D24">
      <w:start w:val="1"/>
      <w:numFmt w:val="bullet"/>
      <w:lvlText w:val=""/>
      <w:lvlJc w:val="left"/>
      <w:pPr>
        <w:ind w:left="5040" w:hanging="360"/>
      </w:pPr>
      <w:rPr>
        <w:rFonts w:ascii="Symbol" w:hAnsi="Symbol" w:hint="default"/>
      </w:rPr>
    </w:lvl>
    <w:lvl w:ilvl="7" w:tplc="7E6ECCE4">
      <w:start w:val="1"/>
      <w:numFmt w:val="bullet"/>
      <w:lvlText w:val="o"/>
      <w:lvlJc w:val="left"/>
      <w:pPr>
        <w:ind w:left="5760" w:hanging="360"/>
      </w:pPr>
      <w:rPr>
        <w:rFonts w:ascii="Courier New" w:hAnsi="Courier New" w:hint="default"/>
      </w:rPr>
    </w:lvl>
    <w:lvl w:ilvl="8" w:tplc="04DCCDF8">
      <w:start w:val="1"/>
      <w:numFmt w:val="bullet"/>
      <w:lvlText w:val=""/>
      <w:lvlJc w:val="left"/>
      <w:pPr>
        <w:ind w:left="6480" w:hanging="360"/>
      </w:pPr>
      <w:rPr>
        <w:rFonts w:ascii="Wingdings" w:hAnsi="Wingdings" w:hint="default"/>
      </w:rPr>
    </w:lvl>
  </w:abstractNum>
  <w:abstractNum w:abstractNumId="29" w15:restartNumberingAfterBreak="0">
    <w:nsid w:val="5CC154A5"/>
    <w:multiLevelType w:val="hybridMultilevel"/>
    <w:tmpl w:val="5036ADE0"/>
    <w:lvl w:ilvl="0" w:tplc="F55A42FC">
      <w:start w:val="1"/>
      <w:numFmt w:val="bullet"/>
      <w:lvlText w:val="·"/>
      <w:lvlJc w:val="left"/>
      <w:pPr>
        <w:ind w:left="720" w:hanging="360"/>
      </w:pPr>
      <w:rPr>
        <w:rFonts w:ascii="Symbol" w:hAnsi="Symbol" w:hint="default"/>
      </w:rPr>
    </w:lvl>
    <w:lvl w:ilvl="1" w:tplc="4E104B14">
      <w:start w:val="1"/>
      <w:numFmt w:val="bullet"/>
      <w:lvlText w:val="o"/>
      <w:lvlJc w:val="left"/>
      <w:pPr>
        <w:ind w:left="1440" w:hanging="360"/>
      </w:pPr>
      <w:rPr>
        <w:rFonts w:ascii="Courier New" w:hAnsi="Courier New" w:hint="default"/>
      </w:rPr>
    </w:lvl>
    <w:lvl w:ilvl="2" w:tplc="CD9A0B9C">
      <w:start w:val="1"/>
      <w:numFmt w:val="bullet"/>
      <w:lvlText w:val=""/>
      <w:lvlJc w:val="left"/>
      <w:pPr>
        <w:ind w:left="2160" w:hanging="360"/>
      </w:pPr>
      <w:rPr>
        <w:rFonts w:ascii="Wingdings" w:hAnsi="Wingdings" w:hint="default"/>
      </w:rPr>
    </w:lvl>
    <w:lvl w:ilvl="3" w:tplc="DBBC341A">
      <w:start w:val="1"/>
      <w:numFmt w:val="bullet"/>
      <w:lvlText w:val=""/>
      <w:lvlJc w:val="left"/>
      <w:pPr>
        <w:ind w:left="2880" w:hanging="360"/>
      </w:pPr>
      <w:rPr>
        <w:rFonts w:ascii="Symbol" w:hAnsi="Symbol" w:hint="default"/>
      </w:rPr>
    </w:lvl>
    <w:lvl w:ilvl="4" w:tplc="3EC8C94E">
      <w:start w:val="1"/>
      <w:numFmt w:val="bullet"/>
      <w:lvlText w:val="o"/>
      <w:lvlJc w:val="left"/>
      <w:pPr>
        <w:ind w:left="3600" w:hanging="360"/>
      </w:pPr>
      <w:rPr>
        <w:rFonts w:ascii="Courier New" w:hAnsi="Courier New" w:hint="default"/>
      </w:rPr>
    </w:lvl>
    <w:lvl w:ilvl="5" w:tplc="5A40C2A8">
      <w:start w:val="1"/>
      <w:numFmt w:val="bullet"/>
      <w:lvlText w:val=""/>
      <w:lvlJc w:val="left"/>
      <w:pPr>
        <w:ind w:left="4320" w:hanging="360"/>
      </w:pPr>
      <w:rPr>
        <w:rFonts w:ascii="Wingdings" w:hAnsi="Wingdings" w:hint="default"/>
      </w:rPr>
    </w:lvl>
    <w:lvl w:ilvl="6" w:tplc="1CE607F8">
      <w:start w:val="1"/>
      <w:numFmt w:val="bullet"/>
      <w:lvlText w:val=""/>
      <w:lvlJc w:val="left"/>
      <w:pPr>
        <w:ind w:left="5040" w:hanging="360"/>
      </w:pPr>
      <w:rPr>
        <w:rFonts w:ascii="Symbol" w:hAnsi="Symbol" w:hint="default"/>
      </w:rPr>
    </w:lvl>
    <w:lvl w:ilvl="7" w:tplc="37B21C6A">
      <w:start w:val="1"/>
      <w:numFmt w:val="bullet"/>
      <w:lvlText w:val="o"/>
      <w:lvlJc w:val="left"/>
      <w:pPr>
        <w:ind w:left="5760" w:hanging="360"/>
      </w:pPr>
      <w:rPr>
        <w:rFonts w:ascii="Courier New" w:hAnsi="Courier New" w:hint="default"/>
      </w:rPr>
    </w:lvl>
    <w:lvl w:ilvl="8" w:tplc="91E233BE">
      <w:start w:val="1"/>
      <w:numFmt w:val="bullet"/>
      <w:lvlText w:val=""/>
      <w:lvlJc w:val="left"/>
      <w:pPr>
        <w:ind w:left="6480" w:hanging="360"/>
      </w:pPr>
      <w:rPr>
        <w:rFonts w:ascii="Wingdings" w:hAnsi="Wingdings" w:hint="default"/>
      </w:rPr>
    </w:lvl>
  </w:abstractNum>
  <w:abstractNum w:abstractNumId="30" w15:restartNumberingAfterBreak="0">
    <w:nsid w:val="5D88EEFE"/>
    <w:multiLevelType w:val="hybridMultilevel"/>
    <w:tmpl w:val="4FD4FE82"/>
    <w:lvl w:ilvl="0" w:tplc="7908C3E6">
      <w:start w:val="1"/>
      <w:numFmt w:val="decimal"/>
      <w:lvlText w:val="%1."/>
      <w:lvlJc w:val="left"/>
      <w:pPr>
        <w:ind w:left="720" w:hanging="360"/>
      </w:pPr>
    </w:lvl>
    <w:lvl w:ilvl="1" w:tplc="FF26E526">
      <w:start w:val="1"/>
      <w:numFmt w:val="lowerLetter"/>
      <w:lvlText w:val="%2."/>
      <w:lvlJc w:val="left"/>
      <w:pPr>
        <w:ind w:left="1440" w:hanging="360"/>
      </w:pPr>
    </w:lvl>
    <w:lvl w:ilvl="2" w:tplc="6B8A259C">
      <w:start w:val="1"/>
      <w:numFmt w:val="lowerRoman"/>
      <w:lvlText w:val="%3."/>
      <w:lvlJc w:val="right"/>
      <w:pPr>
        <w:ind w:left="2160" w:hanging="180"/>
      </w:pPr>
    </w:lvl>
    <w:lvl w:ilvl="3" w:tplc="31CA69D4">
      <w:start w:val="1"/>
      <w:numFmt w:val="decimal"/>
      <w:lvlText w:val="%4."/>
      <w:lvlJc w:val="left"/>
      <w:pPr>
        <w:ind w:left="2880" w:hanging="360"/>
      </w:pPr>
    </w:lvl>
    <w:lvl w:ilvl="4" w:tplc="4CFEF9CA">
      <w:start w:val="1"/>
      <w:numFmt w:val="lowerLetter"/>
      <w:lvlText w:val="%5."/>
      <w:lvlJc w:val="left"/>
      <w:pPr>
        <w:ind w:left="3600" w:hanging="360"/>
      </w:pPr>
    </w:lvl>
    <w:lvl w:ilvl="5" w:tplc="7DF212C8">
      <w:start w:val="1"/>
      <w:numFmt w:val="lowerRoman"/>
      <w:lvlText w:val="%6."/>
      <w:lvlJc w:val="right"/>
      <w:pPr>
        <w:ind w:left="4320" w:hanging="180"/>
      </w:pPr>
    </w:lvl>
    <w:lvl w:ilvl="6" w:tplc="E43A268A">
      <w:start w:val="1"/>
      <w:numFmt w:val="decimal"/>
      <w:lvlText w:val="%7."/>
      <w:lvlJc w:val="left"/>
      <w:pPr>
        <w:ind w:left="5040" w:hanging="360"/>
      </w:pPr>
    </w:lvl>
    <w:lvl w:ilvl="7" w:tplc="F618783A">
      <w:start w:val="1"/>
      <w:numFmt w:val="lowerLetter"/>
      <w:lvlText w:val="%8."/>
      <w:lvlJc w:val="left"/>
      <w:pPr>
        <w:ind w:left="5760" w:hanging="360"/>
      </w:pPr>
    </w:lvl>
    <w:lvl w:ilvl="8" w:tplc="B2A881F4">
      <w:start w:val="1"/>
      <w:numFmt w:val="lowerRoman"/>
      <w:lvlText w:val="%9."/>
      <w:lvlJc w:val="right"/>
      <w:pPr>
        <w:ind w:left="6480" w:hanging="180"/>
      </w:pPr>
    </w:lvl>
  </w:abstractNum>
  <w:abstractNum w:abstractNumId="31" w15:restartNumberingAfterBreak="0">
    <w:nsid w:val="5F1AEF61"/>
    <w:multiLevelType w:val="hybridMultilevel"/>
    <w:tmpl w:val="639CAD42"/>
    <w:lvl w:ilvl="0" w:tplc="3C56FE8E">
      <w:start w:val="1"/>
      <w:numFmt w:val="bullet"/>
      <w:lvlText w:val=""/>
      <w:lvlJc w:val="left"/>
      <w:pPr>
        <w:ind w:left="720" w:hanging="360"/>
      </w:pPr>
      <w:rPr>
        <w:rFonts w:ascii="Symbol" w:hAnsi="Symbol" w:hint="default"/>
      </w:rPr>
    </w:lvl>
    <w:lvl w:ilvl="1" w:tplc="4150134A">
      <w:start w:val="1"/>
      <w:numFmt w:val="bullet"/>
      <w:lvlText w:val="o"/>
      <w:lvlJc w:val="left"/>
      <w:pPr>
        <w:ind w:left="1440" w:hanging="360"/>
      </w:pPr>
      <w:rPr>
        <w:rFonts w:ascii="Courier New" w:hAnsi="Courier New" w:hint="default"/>
      </w:rPr>
    </w:lvl>
    <w:lvl w:ilvl="2" w:tplc="3B8861E4">
      <w:start w:val="1"/>
      <w:numFmt w:val="bullet"/>
      <w:lvlText w:val=""/>
      <w:lvlJc w:val="left"/>
      <w:pPr>
        <w:ind w:left="2160" w:hanging="360"/>
      </w:pPr>
      <w:rPr>
        <w:rFonts w:ascii="Wingdings" w:hAnsi="Wingdings" w:hint="default"/>
      </w:rPr>
    </w:lvl>
    <w:lvl w:ilvl="3" w:tplc="0714E90A">
      <w:start w:val="1"/>
      <w:numFmt w:val="bullet"/>
      <w:lvlText w:val=""/>
      <w:lvlJc w:val="left"/>
      <w:pPr>
        <w:ind w:left="2880" w:hanging="360"/>
      </w:pPr>
      <w:rPr>
        <w:rFonts w:ascii="Symbol" w:hAnsi="Symbol" w:hint="default"/>
      </w:rPr>
    </w:lvl>
    <w:lvl w:ilvl="4" w:tplc="C6462108">
      <w:start w:val="1"/>
      <w:numFmt w:val="bullet"/>
      <w:lvlText w:val="o"/>
      <w:lvlJc w:val="left"/>
      <w:pPr>
        <w:ind w:left="3600" w:hanging="360"/>
      </w:pPr>
      <w:rPr>
        <w:rFonts w:ascii="Courier New" w:hAnsi="Courier New" w:hint="default"/>
      </w:rPr>
    </w:lvl>
    <w:lvl w:ilvl="5" w:tplc="B62657B8">
      <w:start w:val="1"/>
      <w:numFmt w:val="bullet"/>
      <w:lvlText w:val=""/>
      <w:lvlJc w:val="left"/>
      <w:pPr>
        <w:ind w:left="4320" w:hanging="360"/>
      </w:pPr>
      <w:rPr>
        <w:rFonts w:ascii="Wingdings" w:hAnsi="Wingdings" w:hint="default"/>
      </w:rPr>
    </w:lvl>
    <w:lvl w:ilvl="6" w:tplc="94D8B002">
      <w:start w:val="1"/>
      <w:numFmt w:val="bullet"/>
      <w:lvlText w:val=""/>
      <w:lvlJc w:val="left"/>
      <w:pPr>
        <w:ind w:left="5040" w:hanging="360"/>
      </w:pPr>
      <w:rPr>
        <w:rFonts w:ascii="Symbol" w:hAnsi="Symbol" w:hint="default"/>
      </w:rPr>
    </w:lvl>
    <w:lvl w:ilvl="7" w:tplc="E722B88E">
      <w:start w:val="1"/>
      <w:numFmt w:val="bullet"/>
      <w:lvlText w:val="o"/>
      <w:lvlJc w:val="left"/>
      <w:pPr>
        <w:ind w:left="5760" w:hanging="360"/>
      </w:pPr>
      <w:rPr>
        <w:rFonts w:ascii="Courier New" w:hAnsi="Courier New" w:hint="default"/>
      </w:rPr>
    </w:lvl>
    <w:lvl w:ilvl="8" w:tplc="C7B4F3BC">
      <w:start w:val="1"/>
      <w:numFmt w:val="bullet"/>
      <w:lvlText w:val=""/>
      <w:lvlJc w:val="left"/>
      <w:pPr>
        <w:ind w:left="6480" w:hanging="360"/>
      </w:pPr>
      <w:rPr>
        <w:rFonts w:ascii="Wingdings" w:hAnsi="Wingdings" w:hint="default"/>
      </w:rPr>
    </w:lvl>
  </w:abstractNum>
  <w:abstractNum w:abstractNumId="32" w15:restartNumberingAfterBreak="0">
    <w:nsid w:val="5FF332B6"/>
    <w:multiLevelType w:val="hybridMultilevel"/>
    <w:tmpl w:val="34C25CD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645C5C22"/>
    <w:multiLevelType w:val="hybridMultilevel"/>
    <w:tmpl w:val="E2649908"/>
    <w:lvl w:ilvl="0" w:tplc="36D88518">
      <w:start w:val="2"/>
      <w:numFmt w:val="decimal"/>
      <w:lvlText w:val="%1."/>
      <w:lvlJc w:val="left"/>
      <w:pPr>
        <w:ind w:left="720" w:hanging="360"/>
      </w:pPr>
    </w:lvl>
    <w:lvl w:ilvl="1" w:tplc="77509ABE">
      <w:start w:val="1"/>
      <w:numFmt w:val="lowerLetter"/>
      <w:lvlText w:val="%2."/>
      <w:lvlJc w:val="left"/>
      <w:pPr>
        <w:ind w:left="1440" w:hanging="360"/>
      </w:pPr>
    </w:lvl>
    <w:lvl w:ilvl="2" w:tplc="E91C9A5E">
      <w:start w:val="1"/>
      <w:numFmt w:val="lowerRoman"/>
      <w:lvlText w:val="%3."/>
      <w:lvlJc w:val="right"/>
      <w:pPr>
        <w:ind w:left="2160" w:hanging="180"/>
      </w:pPr>
    </w:lvl>
    <w:lvl w:ilvl="3" w:tplc="6DA857EC">
      <w:start w:val="1"/>
      <w:numFmt w:val="decimal"/>
      <w:lvlText w:val="%4."/>
      <w:lvlJc w:val="left"/>
      <w:pPr>
        <w:ind w:left="2880" w:hanging="360"/>
      </w:pPr>
    </w:lvl>
    <w:lvl w:ilvl="4" w:tplc="8B88847C">
      <w:start w:val="1"/>
      <w:numFmt w:val="lowerLetter"/>
      <w:lvlText w:val="%5."/>
      <w:lvlJc w:val="left"/>
      <w:pPr>
        <w:ind w:left="3600" w:hanging="360"/>
      </w:pPr>
    </w:lvl>
    <w:lvl w:ilvl="5" w:tplc="085E5AF6">
      <w:start w:val="1"/>
      <w:numFmt w:val="lowerRoman"/>
      <w:lvlText w:val="%6."/>
      <w:lvlJc w:val="right"/>
      <w:pPr>
        <w:ind w:left="4320" w:hanging="180"/>
      </w:pPr>
    </w:lvl>
    <w:lvl w:ilvl="6" w:tplc="2298711A">
      <w:start w:val="1"/>
      <w:numFmt w:val="decimal"/>
      <w:lvlText w:val="%7."/>
      <w:lvlJc w:val="left"/>
      <w:pPr>
        <w:ind w:left="5040" w:hanging="360"/>
      </w:pPr>
    </w:lvl>
    <w:lvl w:ilvl="7" w:tplc="95601A44">
      <w:start w:val="1"/>
      <w:numFmt w:val="lowerLetter"/>
      <w:lvlText w:val="%8."/>
      <w:lvlJc w:val="left"/>
      <w:pPr>
        <w:ind w:left="5760" w:hanging="360"/>
      </w:pPr>
    </w:lvl>
    <w:lvl w:ilvl="8" w:tplc="F244D8CC">
      <w:start w:val="1"/>
      <w:numFmt w:val="lowerRoman"/>
      <w:lvlText w:val="%9."/>
      <w:lvlJc w:val="right"/>
      <w:pPr>
        <w:ind w:left="6480" w:hanging="180"/>
      </w:pPr>
    </w:lvl>
  </w:abstractNum>
  <w:abstractNum w:abstractNumId="34" w15:restartNumberingAfterBreak="0">
    <w:nsid w:val="67A49248"/>
    <w:multiLevelType w:val="hybridMultilevel"/>
    <w:tmpl w:val="5B621F06"/>
    <w:lvl w:ilvl="0" w:tplc="83B665D0">
      <w:start w:val="1"/>
      <w:numFmt w:val="bullet"/>
      <w:lvlText w:val=""/>
      <w:lvlJc w:val="left"/>
      <w:pPr>
        <w:ind w:left="720" w:hanging="360"/>
      </w:pPr>
      <w:rPr>
        <w:rFonts w:ascii="Symbol" w:hAnsi="Symbol" w:hint="default"/>
      </w:rPr>
    </w:lvl>
    <w:lvl w:ilvl="1" w:tplc="6442D22C">
      <w:start w:val="1"/>
      <w:numFmt w:val="bullet"/>
      <w:lvlText w:val="o"/>
      <w:lvlJc w:val="left"/>
      <w:pPr>
        <w:ind w:left="1440" w:hanging="360"/>
      </w:pPr>
      <w:rPr>
        <w:rFonts w:ascii="Courier New" w:hAnsi="Courier New" w:hint="default"/>
      </w:rPr>
    </w:lvl>
    <w:lvl w:ilvl="2" w:tplc="86A28504">
      <w:start w:val="1"/>
      <w:numFmt w:val="bullet"/>
      <w:lvlText w:val=""/>
      <w:lvlJc w:val="left"/>
      <w:pPr>
        <w:ind w:left="2160" w:hanging="360"/>
      </w:pPr>
      <w:rPr>
        <w:rFonts w:ascii="Wingdings" w:hAnsi="Wingdings" w:hint="default"/>
      </w:rPr>
    </w:lvl>
    <w:lvl w:ilvl="3" w:tplc="63EA9076">
      <w:start w:val="1"/>
      <w:numFmt w:val="bullet"/>
      <w:lvlText w:val=""/>
      <w:lvlJc w:val="left"/>
      <w:pPr>
        <w:ind w:left="2880" w:hanging="360"/>
      </w:pPr>
      <w:rPr>
        <w:rFonts w:ascii="Symbol" w:hAnsi="Symbol" w:hint="default"/>
      </w:rPr>
    </w:lvl>
    <w:lvl w:ilvl="4" w:tplc="89A28E06">
      <w:start w:val="1"/>
      <w:numFmt w:val="bullet"/>
      <w:lvlText w:val="o"/>
      <w:lvlJc w:val="left"/>
      <w:pPr>
        <w:ind w:left="3600" w:hanging="360"/>
      </w:pPr>
      <w:rPr>
        <w:rFonts w:ascii="Courier New" w:hAnsi="Courier New" w:hint="default"/>
      </w:rPr>
    </w:lvl>
    <w:lvl w:ilvl="5" w:tplc="F87EB76C">
      <w:start w:val="1"/>
      <w:numFmt w:val="bullet"/>
      <w:lvlText w:val=""/>
      <w:lvlJc w:val="left"/>
      <w:pPr>
        <w:ind w:left="4320" w:hanging="360"/>
      </w:pPr>
      <w:rPr>
        <w:rFonts w:ascii="Wingdings" w:hAnsi="Wingdings" w:hint="default"/>
      </w:rPr>
    </w:lvl>
    <w:lvl w:ilvl="6" w:tplc="4D2CF8A4">
      <w:start w:val="1"/>
      <w:numFmt w:val="bullet"/>
      <w:lvlText w:val=""/>
      <w:lvlJc w:val="left"/>
      <w:pPr>
        <w:ind w:left="5040" w:hanging="360"/>
      </w:pPr>
      <w:rPr>
        <w:rFonts w:ascii="Symbol" w:hAnsi="Symbol" w:hint="default"/>
      </w:rPr>
    </w:lvl>
    <w:lvl w:ilvl="7" w:tplc="60D2AC44">
      <w:start w:val="1"/>
      <w:numFmt w:val="bullet"/>
      <w:lvlText w:val="o"/>
      <w:lvlJc w:val="left"/>
      <w:pPr>
        <w:ind w:left="5760" w:hanging="360"/>
      </w:pPr>
      <w:rPr>
        <w:rFonts w:ascii="Courier New" w:hAnsi="Courier New" w:hint="default"/>
      </w:rPr>
    </w:lvl>
    <w:lvl w:ilvl="8" w:tplc="23802B0E">
      <w:start w:val="1"/>
      <w:numFmt w:val="bullet"/>
      <w:lvlText w:val=""/>
      <w:lvlJc w:val="left"/>
      <w:pPr>
        <w:ind w:left="6480" w:hanging="360"/>
      </w:pPr>
      <w:rPr>
        <w:rFonts w:ascii="Wingdings" w:hAnsi="Wingdings" w:hint="default"/>
      </w:rPr>
    </w:lvl>
  </w:abstractNum>
  <w:abstractNum w:abstractNumId="35" w15:restartNumberingAfterBreak="0">
    <w:nsid w:val="67C77D3D"/>
    <w:multiLevelType w:val="multilevel"/>
    <w:tmpl w:val="0AC8E622"/>
    <w:lvl w:ilvl="0">
      <w:start w:val="1"/>
      <w:numFmt w:val="decimal"/>
      <w:lvlText w:val="%1"/>
      <w:lvlJc w:val="left"/>
      <w:pPr>
        <w:ind w:left="3621" w:hanging="360"/>
      </w:pPr>
      <w:rPr>
        <w:rFonts w:hint="default"/>
      </w:rPr>
    </w:lvl>
    <w:lvl w:ilvl="1">
      <w:start w:val="1"/>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6" w15:restartNumberingAfterBreak="0">
    <w:nsid w:val="6B6D55FE"/>
    <w:multiLevelType w:val="hybridMultilevel"/>
    <w:tmpl w:val="F1A28500"/>
    <w:lvl w:ilvl="0" w:tplc="BD108F8E">
      <w:start w:val="1"/>
      <w:numFmt w:val="bullet"/>
      <w:lvlText w:val=""/>
      <w:lvlJc w:val="left"/>
      <w:pPr>
        <w:ind w:left="720" w:hanging="360"/>
      </w:pPr>
      <w:rPr>
        <w:rFonts w:ascii="Symbol" w:hAnsi="Symbol" w:hint="default"/>
      </w:rPr>
    </w:lvl>
    <w:lvl w:ilvl="1" w:tplc="BC2EAA58">
      <w:start w:val="1"/>
      <w:numFmt w:val="bullet"/>
      <w:lvlText w:val="o"/>
      <w:lvlJc w:val="left"/>
      <w:pPr>
        <w:ind w:left="1440" w:hanging="360"/>
      </w:pPr>
      <w:rPr>
        <w:rFonts w:ascii="Courier New" w:hAnsi="Courier New" w:hint="default"/>
      </w:rPr>
    </w:lvl>
    <w:lvl w:ilvl="2" w:tplc="78B087DA">
      <w:start w:val="1"/>
      <w:numFmt w:val="bullet"/>
      <w:lvlText w:val=""/>
      <w:lvlJc w:val="left"/>
      <w:pPr>
        <w:ind w:left="2160" w:hanging="360"/>
      </w:pPr>
      <w:rPr>
        <w:rFonts w:ascii="Wingdings" w:hAnsi="Wingdings" w:hint="default"/>
      </w:rPr>
    </w:lvl>
    <w:lvl w:ilvl="3" w:tplc="3C9A33E6">
      <w:start w:val="1"/>
      <w:numFmt w:val="bullet"/>
      <w:lvlText w:val=""/>
      <w:lvlJc w:val="left"/>
      <w:pPr>
        <w:ind w:left="2880" w:hanging="360"/>
      </w:pPr>
      <w:rPr>
        <w:rFonts w:ascii="Symbol" w:hAnsi="Symbol" w:hint="default"/>
      </w:rPr>
    </w:lvl>
    <w:lvl w:ilvl="4" w:tplc="8F983670">
      <w:start w:val="1"/>
      <w:numFmt w:val="bullet"/>
      <w:lvlText w:val="o"/>
      <w:lvlJc w:val="left"/>
      <w:pPr>
        <w:ind w:left="3600" w:hanging="360"/>
      </w:pPr>
      <w:rPr>
        <w:rFonts w:ascii="Courier New" w:hAnsi="Courier New" w:hint="default"/>
      </w:rPr>
    </w:lvl>
    <w:lvl w:ilvl="5" w:tplc="E5AA43DC">
      <w:start w:val="1"/>
      <w:numFmt w:val="bullet"/>
      <w:lvlText w:val=""/>
      <w:lvlJc w:val="left"/>
      <w:pPr>
        <w:ind w:left="4320" w:hanging="360"/>
      </w:pPr>
      <w:rPr>
        <w:rFonts w:ascii="Wingdings" w:hAnsi="Wingdings" w:hint="default"/>
      </w:rPr>
    </w:lvl>
    <w:lvl w:ilvl="6" w:tplc="AF54971E">
      <w:start w:val="1"/>
      <w:numFmt w:val="bullet"/>
      <w:lvlText w:val=""/>
      <w:lvlJc w:val="left"/>
      <w:pPr>
        <w:ind w:left="5040" w:hanging="360"/>
      </w:pPr>
      <w:rPr>
        <w:rFonts w:ascii="Symbol" w:hAnsi="Symbol" w:hint="default"/>
      </w:rPr>
    </w:lvl>
    <w:lvl w:ilvl="7" w:tplc="E45A1638">
      <w:start w:val="1"/>
      <w:numFmt w:val="bullet"/>
      <w:lvlText w:val="o"/>
      <w:lvlJc w:val="left"/>
      <w:pPr>
        <w:ind w:left="5760" w:hanging="360"/>
      </w:pPr>
      <w:rPr>
        <w:rFonts w:ascii="Courier New" w:hAnsi="Courier New" w:hint="default"/>
      </w:rPr>
    </w:lvl>
    <w:lvl w:ilvl="8" w:tplc="C3CAADD4">
      <w:start w:val="1"/>
      <w:numFmt w:val="bullet"/>
      <w:lvlText w:val=""/>
      <w:lvlJc w:val="left"/>
      <w:pPr>
        <w:ind w:left="6480" w:hanging="360"/>
      </w:pPr>
      <w:rPr>
        <w:rFonts w:ascii="Wingdings" w:hAnsi="Wingdings" w:hint="default"/>
      </w:rPr>
    </w:lvl>
  </w:abstractNum>
  <w:abstractNum w:abstractNumId="37" w15:restartNumberingAfterBreak="0">
    <w:nsid w:val="6F0B5E3D"/>
    <w:multiLevelType w:val="hybridMultilevel"/>
    <w:tmpl w:val="1FC2DDE4"/>
    <w:lvl w:ilvl="0" w:tplc="063C7ACE">
      <w:start w:val="1"/>
      <w:numFmt w:val="bullet"/>
      <w:lvlText w:val=""/>
      <w:lvlJc w:val="left"/>
      <w:pPr>
        <w:ind w:left="720" w:hanging="360"/>
      </w:pPr>
      <w:rPr>
        <w:rFonts w:ascii="Symbol" w:hAnsi="Symbol" w:hint="default"/>
      </w:rPr>
    </w:lvl>
    <w:lvl w:ilvl="1" w:tplc="D3BA1828">
      <w:start w:val="1"/>
      <w:numFmt w:val="bullet"/>
      <w:lvlText w:val="o"/>
      <w:lvlJc w:val="left"/>
      <w:pPr>
        <w:ind w:left="1440" w:hanging="360"/>
      </w:pPr>
      <w:rPr>
        <w:rFonts w:ascii="Courier New" w:hAnsi="Courier New" w:hint="default"/>
      </w:rPr>
    </w:lvl>
    <w:lvl w:ilvl="2" w:tplc="027EFF34">
      <w:start w:val="1"/>
      <w:numFmt w:val="bullet"/>
      <w:lvlText w:val=""/>
      <w:lvlJc w:val="left"/>
      <w:pPr>
        <w:ind w:left="2160" w:hanging="360"/>
      </w:pPr>
      <w:rPr>
        <w:rFonts w:ascii="Wingdings" w:hAnsi="Wingdings" w:hint="default"/>
      </w:rPr>
    </w:lvl>
    <w:lvl w:ilvl="3" w:tplc="0484B29E">
      <w:start w:val="1"/>
      <w:numFmt w:val="bullet"/>
      <w:lvlText w:val=""/>
      <w:lvlJc w:val="left"/>
      <w:pPr>
        <w:ind w:left="2880" w:hanging="360"/>
      </w:pPr>
      <w:rPr>
        <w:rFonts w:ascii="Symbol" w:hAnsi="Symbol" w:hint="default"/>
      </w:rPr>
    </w:lvl>
    <w:lvl w:ilvl="4" w:tplc="EFF8BB2A">
      <w:start w:val="1"/>
      <w:numFmt w:val="bullet"/>
      <w:lvlText w:val="o"/>
      <w:lvlJc w:val="left"/>
      <w:pPr>
        <w:ind w:left="3600" w:hanging="360"/>
      </w:pPr>
      <w:rPr>
        <w:rFonts w:ascii="Courier New" w:hAnsi="Courier New" w:hint="default"/>
      </w:rPr>
    </w:lvl>
    <w:lvl w:ilvl="5" w:tplc="AF921132">
      <w:start w:val="1"/>
      <w:numFmt w:val="bullet"/>
      <w:lvlText w:val=""/>
      <w:lvlJc w:val="left"/>
      <w:pPr>
        <w:ind w:left="4320" w:hanging="360"/>
      </w:pPr>
      <w:rPr>
        <w:rFonts w:ascii="Wingdings" w:hAnsi="Wingdings" w:hint="default"/>
      </w:rPr>
    </w:lvl>
    <w:lvl w:ilvl="6" w:tplc="1C100620">
      <w:start w:val="1"/>
      <w:numFmt w:val="bullet"/>
      <w:lvlText w:val=""/>
      <w:lvlJc w:val="left"/>
      <w:pPr>
        <w:ind w:left="5040" w:hanging="360"/>
      </w:pPr>
      <w:rPr>
        <w:rFonts w:ascii="Symbol" w:hAnsi="Symbol" w:hint="default"/>
      </w:rPr>
    </w:lvl>
    <w:lvl w:ilvl="7" w:tplc="5F7CB2DA">
      <w:start w:val="1"/>
      <w:numFmt w:val="bullet"/>
      <w:lvlText w:val="o"/>
      <w:lvlJc w:val="left"/>
      <w:pPr>
        <w:ind w:left="5760" w:hanging="360"/>
      </w:pPr>
      <w:rPr>
        <w:rFonts w:ascii="Courier New" w:hAnsi="Courier New" w:hint="default"/>
      </w:rPr>
    </w:lvl>
    <w:lvl w:ilvl="8" w:tplc="F1F04F0C">
      <w:start w:val="1"/>
      <w:numFmt w:val="bullet"/>
      <w:lvlText w:val=""/>
      <w:lvlJc w:val="left"/>
      <w:pPr>
        <w:ind w:left="6480" w:hanging="360"/>
      </w:pPr>
      <w:rPr>
        <w:rFonts w:ascii="Wingdings" w:hAnsi="Wingdings" w:hint="default"/>
      </w:rPr>
    </w:lvl>
  </w:abstractNum>
  <w:abstractNum w:abstractNumId="38" w15:restartNumberingAfterBreak="0">
    <w:nsid w:val="71C5E43C"/>
    <w:multiLevelType w:val="hybridMultilevel"/>
    <w:tmpl w:val="48381F84"/>
    <w:lvl w:ilvl="0" w:tplc="55A2B3B2">
      <w:start w:val="4"/>
      <w:numFmt w:val="decimal"/>
      <w:lvlText w:val="%1."/>
      <w:lvlJc w:val="left"/>
      <w:pPr>
        <w:ind w:left="720" w:hanging="360"/>
      </w:pPr>
    </w:lvl>
    <w:lvl w:ilvl="1" w:tplc="262A98A8">
      <w:start w:val="1"/>
      <w:numFmt w:val="lowerLetter"/>
      <w:lvlText w:val="%2."/>
      <w:lvlJc w:val="left"/>
      <w:pPr>
        <w:ind w:left="1440" w:hanging="360"/>
      </w:pPr>
    </w:lvl>
    <w:lvl w:ilvl="2" w:tplc="08027476">
      <w:start w:val="1"/>
      <w:numFmt w:val="lowerRoman"/>
      <w:lvlText w:val="%3."/>
      <w:lvlJc w:val="right"/>
      <w:pPr>
        <w:ind w:left="2160" w:hanging="180"/>
      </w:pPr>
    </w:lvl>
    <w:lvl w:ilvl="3" w:tplc="465E0D0E">
      <w:start w:val="1"/>
      <w:numFmt w:val="decimal"/>
      <w:lvlText w:val="%4."/>
      <w:lvlJc w:val="left"/>
      <w:pPr>
        <w:ind w:left="2880" w:hanging="360"/>
      </w:pPr>
    </w:lvl>
    <w:lvl w:ilvl="4" w:tplc="43DCE0C6">
      <w:start w:val="1"/>
      <w:numFmt w:val="lowerLetter"/>
      <w:lvlText w:val="%5."/>
      <w:lvlJc w:val="left"/>
      <w:pPr>
        <w:ind w:left="3600" w:hanging="360"/>
      </w:pPr>
    </w:lvl>
    <w:lvl w:ilvl="5" w:tplc="C9F07C70">
      <w:start w:val="1"/>
      <w:numFmt w:val="lowerRoman"/>
      <w:lvlText w:val="%6."/>
      <w:lvlJc w:val="right"/>
      <w:pPr>
        <w:ind w:left="4320" w:hanging="180"/>
      </w:pPr>
    </w:lvl>
    <w:lvl w:ilvl="6" w:tplc="3D1A95D2">
      <w:start w:val="1"/>
      <w:numFmt w:val="decimal"/>
      <w:lvlText w:val="%7."/>
      <w:lvlJc w:val="left"/>
      <w:pPr>
        <w:ind w:left="5040" w:hanging="360"/>
      </w:pPr>
    </w:lvl>
    <w:lvl w:ilvl="7" w:tplc="1C14B664">
      <w:start w:val="1"/>
      <w:numFmt w:val="lowerLetter"/>
      <w:lvlText w:val="%8."/>
      <w:lvlJc w:val="left"/>
      <w:pPr>
        <w:ind w:left="5760" w:hanging="360"/>
      </w:pPr>
    </w:lvl>
    <w:lvl w:ilvl="8" w:tplc="D33C3424">
      <w:start w:val="1"/>
      <w:numFmt w:val="lowerRoman"/>
      <w:lvlText w:val="%9."/>
      <w:lvlJc w:val="right"/>
      <w:pPr>
        <w:ind w:left="6480" w:hanging="180"/>
      </w:pPr>
    </w:lvl>
  </w:abstractNum>
  <w:abstractNum w:abstractNumId="39" w15:restartNumberingAfterBreak="0">
    <w:nsid w:val="799F4955"/>
    <w:multiLevelType w:val="hybridMultilevel"/>
    <w:tmpl w:val="9C2005BC"/>
    <w:lvl w:ilvl="0" w:tplc="542CA1BC">
      <w:start w:val="1"/>
      <w:numFmt w:val="bullet"/>
      <w:lvlText w:val="-"/>
      <w:lvlJc w:val="left"/>
      <w:pPr>
        <w:ind w:left="720" w:hanging="360"/>
      </w:pPr>
      <w:rPr>
        <w:rFonts w:ascii="Aptos" w:hAnsi="Aptos" w:hint="default"/>
      </w:rPr>
    </w:lvl>
    <w:lvl w:ilvl="1" w:tplc="4A786216">
      <w:start w:val="1"/>
      <w:numFmt w:val="bullet"/>
      <w:lvlText w:val="o"/>
      <w:lvlJc w:val="left"/>
      <w:pPr>
        <w:ind w:left="1440" w:hanging="360"/>
      </w:pPr>
      <w:rPr>
        <w:rFonts w:ascii="Courier New" w:hAnsi="Courier New" w:hint="default"/>
      </w:rPr>
    </w:lvl>
    <w:lvl w:ilvl="2" w:tplc="48DCA9EE">
      <w:start w:val="1"/>
      <w:numFmt w:val="bullet"/>
      <w:lvlText w:val=""/>
      <w:lvlJc w:val="left"/>
      <w:pPr>
        <w:ind w:left="2160" w:hanging="360"/>
      </w:pPr>
      <w:rPr>
        <w:rFonts w:ascii="Wingdings" w:hAnsi="Wingdings" w:hint="default"/>
      </w:rPr>
    </w:lvl>
    <w:lvl w:ilvl="3" w:tplc="93F83CE6">
      <w:start w:val="1"/>
      <w:numFmt w:val="bullet"/>
      <w:lvlText w:val=""/>
      <w:lvlJc w:val="left"/>
      <w:pPr>
        <w:ind w:left="2880" w:hanging="360"/>
      </w:pPr>
      <w:rPr>
        <w:rFonts w:ascii="Symbol" w:hAnsi="Symbol" w:hint="default"/>
      </w:rPr>
    </w:lvl>
    <w:lvl w:ilvl="4" w:tplc="BCDCBD94">
      <w:start w:val="1"/>
      <w:numFmt w:val="bullet"/>
      <w:lvlText w:val="o"/>
      <w:lvlJc w:val="left"/>
      <w:pPr>
        <w:ind w:left="3600" w:hanging="360"/>
      </w:pPr>
      <w:rPr>
        <w:rFonts w:ascii="Courier New" w:hAnsi="Courier New" w:hint="default"/>
      </w:rPr>
    </w:lvl>
    <w:lvl w:ilvl="5" w:tplc="4CA6F542">
      <w:start w:val="1"/>
      <w:numFmt w:val="bullet"/>
      <w:lvlText w:val=""/>
      <w:lvlJc w:val="left"/>
      <w:pPr>
        <w:ind w:left="4320" w:hanging="360"/>
      </w:pPr>
      <w:rPr>
        <w:rFonts w:ascii="Wingdings" w:hAnsi="Wingdings" w:hint="default"/>
      </w:rPr>
    </w:lvl>
    <w:lvl w:ilvl="6" w:tplc="94888E6C">
      <w:start w:val="1"/>
      <w:numFmt w:val="bullet"/>
      <w:lvlText w:val=""/>
      <w:lvlJc w:val="left"/>
      <w:pPr>
        <w:ind w:left="5040" w:hanging="360"/>
      </w:pPr>
      <w:rPr>
        <w:rFonts w:ascii="Symbol" w:hAnsi="Symbol" w:hint="default"/>
      </w:rPr>
    </w:lvl>
    <w:lvl w:ilvl="7" w:tplc="6652BF58">
      <w:start w:val="1"/>
      <w:numFmt w:val="bullet"/>
      <w:lvlText w:val="o"/>
      <w:lvlJc w:val="left"/>
      <w:pPr>
        <w:ind w:left="5760" w:hanging="360"/>
      </w:pPr>
      <w:rPr>
        <w:rFonts w:ascii="Courier New" w:hAnsi="Courier New" w:hint="default"/>
      </w:rPr>
    </w:lvl>
    <w:lvl w:ilvl="8" w:tplc="1D1C24D2">
      <w:start w:val="1"/>
      <w:numFmt w:val="bullet"/>
      <w:lvlText w:val=""/>
      <w:lvlJc w:val="left"/>
      <w:pPr>
        <w:ind w:left="6480" w:hanging="360"/>
      </w:pPr>
      <w:rPr>
        <w:rFonts w:ascii="Wingdings" w:hAnsi="Wingdings" w:hint="default"/>
      </w:rPr>
    </w:lvl>
  </w:abstractNum>
  <w:abstractNum w:abstractNumId="40" w15:restartNumberingAfterBreak="0">
    <w:nsid w:val="7A066D69"/>
    <w:multiLevelType w:val="hybridMultilevel"/>
    <w:tmpl w:val="9B4EA31C"/>
    <w:lvl w:ilvl="0" w:tplc="105639AE">
      <w:start w:val="1"/>
      <w:numFmt w:val="bullet"/>
      <w:lvlText w:val="o"/>
      <w:lvlJc w:val="left"/>
      <w:pPr>
        <w:ind w:left="720" w:hanging="360"/>
      </w:pPr>
      <w:rPr>
        <w:rFonts w:ascii="&quot;Courier New&quot;" w:hAnsi="&quot;Courier New&quot;" w:hint="default"/>
      </w:rPr>
    </w:lvl>
    <w:lvl w:ilvl="1" w:tplc="175A520C">
      <w:start w:val="1"/>
      <w:numFmt w:val="bullet"/>
      <w:lvlText w:val="o"/>
      <w:lvlJc w:val="left"/>
      <w:pPr>
        <w:ind w:left="1440" w:hanging="360"/>
      </w:pPr>
      <w:rPr>
        <w:rFonts w:ascii="Courier New" w:hAnsi="Courier New" w:hint="default"/>
      </w:rPr>
    </w:lvl>
    <w:lvl w:ilvl="2" w:tplc="23BAE7E0">
      <w:start w:val="1"/>
      <w:numFmt w:val="bullet"/>
      <w:lvlText w:val=""/>
      <w:lvlJc w:val="left"/>
      <w:pPr>
        <w:ind w:left="2160" w:hanging="360"/>
      </w:pPr>
      <w:rPr>
        <w:rFonts w:ascii="Wingdings" w:hAnsi="Wingdings" w:hint="default"/>
      </w:rPr>
    </w:lvl>
    <w:lvl w:ilvl="3" w:tplc="13003242">
      <w:start w:val="1"/>
      <w:numFmt w:val="bullet"/>
      <w:lvlText w:val=""/>
      <w:lvlJc w:val="left"/>
      <w:pPr>
        <w:ind w:left="2880" w:hanging="360"/>
      </w:pPr>
      <w:rPr>
        <w:rFonts w:ascii="Symbol" w:hAnsi="Symbol" w:hint="default"/>
      </w:rPr>
    </w:lvl>
    <w:lvl w:ilvl="4" w:tplc="84808BDE">
      <w:start w:val="1"/>
      <w:numFmt w:val="bullet"/>
      <w:lvlText w:val="o"/>
      <w:lvlJc w:val="left"/>
      <w:pPr>
        <w:ind w:left="3600" w:hanging="360"/>
      </w:pPr>
      <w:rPr>
        <w:rFonts w:ascii="Courier New" w:hAnsi="Courier New" w:hint="default"/>
      </w:rPr>
    </w:lvl>
    <w:lvl w:ilvl="5" w:tplc="488CAE08">
      <w:start w:val="1"/>
      <w:numFmt w:val="bullet"/>
      <w:lvlText w:val=""/>
      <w:lvlJc w:val="left"/>
      <w:pPr>
        <w:ind w:left="4320" w:hanging="360"/>
      </w:pPr>
      <w:rPr>
        <w:rFonts w:ascii="Wingdings" w:hAnsi="Wingdings" w:hint="default"/>
      </w:rPr>
    </w:lvl>
    <w:lvl w:ilvl="6" w:tplc="F9F0FEAC">
      <w:start w:val="1"/>
      <w:numFmt w:val="bullet"/>
      <w:lvlText w:val=""/>
      <w:lvlJc w:val="left"/>
      <w:pPr>
        <w:ind w:left="5040" w:hanging="360"/>
      </w:pPr>
      <w:rPr>
        <w:rFonts w:ascii="Symbol" w:hAnsi="Symbol" w:hint="default"/>
      </w:rPr>
    </w:lvl>
    <w:lvl w:ilvl="7" w:tplc="A6522BDC">
      <w:start w:val="1"/>
      <w:numFmt w:val="bullet"/>
      <w:lvlText w:val="o"/>
      <w:lvlJc w:val="left"/>
      <w:pPr>
        <w:ind w:left="5760" w:hanging="360"/>
      </w:pPr>
      <w:rPr>
        <w:rFonts w:ascii="Courier New" w:hAnsi="Courier New" w:hint="default"/>
      </w:rPr>
    </w:lvl>
    <w:lvl w:ilvl="8" w:tplc="02306636">
      <w:start w:val="1"/>
      <w:numFmt w:val="bullet"/>
      <w:lvlText w:val=""/>
      <w:lvlJc w:val="left"/>
      <w:pPr>
        <w:ind w:left="6480" w:hanging="360"/>
      </w:pPr>
      <w:rPr>
        <w:rFonts w:ascii="Wingdings" w:hAnsi="Wingdings" w:hint="default"/>
      </w:rPr>
    </w:lvl>
  </w:abstractNum>
  <w:abstractNum w:abstractNumId="41" w15:restartNumberingAfterBreak="0">
    <w:nsid w:val="7C6E2761"/>
    <w:multiLevelType w:val="hybridMultilevel"/>
    <w:tmpl w:val="0A72163A"/>
    <w:lvl w:ilvl="0" w:tplc="16D8E5B6">
      <w:start w:val="1"/>
      <w:numFmt w:val="decimal"/>
      <w:lvlText w:val="%1."/>
      <w:lvlJc w:val="left"/>
      <w:pPr>
        <w:ind w:left="720" w:hanging="360"/>
      </w:pPr>
    </w:lvl>
    <w:lvl w:ilvl="1" w:tplc="0C4AF07A">
      <w:start w:val="1"/>
      <w:numFmt w:val="lowerLetter"/>
      <w:lvlText w:val="%2."/>
      <w:lvlJc w:val="left"/>
      <w:pPr>
        <w:ind w:left="1440" w:hanging="360"/>
      </w:pPr>
    </w:lvl>
    <w:lvl w:ilvl="2" w:tplc="20F822F0">
      <w:start w:val="1"/>
      <w:numFmt w:val="lowerRoman"/>
      <w:lvlText w:val="%3."/>
      <w:lvlJc w:val="right"/>
      <w:pPr>
        <w:ind w:left="2160" w:hanging="180"/>
      </w:pPr>
    </w:lvl>
    <w:lvl w:ilvl="3" w:tplc="CD5E14AA">
      <w:start w:val="1"/>
      <w:numFmt w:val="decimal"/>
      <w:lvlText w:val="%4."/>
      <w:lvlJc w:val="left"/>
      <w:pPr>
        <w:ind w:left="2880" w:hanging="360"/>
      </w:pPr>
    </w:lvl>
    <w:lvl w:ilvl="4" w:tplc="2F30B6D2">
      <w:start w:val="1"/>
      <w:numFmt w:val="lowerLetter"/>
      <w:lvlText w:val="%5."/>
      <w:lvlJc w:val="left"/>
      <w:pPr>
        <w:ind w:left="3600" w:hanging="360"/>
      </w:pPr>
    </w:lvl>
    <w:lvl w:ilvl="5" w:tplc="133AE08A">
      <w:start w:val="1"/>
      <w:numFmt w:val="lowerRoman"/>
      <w:lvlText w:val="%6."/>
      <w:lvlJc w:val="right"/>
      <w:pPr>
        <w:ind w:left="4320" w:hanging="180"/>
      </w:pPr>
    </w:lvl>
    <w:lvl w:ilvl="6" w:tplc="A23695B4">
      <w:start w:val="1"/>
      <w:numFmt w:val="decimal"/>
      <w:lvlText w:val="%7."/>
      <w:lvlJc w:val="left"/>
      <w:pPr>
        <w:ind w:left="5040" w:hanging="360"/>
      </w:pPr>
    </w:lvl>
    <w:lvl w:ilvl="7" w:tplc="C4CAF72C">
      <w:start w:val="1"/>
      <w:numFmt w:val="lowerLetter"/>
      <w:lvlText w:val="%8."/>
      <w:lvlJc w:val="left"/>
      <w:pPr>
        <w:ind w:left="5760" w:hanging="360"/>
      </w:pPr>
    </w:lvl>
    <w:lvl w:ilvl="8" w:tplc="1F5C7C02">
      <w:start w:val="1"/>
      <w:numFmt w:val="lowerRoman"/>
      <w:lvlText w:val="%9."/>
      <w:lvlJc w:val="right"/>
      <w:pPr>
        <w:ind w:left="6480" w:hanging="180"/>
      </w:pPr>
    </w:lvl>
  </w:abstractNum>
  <w:abstractNum w:abstractNumId="42" w15:restartNumberingAfterBreak="0">
    <w:nsid w:val="7DEE4289"/>
    <w:multiLevelType w:val="hybridMultilevel"/>
    <w:tmpl w:val="D984496E"/>
    <w:lvl w:ilvl="0" w:tplc="6C1AAEEA">
      <w:start w:val="1"/>
      <w:numFmt w:val="bullet"/>
      <w:lvlText w:val=""/>
      <w:lvlJc w:val="left"/>
      <w:pPr>
        <w:ind w:left="720" w:hanging="360"/>
      </w:pPr>
      <w:rPr>
        <w:rFonts w:ascii="Symbol" w:hAnsi="Symbol" w:hint="default"/>
      </w:rPr>
    </w:lvl>
    <w:lvl w:ilvl="1" w:tplc="E5D6F1C4">
      <w:start w:val="1"/>
      <w:numFmt w:val="bullet"/>
      <w:lvlText w:val="o"/>
      <w:lvlJc w:val="left"/>
      <w:pPr>
        <w:ind w:left="1440" w:hanging="360"/>
      </w:pPr>
      <w:rPr>
        <w:rFonts w:ascii="Courier New" w:hAnsi="Courier New" w:hint="default"/>
      </w:rPr>
    </w:lvl>
    <w:lvl w:ilvl="2" w:tplc="7C7AB112">
      <w:start w:val="1"/>
      <w:numFmt w:val="bullet"/>
      <w:lvlText w:val=""/>
      <w:lvlJc w:val="left"/>
      <w:pPr>
        <w:ind w:left="2160" w:hanging="360"/>
      </w:pPr>
      <w:rPr>
        <w:rFonts w:ascii="Wingdings" w:hAnsi="Wingdings" w:hint="default"/>
      </w:rPr>
    </w:lvl>
    <w:lvl w:ilvl="3" w:tplc="99CE1254">
      <w:start w:val="1"/>
      <w:numFmt w:val="bullet"/>
      <w:lvlText w:val=""/>
      <w:lvlJc w:val="left"/>
      <w:pPr>
        <w:ind w:left="2880" w:hanging="360"/>
      </w:pPr>
      <w:rPr>
        <w:rFonts w:ascii="Symbol" w:hAnsi="Symbol" w:hint="default"/>
      </w:rPr>
    </w:lvl>
    <w:lvl w:ilvl="4" w:tplc="759204DA">
      <w:start w:val="1"/>
      <w:numFmt w:val="bullet"/>
      <w:lvlText w:val="o"/>
      <w:lvlJc w:val="left"/>
      <w:pPr>
        <w:ind w:left="3600" w:hanging="360"/>
      </w:pPr>
      <w:rPr>
        <w:rFonts w:ascii="Courier New" w:hAnsi="Courier New" w:hint="default"/>
      </w:rPr>
    </w:lvl>
    <w:lvl w:ilvl="5" w:tplc="871254F0">
      <w:start w:val="1"/>
      <w:numFmt w:val="bullet"/>
      <w:lvlText w:val=""/>
      <w:lvlJc w:val="left"/>
      <w:pPr>
        <w:ind w:left="4320" w:hanging="360"/>
      </w:pPr>
      <w:rPr>
        <w:rFonts w:ascii="Wingdings" w:hAnsi="Wingdings" w:hint="default"/>
      </w:rPr>
    </w:lvl>
    <w:lvl w:ilvl="6" w:tplc="E982D450">
      <w:start w:val="1"/>
      <w:numFmt w:val="bullet"/>
      <w:lvlText w:val=""/>
      <w:lvlJc w:val="left"/>
      <w:pPr>
        <w:ind w:left="5040" w:hanging="360"/>
      </w:pPr>
      <w:rPr>
        <w:rFonts w:ascii="Symbol" w:hAnsi="Symbol" w:hint="default"/>
      </w:rPr>
    </w:lvl>
    <w:lvl w:ilvl="7" w:tplc="AB7E948C">
      <w:start w:val="1"/>
      <w:numFmt w:val="bullet"/>
      <w:lvlText w:val="o"/>
      <w:lvlJc w:val="left"/>
      <w:pPr>
        <w:ind w:left="5760" w:hanging="360"/>
      </w:pPr>
      <w:rPr>
        <w:rFonts w:ascii="Courier New" w:hAnsi="Courier New" w:hint="default"/>
      </w:rPr>
    </w:lvl>
    <w:lvl w:ilvl="8" w:tplc="3CB8B6AE">
      <w:start w:val="1"/>
      <w:numFmt w:val="bullet"/>
      <w:lvlText w:val=""/>
      <w:lvlJc w:val="left"/>
      <w:pPr>
        <w:ind w:left="6480" w:hanging="360"/>
      </w:pPr>
      <w:rPr>
        <w:rFonts w:ascii="Wingdings" w:hAnsi="Wingdings" w:hint="default"/>
      </w:rPr>
    </w:lvl>
  </w:abstractNum>
  <w:num w:numId="1" w16cid:durableId="1118643722">
    <w:abstractNumId w:val="30"/>
  </w:num>
  <w:num w:numId="2" w16cid:durableId="1469470443">
    <w:abstractNumId w:val="16"/>
  </w:num>
  <w:num w:numId="3" w16cid:durableId="4988127">
    <w:abstractNumId w:val="3"/>
  </w:num>
  <w:num w:numId="4" w16cid:durableId="1540122083">
    <w:abstractNumId w:val="29"/>
  </w:num>
  <w:num w:numId="5" w16cid:durableId="1506701358">
    <w:abstractNumId w:val="13"/>
  </w:num>
  <w:num w:numId="6" w16cid:durableId="2089303684">
    <w:abstractNumId w:val="8"/>
  </w:num>
  <w:num w:numId="7" w16cid:durableId="28604993">
    <w:abstractNumId w:val="36"/>
  </w:num>
  <w:num w:numId="8" w16cid:durableId="1551378108">
    <w:abstractNumId w:val="15"/>
  </w:num>
  <w:num w:numId="9" w16cid:durableId="1774083490">
    <w:abstractNumId w:val="0"/>
  </w:num>
  <w:num w:numId="10" w16cid:durableId="168104847">
    <w:abstractNumId w:val="26"/>
  </w:num>
  <w:num w:numId="11" w16cid:durableId="11763351">
    <w:abstractNumId w:val="11"/>
  </w:num>
  <w:num w:numId="12" w16cid:durableId="1816139878">
    <w:abstractNumId w:val="42"/>
  </w:num>
  <w:num w:numId="13" w16cid:durableId="898436512">
    <w:abstractNumId w:val="4"/>
  </w:num>
  <w:num w:numId="14" w16cid:durableId="1251507871">
    <w:abstractNumId w:val="20"/>
  </w:num>
  <w:num w:numId="15" w16cid:durableId="744450265">
    <w:abstractNumId w:val="34"/>
  </w:num>
  <w:num w:numId="16" w16cid:durableId="1945258439">
    <w:abstractNumId w:val="37"/>
  </w:num>
  <w:num w:numId="17" w16cid:durableId="822744274">
    <w:abstractNumId w:val="23"/>
  </w:num>
  <w:num w:numId="18" w16cid:durableId="557205198">
    <w:abstractNumId w:val="31"/>
  </w:num>
  <w:num w:numId="19" w16cid:durableId="1100299900">
    <w:abstractNumId w:val="10"/>
  </w:num>
  <w:num w:numId="20" w16cid:durableId="5914039">
    <w:abstractNumId w:val="18"/>
  </w:num>
  <w:num w:numId="21" w16cid:durableId="177887779">
    <w:abstractNumId w:val="25"/>
  </w:num>
  <w:num w:numId="22" w16cid:durableId="1202012164">
    <w:abstractNumId w:val="2"/>
  </w:num>
  <w:num w:numId="23" w16cid:durableId="719599688">
    <w:abstractNumId w:val="38"/>
  </w:num>
  <w:num w:numId="24" w16cid:durableId="529880150">
    <w:abstractNumId w:val="5"/>
  </w:num>
  <w:num w:numId="25" w16cid:durableId="843059494">
    <w:abstractNumId w:val="14"/>
  </w:num>
  <w:num w:numId="26" w16cid:durableId="1026060239">
    <w:abstractNumId w:val="9"/>
  </w:num>
  <w:num w:numId="27" w16cid:durableId="1693872168">
    <w:abstractNumId w:val="40"/>
  </w:num>
  <w:num w:numId="28" w16cid:durableId="1474759962">
    <w:abstractNumId w:val="21"/>
  </w:num>
  <w:num w:numId="29" w16cid:durableId="2052656249">
    <w:abstractNumId w:val="39"/>
  </w:num>
  <w:num w:numId="30" w16cid:durableId="287246889">
    <w:abstractNumId w:val="28"/>
  </w:num>
  <w:num w:numId="31" w16cid:durableId="1652826979">
    <w:abstractNumId w:val="33"/>
  </w:num>
  <w:num w:numId="32" w16cid:durableId="1735662362">
    <w:abstractNumId w:val="24"/>
  </w:num>
  <w:num w:numId="33" w16cid:durableId="259143335">
    <w:abstractNumId w:val="6"/>
  </w:num>
  <w:num w:numId="34" w16cid:durableId="848637261">
    <w:abstractNumId w:val="27"/>
  </w:num>
  <w:num w:numId="35" w16cid:durableId="1996447641">
    <w:abstractNumId w:val="1"/>
  </w:num>
  <w:num w:numId="36" w16cid:durableId="932083544">
    <w:abstractNumId w:val="41"/>
  </w:num>
  <w:num w:numId="37" w16cid:durableId="1612735582">
    <w:abstractNumId w:val="7"/>
  </w:num>
  <w:num w:numId="38" w16cid:durableId="1692997523">
    <w:abstractNumId w:val="22"/>
  </w:num>
  <w:num w:numId="39" w16cid:durableId="155072779">
    <w:abstractNumId w:val="12"/>
  </w:num>
  <w:num w:numId="40" w16cid:durableId="383647861">
    <w:abstractNumId w:val="35"/>
  </w:num>
  <w:num w:numId="41" w16cid:durableId="663895636">
    <w:abstractNumId w:val="19"/>
  </w:num>
  <w:num w:numId="42" w16cid:durableId="216210829">
    <w:abstractNumId w:val="17"/>
  </w:num>
  <w:num w:numId="43" w16cid:durableId="1861577770">
    <w:abstractNumId w:val="32"/>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439"/>
    <w:rsid w:val="000048A6"/>
    <w:rsid w:val="00007CFE"/>
    <w:rsid w:val="00010246"/>
    <w:rsid w:val="00011FB8"/>
    <w:rsid w:val="00022626"/>
    <w:rsid w:val="00023D2C"/>
    <w:rsid w:val="00024443"/>
    <w:rsid w:val="00024A70"/>
    <w:rsid w:val="000355C0"/>
    <w:rsid w:val="0004018F"/>
    <w:rsid w:val="0004398A"/>
    <w:rsid w:val="00045694"/>
    <w:rsid w:val="00045B5C"/>
    <w:rsid w:val="00052C03"/>
    <w:rsid w:val="00055AF8"/>
    <w:rsid w:val="0005BE1D"/>
    <w:rsid w:val="000606B8"/>
    <w:rsid w:val="0006164C"/>
    <w:rsid w:val="00064413"/>
    <w:rsid w:val="00070864"/>
    <w:rsid w:val="00073EFB"/>
    <w:rsid w:val="0008225E"/>
    <w:rsid w:val="00082CDA"/>
    <w:rsid w:val="00084608"/>
    <w:rsid w:val="00084822"/>
    <w:rsid w:val="000862DD"/>
    <w:rsid w:val="00086EA4"/>
    <w:rsid w:val="00096823"/>
    <w:rsid w:val="0009737C"/>
    <w:rsid w:val="00097B99"/>
    <w:rsid w:val="000A34EF"/>
    <w:rsid w:val="000AE54D"/>
    <w:rsid w:val="000B0DD1"/>
    <w:rsid w:val="000B4093"/>
    <w:rsid w:val="000B4F89"/>
    <w:rsid w:val="000B73BF"/>
    <w:rsid w:val="000C3AF7"/>
    <w:rsid w:val="000C43CB"/>
    <w:rsid w:val="000C5DF3"/>
    <w:rsid w:val="000C6F08"/>
    <w:rsid w:val="000D26D0"/>
    <w:rsid w:val="000D2B13"/>
    <w:rsid w:val="000D67D4"/>
    <w:rsid w:val="000D6B78"/>
    <w:rsid w:val="000D704F"/>
    <w:rsid w:val="000E3ED6"/>
    <w:rsid w:val="000E5FD4"/>
    <w:rsid w:val="001056CE"/>
    <w:rsid w:val="001073C5"/>
    <w:rsid w:val="00113A30"/>
    <w:rsid w:val="001178A8"/>
    <w:rsid w:val="0012286F"/>
    <w:rsid w:val="00122EBB"/>
    <w:rsid w:val="0012621E"/>
    <w:rsid w:val="0012632E"/>
    <w:rsid w:val="001277E1"/>
    <w:rsid w:val="001341D9"/>
    <w:rsid w:val="0013651F"/>
    <w:rsid w:val="00136706"/>
    <w:rsid w:val="0014212B"/>
    <w:rsid w:val="00142F29"/>
    <w:rsid w:val="00144CDE"/>
    <w:rsid w:val="001456D2"/>
    <w:rsid w:val="00145F56"/>
    <w:rsid w:val="00151F05"/>
    <w:rsid w:val="00152712"/>
    <w:rsid w:val="00152C08"/>
    <w:rsid w:val="00152C8C"/>
    <w:rsid w:val="00156204"/>
    <w:rsid w:val="00161B7F"/>
    <w:rsid w:val="001673EF"/>
    <w:rsid w:val="0017752F"/>
    <w:rsid w:val="00181CEC"/>
    <w:rsid w:val="00191261"/>
    <w:rsid w:val="00196192"/>
    <w:rsid w:val="001A38FB"/>
    <w:rsid w:val="001A4BAA"/>
    <w:rsid w:val="001A75BE"/>
    <w:rsid w:val="001B3055"/>
    <w:rsid w:val="001B4D39"/>
    <w:rsid w:val="001B772C"/>
    <w:rsid w:val="001C09FB"/>
    <w:rsid w:val="001C48E7"/>
    <w:rsid w:val="001C646C"/>
    <w:rsid w:val="001C6BBF"/>
    <w:rsid w:val="001C7F26"/>
    <w:rsid w:val="001D03BD"/>
    <w:rsid w:val="001D1453"/>
    <w:rsid w:val="001D19AD"/>
    <w:rsid w:val="001D45A9"/>
    <w:rsid w:val="001D63ED"/>
    <w:rsid w:val="001D67B5"/>
    <w:rsid w:val="001E04D8"/>
    <w:rsid w:val="001E4D94"/>
    <w:rsid w:val="001E5CF9"/>
    <w:rsid w:val="001F09CA"/>
    <w:rsid w:val="001F467F"/>
    <w:rsid w:val="001F4E49"/>
    <w:rsid w:val="00211593"/>
    <w:rsid w:val="00223A64"/>
    <w:rsid w:val="00224542"/>
    <w:rsid w:val="00227613"/>
    <w:rsid w:val="00230D43"/>
    <w:rsid w:val="0023139A"/>
    <w:rsid w:val="00233DE0"/>
    <w:rsid w:val="002434D8"/>
    <w:rsid w:val="00250B93"/>
    <w:rsid w:val="00250DB2"/>
    <w:rsid w:val="00254972"/>
    <w:rsid w:val="00261917"/>
    <w:rsid w:val="002641C4"/>
    <w:rsid w:val="00276FD1"/>
    <w:rsid w:val="00290A3E"/>
    <w:rsid w:val="00292D2D"/>
    <w:rsid w:val="00294D54"/>
    <w:rsid w:val="002A019B"/>
    <w:rsid w:val="002A3A2F"/>
    <w:rsid w:val="002B469A"/>
    <w:rsid w:val="002B6F32"/>
    <w:rsid w:val="002C02B5"/>
    <w:rsid w:val="002C2A24"/>
    <w:rsid w:val="002C3EA7"/>
    <w:rsid w:val="002C73B1"/>
    <w:rsid w:val="002C745F"/>
    <w:rsid w:val="002E5A91"/>
    <w:rsid w:val="002F07BA"/>
    <w:rsid w:val="002F126F"/>
    <w:rsid w:val="002F168F"/>
    <w:rsid w:val="002F22BA"/>
    <w:rsid w:val="002F5C5B"/>
    <w:rsid w:val="002F64D5"/>
    <w:rsid w:val="002F7B7E"/>
    <w:rsid w:val="0030032D"/>
    <w:rsid w:val="003024E7"/>
    <w:rsid w:val="0030628C"/>
    <w:rsid w:val="003066FC"/>
    <w:rsid w:val="00306FFD"/>
    <w:rsid w:val="0031486F"/>
    <w:rsid w:val="00317111"/>
    <w:rsid w:val="00317333"/>
    <w:rsid w:val="00317FF3"/>
    <w:rsid w:val="003276EB"/>
    <w:rsid w:val="00333B92"/>
    <w:rsid w:val="00337910"/>
    <w:rsid w:val="003478B4"/>
    <w:rsid w:val="00351693"/>
    <w:rsid w:val="0035286B"/>
    <w:rsid w:val="003533A3"/>
    <w:rsid w:val="00353D69"/>
    <w:rsid w:val="003567AD"/>
    <w:rsid w:val="00360CA6"/>
    <w:rsid w:val="00365645"/>
    <w:rsid w:val="00366276"/>
    <w:rsid w:val="00371A68"/>
    <w:rsid w:val="00380D63"/>
    <w:rsid w:val="00382AF6"/>
    <w:rsid w:val="00383C20"/>
    <w:rsid w:val="0039155A"/>
    <w:rsid w:val="00393FCD"/>
    <w:rsid w:val="0039549C"/>
    <w:rsid w:val="00396322"/>
    <w:rsid w:val="0039647A"/>
    <w:rsid w:val="003A07D3"/>
    <w:rsid w:val="003A67B2"/>
    <w:rsid w:val="003A7024"/>
    <w:rsid w:val="003B158C"/>
    <w:rsid w:val="003B1BB8"/>
    <w:rsid w:val="003B1F7B"/>
    <w:rsid w:val="003C011A"/>
    <w:rsid w:val="003C308F"/>
    <w:rsid w:val="003C44D6"/>
    <w:rsid w:val="003C5E0D"/>
    <w:rsid w:val="003C7257"/>
    <w:rsid w:val="003D27BF"/>
    <w:rsid w:val="003D70D9"/>
    <w:rsid w:val="003D7D6E"/>
    <w:rsid w:val="003E0E16"/>
    <w:rsid w:val="003E1C73"/>
    <w:rsid w:val="003E25E5"/>
    <w:rsid w:val="003E5F4A"/>
    <w:rsid w:val="003E7274"/>
    <w:rsid w:val="003F27E4"/>
    <w:rsid w:val="003F3063"/>
    <w:rsid w:val="003F525F"/>
    <w:rsid w:val="003F5E98"/>
    <w:rsid w:val="003F5F23"/>
    <w:rsid w:val="003F62F9"/>
    <w:rsid w:val="003F7081"/>
    <w:rsid w:val="003F76DF"/>
    <w:rsid w:val="003FB8AF"/>
    <w:rsid w:val="00400BA3"/>
    <w:rsid w:val="00405C6A"/>
    <w:rsid w:val="00411B5A"/>
    <w:rsid w:val="004125A1"/>
    <w:rsid w:val="0041782A"/>
    <w:rsid w:val="004217D8"/>
    <w:rsid w:val="004242E3"/>
    <w:rsid w:val="00427B7D"/>
    <w:rsid w:val="00427E1E"/>
    <w:rsid w:val="00430A03"/>
    <w:rsid w:val="00432BAB"/>
    <w:rsid w:val="00437ADA"/>
    <w:rsid w:val="0043B9A9"/>
    <w:rsid w:val="00441695"/>
    <w:rsid w:val="00443151"/>
    <w:rsid w:val="004438F3"/>
    <w:rsid w:val="00446171"/>
    <w:rsid w:val="00446A1B"/>
    <w:rsid w:val="00453DBD"/>
    <w:rsid w:val="004560D3"/>
    <w:rsid w:val="0046328A"/>
    <w:rsid w:val="00466F47"/>
    <w:rsid w:val="004708B5"/>
    <w:rsid w:val="0047377D"/>
    <w:rsid w:val="00473D0E"/>
    <w:rsid w:val="004774E4"/>
    <w:rsid w:val="00481BD6"/>
    <w:rsid w:val="0048223E"/>
    <w:rsid w:val="0048361A"/>
    <w:rsid w:val="00484754"/>
    <w:rsid w:val="004924D4"/>
    <w:rsid w:val="00495051"/>
    <w:rsid w:val="004955AA"/>
    <w:rsid w:val="004A1C14"/>
    <w:rsid w:val="004B05B3"/>
    <w:rsid w:val="004B40F5"/>
    <w:rsid w:val="004B4B73"/>
    <w:rsid w:val="004C5BE0"/>
    <w:rsid w:val="004C6A15"/>
    <w:rsid w:val="004C6D9D"/>
    <w:rsid w:val="004D3DBD"/>
    <w:rsid w:val="004D5205"/>
    <w:rsid w:val="004D5E4D"/>
    <w:rsid w:val="004D600F"/>
    <w:rsid w:val="004E09E9"/>
    <w:rsid w:val="004E546D"/>
    <w:rsid w:val="004E5B5F"/>
    <w:rsid w:val="004E5CAB"/>
    <w:rsid w:val="004F02EE"/>
    <w:rsid w:val="004F4835"/>
    <w:rsid w:val="004F7821"/>
    <w:rsid w:val="005016E9"/>
    <w:rsid w:val="00501C9D"/>
    <w:rsid w:val="00503D10"/>
    <w:rsid w:val="00505304"/>
    <w:rsid w:val="00505676"/>
    <w:rsid w:val="00506AC2"/>
    <w:rsid w:val="00511BA2"/>
    <w:rsid w:val="00515A40"/>
    <w:rsid w:val="00516D01"/>
    <w:rsid w:val="00522444"/>
    <w:rsid w:val="00525362"/>
    <w:rsid w:val="00525A62"/>
    <w:rsid w:val="00525F12"/>
    <w:rsid w:val="00527184"/>
    <w:rsid w:val="00540D5B"/>
    <w:rsid w:val="005419B0"/>
    <w:rsid w:val="00541E86"/>
    <w:rsid w:val="0054771A"/>
    <w:rsid w:val="00547870"/>
    <w:rsid w:val="00547A0F"/>
    <w:rsid w:val="00550803"/>
    <w:rsid w:val="0055111E"/>
    <w:rsid w:val="005518B6"/>
    <w:rsid w:val="005518DB"/>
    <w:rsid w:val="00556A97"/>
    <w:rsid w:val="005579AE"/>
    <w:rsid w:val="00561F10"/>
    <w:rsid w:val="00564233"/>
    <w:rsid w:val="005703D0"/>
    <w:rsid w:val="00573BE5"/>
    <w:rsid w:val="00573DFA"/>
    <w:rsid w:val="00574A27"/>
    <w:rsid w:val="00577881"/>
    <w:rsid w:val="005834B1"/>
    <w:rsid w:val="005961C3"/>
    <w:rsid w:val="005A349B"/>
    <w:rsid w:val="005A703B"/>
    <w:rsid w:val="005C155F"/>
    <w:rsid w:val="005C43D0"/>
    <w:rsid w:val="005C44D3"/>
    <w:rsid w:val="005D18E6"/>
    <w:rsid w:val="005D3D6D"/>
    <w:rsid w:val="005E2124"/>
    <w:rsid w:val="005E3043"/>
    <w:rsid w:val="005E7399"/>
    <w:rsid w:val="005F4D9C"/>
    <w:rsid w:val="005F6A43"/>
    <w:rsid w:val="006016C9"/>
    <w:rsid w:val="0060187A"/>
    <w:rsid w:val="00603DA2"/>
    <w:rsid w:val="006043A4"/>
    <w:rsid w:val="00605A9B"/>
    <w:rsid w:val="00605A9E"/>
    <w:rsid w:val="00607E35"/>
    <w:rsid w:val="00614B19"/>
    <w:rsid w:val="0062131C"/>
    <w:rsid w:val="00623265"/>
    <w:rsid w:val="00624BCD"/>
    <w:rsid w:val="006253CE"/>
    <w:rsid w:val="006255BC"/>
    <w:rsid w:val="00626267"/>
    <w:rsid w:val="00632960"/>
    <w:rsid w:val="00635F3B"/>
    <w:rsid w:val="00645029"/>
    <w:rsid w:val="00645374"/>
    <w:rsid w:val="00647B82"/>
    <w:rsid w:val="00656BCE"/>
    <w:rsid w:val="0065766A"/>
    <w:rsid w:val="0066195E"/>
    <w:rsid w:val="00663E36"/>
    <w:rsid w:val="00671680"/>
    <w:rsid w:val="00676765"/>
    <w:rsid w:val="0067E7CB"/>
    <w:rsid w:val="00680A14"/>
    <w:rsid w:val="00682BBC"/>
    <w:rsid w:val="0068407E"/>
    <w:rsid w:val="00690A66"/>
    <w:rsid w:val="0069166E"/>
    <w:rsid w:val="00691E4E"/>
    <w:rsid w:val="00692C46"/>
    <w:rsid w:val="00693363"/>
    <w:rsid w:val="006937B2"/>
    <w:rsid w:val="00697CA5"/>
    <w:rsid w:val="006A4F15"/>
    <w:rsid w:val="006A6617"/>
    <w:rsid w:val="006B275E"/>
    <w:rsid w:val="006C2287"/>
    <w:rsid w:val="006C3940"/>
    <w:rsid w:val="006C4EFB"/>
    <w:rsid w:val="006C6AEB"/>
    <w:rsid w:val="006E0BE0"/>
    <w:rsid w:val="006E0D0B"/>
    <w:rsid w:val="006F0F01"/>
    <w:rsid w:val="00705817"/>
    <w:rsid w:val="00706512"/>
    <w:rsid w:val="00707572"/>
    <w:rsid w:val="007133C7"/>
    <w:rsid w:val="00714E07"/>
    <w:rsid w:val="007150B0"/>
    <w:rsid w:val="00715277"/>
    <w:rsid w:val="007156EA"/>
    <w:rsid w:val="007164C8"/>
    <w:rsid w:val="00717325"/>
    <w:rsid w:val="00720701"/>
    <w:rsid w:val="00727846"/>
    <w:rsid w:val="0073144D"/>
    <w:rsid w:val="0073279A"/>
    <w:rsid w:val="00733978"/>
    <w:rsid w:val="00734CD3"/>
    <w:rsid w:val="00740D93"/>
    <w:rsid w:val="00746AAD"/>
    <w:rsid w:val="0074738F"/>
    <w:rsid w:val="0075200A"/>
    <w:rsid w:val="00752A78"/>
    <w:rsid w:val="00770799"/>
    <w:rsid w:val="007709E4"/>
    <w:rsid w:val="00772597"/>
    <w:rsid w:val="007740A7"/>
    <w:rsid w:val="0078732C"/>
    <w:rsid w:val="007874DA"/>
    <w:rsid w:val="00793895"/>
    <w:rsid w:val="00797FBD"/>
    <w:rsid w:val="0079AB85"/>
    <w:rsid w:val="007A3CC8"/>
    <w:rsid w:val="007A42EA"/>
    <w:rsid w:val="007A5039"/>
    <w:rsid w:val="007A6DD4"/>
    <w:rsid w:val="007A6E73"/>
    <w:rsid w:val="007A7BEB"/>
    <w:rsid w:val="007C0157"/>
    <w:rsid w:val="007C3A19"/>
    <w:rsid w:val="007C3FF0"/>
    <w:rsid w:val="007C462E"/>
    <w:rsid w:val="007C47C0"/>
    <w:rsid w:val="007C4D36"/>
    <w:rsid w:val="007C520D"/>
    <w:rsid w:val="007D3302"/>
    <w:rsid w:val="007E2C7F"/>
    <w:rsid w:val="007E35DB"/>
    <w:rsid w:val="007E3B6A"/>
    <w:rsid w:val="007F083D"/>
    <w:rsid w:val="007F2B49"/>
    <w:rsid w:val="007F3BBB"/>
    <w:rsid w:val="00810AB2"/>
    <w:rsid w:val="008117C1"/>
    <w:rsid w:val="00814602"/>
    <w:rsid w:val="00815D98"/>
    <w:rsid w:val="00820271"/>
    <w:rsid w:val="0082171C"/>
    <w:rsid w:val="008222C2"/>
    <w:rsid w:val="00823146"/>
    <w:rsid w:val="008250C1"/>
    <w:rsid w:val="00826F94"/>
    <w:rsid w:val="00827CB9"/>
    <w:rsid w:val="008305A8"/>
    <w:rsid w:val="0083062E"/>
    <w:rsid w:val="0083565A"/>
    <w:rsid w:val="00841FED"/>
    <w:rsid w:val="00842469"/>
    <w:rsid w:val="00846185"/>
    <w:rsid w:val="008465CE"/>
    <w:rsid w:val="00850127"/>
    <w:rsid w:val="00850FBA"/>
    <w:rsid w:val="008514DA"/>
    <w:rsid w:val="008549F9"/>
    <w:rsid w:val="00856C42"/>
    <w:rsid w:val="008570F7"/>
    <w:rsid w:val="00860EC2"/>
    <w:rsid w:val="00864167"/>
    <w:rsid w:val="00864AA0"/>
    <w:rsid w:val="008664C0"/>
    <w:rsid w:val="008692D9"/>
    <w:rsid w:val="00873DC8"/>
    <w:rsid w:val="00875847"/>
    <w:rsid w:val="00882EB3"/>
    <w:rsid w:val="0089674C"/>
    <w:rsid w:val="008A02A8"/>
    <w:rsid w:val="008A0A19"/>
    <w:rsid w:val="008A42BE"/>
    <w:rsid w:val="008A64CB"/>
    <w:rsid w:val="008A78B3"/>
    <w:rsid w:val="008B19AD"/>
    <w:rsid w:val="008B19C3"/>
    <w:rsid w:val="008B2217"/>
    <w:rsid w:val="008B36E0"/>
    <w:rsid w:val="008C2377"/>
    <w:rsid w:val="008C2538"/>
    <w:rsid w:val="008C3236"/>
    <w:rsid w:val="008CFD4E"/>
    <w:rsid w:val="008D17FB"/>
    <w:rsid w:val="008D40AF"/>
    <w:rsid w:val="008E27DA"/>
    <w:rsid w:val="008E30F2"/>
    <w:rsid w:val="008F2AA8"/>
    <w:rsid w:val="00903325"/>
    <w:rsid w:val="0090490A"/>
    <w:rsid w:val="00904F15"/>
    <w:rsid w:val="009101F0"/>
    <w:rsid w:val="00915281"/>
    <w:rsid w:val="00917939"/>
    <w:rsid w:val="00917E77"/>
    <w:rsid w:val="0092051F"/>
    <w:rsid w:val="009239D7"/>
    <w:rsid w:val="00926800"/>
    <w:rsid w:val="009279B0"/>
    <w:rsid w:val="00927E7D"/>
    <w:rsid w:val="00934DF9"/>
    <w:rsid w:val="00935769"/>
    <w:rsid w:val="00946656"/>
    <w:rsid w:val="00947313"/>
    <w:rsid w:val="00950985"/>
    <w:rsid w:val="0095310E"/>
    <w:rsid w:val="00955A00"/>
    <w:rsid w:val="0095720A"/>
    <w:rsid w:val="00957894"/>
    <w:rsid w:val="00961B39"/>
    <w:rsid w:val="00964F01"/>
    <w:rsid w:val="009673F8"/>
    <w:rsid w:val="009706E5"/>
    <w:rsid w:val="00974B94"/>
    <w:rsid w:val="009751B6"/>
    <w:rsid w:val="00976915"/>
    <w:rsid w:val="009825E5"/>
    <w:rsid w:val="00983F59"/>
    <w:rsid w:val="00987C83"/>
    <w:rsid w:val="00990235"/>
    <w:rsid w:val="00990B1B"/>
    <w:rsid w:val="00996176"/>
    <w:rsid w:val="009A1DEE"/>
    <w:rsid w:val="009A2B50"/>
    <w:rsid w:val="009A4819"/>
    <w:rsid w:val="009B4575"/>
    <w:rsid w:val="009B4E43"/>
    <w:rsid w:val="009C332F"/>
    <w:rsid w:val="009C657A"/>
    <w:rsid w:val="009D1DCF"/>
    <w:rsid w:val="009D38BE"/>
    <w:rsid w:val="009E0A20"/>
    <w:rsid w:val="00A06969"/>
    <w:rsid w:val="00A13439"/>
    <w:rsid w:val="00A13A15"/>
    <w:rsid w:val="00A148F4"/>
    <w:rsid w:val="00A15002"/>
    <w:rsid w:val="00A23049"/>
    <w:rsid w:val="00A23636"/>
    <w:rsid w:val="00A24329"/>
    <w:rsid w:val="00A2488C"/>
    <w:rsid w:val="00A27749"/>
    <w:rsid w:val="00A317B1"/>
    <w:rsid w:val="00A317E3"/>
    <w:rsid w:val="00A327E5"/>
    <w:rsid w:val="00A35A80"/>
    <w:rsid w:val="00A3CEB5"/>
    <w:rsid w:val="00A403DE"/>
    <w:rsid w:val="00A40853"/>
    <w:rsid w:val="00A52F00"/>
    <w:rsid w:val="00A53182"/>
    <w:rsid w:val="00A539B1"/>
    <w:rsid w:val="00A56F47"/>
    <w:rsid w:val="00A62D42"/>
    <w:rsid w:val="00A6642D"/>
    <w:rsid w:val="00A725C4"/>
    <w:rsid w:val="00A73266"/>
    <w:rsid w:val="00A760AA"/>
    <w:rsid w:val="00A8352E"/>
    <w:rsid w:val="00A91C5D"/>
    <w:rsid w:val="00A95D42"/>
    <w:rsid w:val="00AA3686"/>
    <w:rsid w:val="00AB1C82"/>
    <w:rsid w:val="00AB20C2"/>
    <w:rsid w:val="00AB2C24"/>
    <w:rsid w:val="00AB31BB"/>
    <w:rsid w:val="00AC1E3E"/>
    <w:rsid w:val="00AC2C96"/>
    <w:rsid w:val="00AC459E"/>
    <w:rsid w:val="00AC579D"/>
    <w:rsid w:val="00AD0FE9"/>
    <w:rsid w:val="00AD1818"/>
    <w:rsid w:val="00AD6179"/>
    <w:rsid w:val="00AD79E9"/>
    <w:rsid w:val="00AD7FD1"/>
    <w:rsid w:val="00AE0966"/>
    <w:rsid w:val="00AE2CB0"/>
    <w:rsid w:val="00AE2F98"/>
    <w:rsid w:val="00AE32FD"/>
    <w:rsid w:val="00AE34BB"/>
    <w:rsid w:val="00AE75FD"/>
    <w:rsid w:val="00AF0F21"/>
    <w:rsid w:val="00AF154D"/>
    <w:rsid w:val="00AF3D53"/>
    <w:rsid w:val="00AF534F"/>
    <w:rsid w:val="00AF6CE9"/>
    <w:rsid w:val="00B0753C"/>
    <w:rsid w:val="00B110AA"/>
    <w:rsid w:val="00B11F2E"/>
    <w:rsid w:val="00B21B2B"/>
    <w:rsid w:val="00B24023"/>
    <w:rsid w:val="00B24092"/>
    <w:rsid w:val="00B24E66"/>
    <w:rsid w:val="00B2501E"/>
    <w:rsid w:val="00B260E8"/>
    <w:rsid w:val="00B42E89"/>
    <w:rsid w:val="00B4329D"/>
    <w:rsid w:val="00B4538E"/>
    <w:rsid w:val="00B466F7"/>
    <w:rsid w:val="00B50639"/>
    <w:rsid w:val="00B53287"/>
    <w:rsid w:val="00B62205"/>
    <w:rsid w:val="00B63C3D"/>
    <w:rsid w:val="00B67DE2"/>
    <w:rsid w:val="00B761FD"/>
    <w:rsid w:val="00B77B82"/>
    <w:rsid w:val="00B87895"/>
    <w:rsid w:val="00B930DA"/>
    <w:rsid w:val="00BA2D9C"/>
    <w:rsid w:val="00BB0D4D"/>
    <w:rsid w:val="00BB1135"/>
    <w:rsid w:val="00BB1836"/>
    <w:rsid w:val="00BB30DE"/>
    <w:rsid w:val="00BB4597"/>
    <w:rsid w:val="00BC453D"/>
    <w:rsid w:val="00BD02BC"/>
    <w:rsid w:val="00BD0F37"/>
    <w:rsid w:val="00BD4FAD"/>
    <w:rsid w:val="00BE04E9"/>
    <w:rsid w:val="00BE0703"/>
    <w:rsid w:val="00BE3363"/>
    <w:rsid w:val="00BE76D0"/>
    <w:rsid w:val="00BF1610"/>
    <w:rsid w:val="00BF24F7"/>
    <w:rsid w:val="00C00553"/>
    <w:rsid w:val="00C039B0"/>
    <w:rsid w:val="00C0442B"/>
    <w:rsid w:val="00C05A0C"/>
    <w:rsid w:val="00C244CA"/>
    <w:rsid w:val="00C255FC"/>
    <w:rsid w:val="00C26E4C"/>
    <w:rsid w:val="00C35BB3"/>
    <w:rsid w:val="00C360B5"/>
    <w:rsid w:val="00C40AF1"/>
    <w:rsid w:val="00C43C29"/>
    <w:rsid w:val="00C43F5F"/>
    <w:rsid w:val="00C51438"/>
    <w:rsid w:val="00C62A18"/>
    <w:rsid w:val="00C63B45"/>
    <w:rsid w:val="00C6419C"/>
    <w:rsid w:val="00C65623"/>
    <w:rsid w:val="00C67E5C"/>
    <w:rsid w:val="00C70421"/>
    <w:rsid w:val="00C706EF"/>
    <w:rsid w:val="00C737C7"/>
    <w:rsid w:val="00C741F9"/>
    <w:rsid w:val="00C74871"/>
    <w:rsid w:val="00C74BC1"/>
    <w:rsid w:val="00C801ED"/>
    <w:rsid w:val="00C81E50"/>
    <w:rsid w:val="00C83C4A"/>
    <w:rsid w:val="00C84B47"/>
    <w:rsid w:val="00C85C82"/>
    <w:rsid w:val="00C85DDD"/>
    <w:rsid w:val="00C86030"/>
    <w:rsid w:val="00C95092"/>
    <w:rsid w:val="00C95F70"/>
    <w:rsid w:val="00CA4613"/>
    <w:rsid w:val="00CB41A9"/>
    <w:rsid w:val="00CB53C1"/>
    <w:rsid w:val="00CB78E8"/>
    <w:rsid w:val="00CB7B3D"/>
    <w:rsid w:val="00CC38CE"/>
    <w:rsid w:val="00CC43F3"/>
    <w:rsid w:val="00CC7817"/>
    <w:rsid w:val="00CC7A5D"/>
    <w:rsid w:val="00CD35BB"/>
    <w:rsid w:val="00CD402F"/>
    <w:rsid w:val="00CD6C0B"/>
    <w:rsid w:val="00CD7371"/>
    <w:rsid w:val="00CD79AB"/>
    <w:rsid w:val="00CE29F5"/>
    <w:rsid w:val="00CE3B68"/>
    <w:rsid w:val="00CE5FE3"/>
    <w:rsid w:val="00CF6E61"/>
    <w:rsid w:val="00D0099F"/>
    <w:rsid w:val="00D00D08"/>
    <w:rsid w:val="00D07C81"/>
    <w:rsid w:val="00D10A06"/>
    <w:rsid w:val="00D14439"/>
    <w:rsid w:val="00D2308C"/>
    <w:rsid w:val="00D2505A"/>
    <w:rsid w:val="00D3014C"/>
    <w:rsid w:val="00D30E19"/>
    <w:rsid w:val="00D33CBE"/>
    <w:rsid w:val="00D35F0D"/>
    <w:rsid w:val="00D36719"/>
    <w:rsid w:val="00D36D79"/>
    <w:rsid w:val="00D37745"/>
    <w:rsid w:val="00D3EA3D"/>
    <w:rsid w:val="00D40BCD"/>
    <w:rsid w:val="00D44B58"/>
    <w:rsid w:val="00D501C0"/>
    <w:rsid w:val="00D50625"/>
    <w:rsid w:val="00D54D86"/>
    <w:rsid w:val="00D54ED1"/>
    <w:rsid w:val="00D5654F"/>
    <w:rsid w:val="00D6443A"/>
    <w:rsid w:val="00D65F7E"/>
    <w:rsid w:val="00D666E0"/>
    <w:rsid w:val="00D7278C"/>
    <w:rsid w:val="00D7706C"/>
    <w:rsid w:val="00D85590"/>
    <w:rsid w:val="00D8CD74"/>
    <w:rsid w:val="00D9068C"/>
    <w:rsid w:val="00D92152"/>
    <w:rsid w:val="00D922B3"/>
    <w:rsid w:val="00D92E7D"/>
    <w:rsid w:val="00D97BD5"/>
    <w:rsid w:val="00DA1DB8"/>
    <w:rsid w:val="00DA3C99"/>
    <w:rsid w:val="00DA432F"/>
    <w:rsid w:val="00DA5A6B"/>
    <w:rsid w:val="00DA7C36"/>
    <w:rsid w:val="00DB2B27"/>
    <w:rsid w:val="00DC3C80"/>
    <w:rsid w:val="00DC4901"/>
    <w:rsid w:val="00DC6339"/>
    <w:rsid w:val="00DD1CA5"/>
    <w:rsid w:val="00DD2885"/>
    <w:rsid w:val="00DD2F01"/>
    <w:rsid w:val="00DD37DA"/>
    <w:rsid w:val="00DD6118"/>
    <w:rsid w:val="00DD7B8C"/>
    <w:rsid w:val="00DE14B0"/>
    <w:rsid w:val="00DE24BA"/>
    <w:rsid w:val="00DE2F84"/>
    <w:rsid w:val="00DE685B"/>
    <w:rsid w:val="00DF70D0"/>
    <w:rsid w:val="00DF7A21"/>
    <w:rsid w:val="00DF9DDC"/>
    <w:rsid w:val="00E00608"/>
    <w:rsid w:val="00E031B3"/>
    <w:rsid w:val="00E048AE"/>
    <w:rsid w:val="00E1451E"/>
    <w:rsid w:val="00E169DA"/>
    <w:rsid w:val="00E229A3"/>
    <w:rsid w:val="00E25E44"/>
    <w:rsid w:val="00E37394"/>
    <w:rsid w:val="00E40BBC"/>
    <w:rsid w:val="00E4108B"/>
    <w:rsid w:val="00E41EE7"/>
    <w:rsid w:val="00E45ECC"/>
    <w:rsid w:val="00E469CF"/>
    <w:rsid w:val="00E50FC0"/>
    <w:rsid w:val="00E618F0"/>
    <w:rsid w:val="00E63272"/>
    <w:rsid w:val="00E64438"/>
    <w:rsid w:val="00E65E2C"/>
    <w:rsid w:val="00E66084"/>
    <w:rsid w:val="00E7471E"/>
    <w:rsid w:val="00E75E9F"/>
    <w:rsid w:val="00E76886"/>
    <w:rsid w:val="00E7736F"/>
    <w:rsid w:val="00E83B8C"/>
    <w:rsid w:val="00E912B2"/>
    <w:rsid w:val="00E9282E"/>
    <w:rsid w:val="00E932EC"/>
    <w:rsid w:val="00E93D5F"/>
    <w:rsid w:val="00E979E7"/>
    <w:rsid w:val="00E98DB8"/>
    <w:rsid w:val="00EA4E8F"/>
    <w:rsid w:val="00EA53CE"/>
    <w:rsid w:val="00EA711C"/>
    <w:rsid w:val="00EB0B8E"/>
    <w:rsid w:val="00EB2104"/>
    <w:rsid w:val="00EB31C6"/>
    <w:rsid w:val="00EC1CBE"/>
    <w:rsid w:val="00EE0FA4"/>
    <w:rsid w:val="00EE2121"/>
    <w:rsid w:val="00EE5958"/>
    <w:rsid w:val="00EF0AE0"/>
    <w:rsid w:val="00EF39BE"/>
    <w:rsid w:val="00EF4A76"/>
    <w:rsid w:val="00F031DE"/>
    <w:rsid w:val="00F03826"/>
    <w:rsid w:val="00F04DF5"/>
    <w:rsid w:val="00F1084C"/>
    <w:rsid w:val="00F159A8"/>
    <w:rsid w:val="00F15EB1"/>
    <w:rsid w:val="00F20C80"/>
    <w:rsid w:val="00F2628B"/>
    <w:rsid w:val="00F272B7"/>
    <w:rsid w:val="00F2EE16"/>
    <w:rsid w:val="00F3084E"/>
    <w:rsid w:val="00F309D1"/>
    <w:rsid w:val="00F32DB8"/>
    <w:rsid w:val="00F331D6"/>
    <w:rsid w:val="00F358B1"/>
    <w:rsid w:val="00F403F3"/>
    <w:rsid w:val="00F42A65"/>
    <w:rsid w:val="00F44C1A"/>
    <w:rsid w:val="00F475D6"/>
    <w:rsid w:val="00F50535"/>
    <w:rsid w:val="00F57B85"/>
    <w:rsid w:val="00F652A7"/>
    <w:rsid w:val="00F66F3A"/>
    <w:rsid w:val="00F679B4"/>
    <w:rsid w:val="00F703E6"/>
    <w:rsid w:val="00F70748"/>
    <w:rsid w:val="00F726BD"/>
    <w:rsid w:val="00F73063"/>
    <w:rsid w:val="00F73BB7"/>
    <w:rsid w:val="00F81A1B"/>
    <w:rsid w:val="00F8305A"/>
    <w:rsid w:val="00F86CFB"/>
    <w:rsid w:val="00F96128"/>
    <w:rsid w:val="00F966BF"/>
    <w:rsid w:val="00FB0539"/>
    <w:rsid w:val="00FB279B"/>
    <w:rsid w:val="00FB3F43"/>
    <w:rsid w:val="00FCB498"/>
    <w:rsid w:val="00FD34A4"/>
    <w:rsid w:val="00FD5C4D"/>
    <w:rsid w:val="00FD7F2F"/>
    <w:rsid w:val="00FE0FD5"/>
    <w:rsid w:val="00FE1BC4"/>
    <w:rsid w:val="00FE5CBE"/>
    <w:rsid w:val="00FEE04F"/>
    <w:rsid w:val="00FF5119"/>
    <w:rsid w:val="010A05BA"/>
    <w:rsid w:val="010A8741"/>
    <w:rsid w:val="010F5FEA"/>
    <w:rsid w:val="013FBB94"/>
    <w:rsid w:val="01444E7B"/>
    <w:rsid w:val="0144F1DA"/>
    <w:rsid w:val="0153F00E"/>
    <w:rsid w:val="015A248B"/>
    <w:rsid w:val="01619197"/>
    <w:rsid w:val="017C09CA"/>
    <w:rsid w:val="0187B391"/>
    <w:rsid w:val="0190AD23"/>
    <w:rsid w:val="01B950F3"/>
    <w:rsid w:val="01C7DF90"/>
    <w:rsid w:val="01CBA99B"/>
    <w:rsid w:val="01D4D5E9"/>
    <w:rsid w:val="01DF2463"/>
    <w:rsid w:val="020ED5D1"/>
    <w:rsid w:val="025187A9"/>
    <w:rsid w:val="02648027"/>
    <w:rsid w:val="027ADC0A"/>
    <w:rsid w:val="02850E7A"/>
    <w:rsid w:val="02926979"/>
    <w:rsid w:val="02AB2B2D"/>
    <w:rsid w:val="02B0E198"/>
    <w:rsid w:val="02B51D96"/>
    <w:rsid w:val="02DBF69D"/>
    <w:rsid w:val="02DEC859"/>
    <w:rsid w:val="02F75081"/>
    <w:rsid w:val="02FFBC8B"/>
    <w:rsid w:val="030F41F4"/>
    <w:rsid w:val="032081F2"/>
    <w:rsid w:val="033942E6"/>
    <w:rsid w:val="034A368B"/>
    <w:rsid w:val="03686AC2"/>
    <w:rsid w:val="03784187"/>
    <w:rsid w:val="038BB6B7"/>
    <w:rsid w:val="03B11B45"/>
    <w:rsid w:val="03BBB8DB"/>
    <w:rsid w:val="03CA4691"/>
    <w:rsid w:val="03CA66CB"/>
    <w:rsid w:val="03CCF7CC"/>
    <w:rsid w:val="03D871AF"/>
    <w:rsid w:val="03E3B3A4"/>
    <w:rsid w:val="03F2D3AE"/>
    <w:rsid w:val="03FE2692"/>
    <w:rsid w:val="040C8DDD"/>
    <w:rsid w:val="040DA16D"/>
    <w:rsid w:val="042F3151"/>
    <w:rsid w:val="04382443"/>
    <w:rsid w:val="0439BB2E"/>
    <w:rsid w:val="04542733"/>
    <w:rsid w:val="04544915"/>
    <w:rsid w:val="0459BC25"/>
    <w:rsid w:val="045DE61E"/>
    <w:rsid w:val="0460B27F"/>
    <w:rsid w:val="046ED529"/>
    <w:rsid w:val="049CBA3D"/>
    <w:rsid w:val="04ABF01F"/>
    <w:rsid w:val="04AF89D6"/>
    <w:rsid w:val="04BDC478"/>
    <w:rsid w:val="04D5295F"/>
    <w:rsid w:val="04F0164F"/>
    <w:rsid w:val="04F0C3EC"/>
    <w:rsid w:val="050B17E3"/>
    <w:rsid w:val="051F0B6B"/>
    <w:rsid w:val="053D1531"/>
    <w:rsid w:val="05421680"/>
    <w:rsid w:val="05453FCD"/>
    <w:rsid w:val="056AB2FC"/>
    <w:rsid w:val="057101B6"/>
    <w:rsid w:val="057D29FF"/>
    <w:rsid w:val="05AF7666"/>
    <w:rsid w:val="05BFB898"/>
    <w:rsid w:val="05E1AFCC"/>
    <w:rsid w:val="05EA0224"/>
    <w:rsid w:val="05F4F4A1"/>
    <w:rsid w:val="05FC9EA5"/>
    <w:rsid w:val="0605F1BA"/>
    <w:rsid w:val="061899A2"/>
    <w:rsid w:val="0635B461"/>
    <w:rsid w:val="06403508"/>
    <w:rsid w:val="0653B405"/>
    <w:rsid w:val="0666C270"/>
    <w:rsid w:val="06696410"/>
    <w:rsid w:val="0674A0DB"/>
    <w:rsid w:val="067720CA"/>
    <w:rsid w:val="0687BFCC"/>
    <w:rsid w:val="06A062B9"/>
    <w:rsid w:val="06A28C01"/>
    <w:rsid w:val="06A2CFA0"/>
    <w:rsid w:val="06BD5170"/>
    <w:rsid w:val="06BEBB18"/>
    <w:rsid w:val="06C5A939"/>
    <w:rsid w:val="06C6EBA8"/>
    <w:rsid w:val="06CE8249"/>
    <w:rsid w:val="06CFC23F"/>
    <w:rsid w:val="06D2270B"/>
    <w:rsid w:val="06D34D52"/>
    <w:rsid w:val="06DD801F"/>
    <w:rsid w:val="06E2E8A0"/>
    <w:rsid w:val="07046E4D"/>
    <w:rsid w:val="0704E98A"/>
    <w:rsid w:val="07467BB6"/>
    <w:rsid w:val="074A2263"/>
    <w:rsid w:val="0753D610"/>
    <w:rsid w:val="075744C4"/>
    <w:rsid w:val="07899924"/>
    <w:rsid w:val="07B71120"/>
    <w:rsid w:val="07CFFF34"/>
    <w:rsid w:val="07F46FA3"/>
    <w:rsid w:val="07F5FC30"/>
    <w:rsid w:val="07FF9684"/>
    <w:rsid w:val="08030D3D"/>
    <w:rsid w:val="080FD23B"/>
    <w:rsid w:val="08188B39"/>
    <w:rsid w:val="08209FD6"/>
    <w:rsid w:val="082EDBB9"/>
    <w:rsid w:val="0837440E"/>
    <w:rsid w:val="087037DC"/>
    <w:rsid w:val="0881D377"/>
    <w:rsid w:val="088ECD8A"/>
    <w:rsid w:val="08C2D975"/>
    <w:rsid w:val="08CE0C09"/>
    <w:rsid w:val="08CE4C1F"/>
    <w:rsid w:val="08DCB8F8"/>
    <w:rsid w:val="08E71091"/>
    <w:rsid w:val="08F1FD71"/>
    <w:rsid w:val="08F963F6"/>
    <w:rsid w:val="091AEE5E"/>
    <w:rsid w:val="09292DF7"/>
    <w:rsid w:val="092A7643"/>
    <w:rsid w:val="092E0CB1"/>
    <w:rsid w:val="0930C52D"/>
    <w:rsid w:val="0967C768"/>
    <w:rsid w:val="0969F2F3"/>
    <w:rsid w:val="0971ED63"/>
    <w:rsid w:val="097A31B9"/>
    <w:rsid w:val="098C9249"/>
    <w:rsid w:val="09A7E6B9"/>
    <w:rsid w:val="09AA5F34"/>
    <w:rsid w:val="09C088AE"/>
    <w:rsid w:val="09C0DA86"/>
    <w:rsid w:val="09C803BE"/>
    <w:rsid w:val="09D710B3"/>
    <w:rsid w:val="09D8E391"/>
    <w:rsid w:val="09DA2D3E"/>
    <w:rsid w:val="09E2A3A9"/>
    <w:rsid w:val="0A1E9FC6"/>
    <w:rsid w:val="0A2B5ECD"/>
    <w:rsid w:val="0A2CA01D"/>
    <w:rsid w:val="0A346714"/>
    <w:rsid w:val="0A4688E9"/>
    <w:rsid w:val="0A47FD99"/>
    <w:rsid w:val="0A52AA10"/>
    <w:rsid w:val="0A6572B1"/>
    <w:rsid w:val="0A676752"/>
    <w:rsid w:val="0A73C04C"/>
    <w:rsid w:val="0A78F562"/>
    <w:rsid w:val="0A87D403"/>
    <w:rsid w:val="0A93A502"/>
    <w:rsid w:val="0A96F869"/>
    <w:rsid w:val="0A9DEFD2"/>
    <w:rsid w:val="0AA57D6B"/>
    <w:rsid w:val="0AA8248E"/>
    <w:rsid w:val="0AA9530F"/>
    <w:rsid w:val="0AAC579E"/>
    <w:rsid w:val="0ACE07E3"/>
    <w:rsid w:val="0AD2511A"/>
    <w:rsid w:val="0AD5B6E1"/>
    <w:rsid w:val="0ADFEF71"/>
    <w:rsid w:val="0AE9567F"/>
    <w:rsid w:val="0B052B1C"/>
    <w:rsid w:val="0B17EC4C"/>
    <w:rsid w:val="0B2E946B"/>
    <w:rsid w:val="0B3F06A3"/>
    <w:rsid w:val="0B439395"/>
    <w:rsid w:val="0B4A3DC5"/>
    <w:rsid w:val="0B525557"/>
    <w:rsid w:val="0B57F433"/>
    <w:rsid w:val="0B6A04F1"/>
    <w:rsid w:val="0B6DAED8"/>
    <w:rsid w:val="0B74BC53"/>
    <w:rsid w:val="0B7A4382"/>
    <w:rsid w:val="0B8101B3"/>
    <w:rsid w:val="0B9D7335"/>
    <w:rsid w:val="0BB0A4C4"/>
    <w:rsid w:val="0BB403C2"/>
    <w:rsid w:val="0BC7CA18"/>
    <w:rsid w:val="0BCAB30B"/>
    <w:rsid w:val="0BD64B92"/>
    <w:rsid w:val="0BE490B3"/>
    <w:rsid w:val="0C054775"/>
    <w:rsid w:val="0C1D46AB"/>
    <w:rsid w:val="0C313CBE"/>
    <w:rsid w:val="0C3C51C8"/>
    <w:rsid w:val="0C5DAEBB"/>
    <w:rsid w:val="0C61942E"/>
    <w:rsid w:val="0C6D5D46"/>
    <w:rsid w:val="0C6DEC92"/>
    <w:rsid w:val="0C8F2AB5"/>
    <w:rsid w:val="0C8FABC7"/>
    <w:rsid w:val="0C99E158"/>
    <w:rsid w:val="0C9A4039"/>
    <w:rsid w:val="0C9BB022"/>
    <w:rsid w:val="0CA2E1D3"/>
    <w:rsid w:val="0CB27C3D"/>
    <w:rsid w:val="0CB311B5"/>
    <w:rsid w:val="0CB363C1"/>
    <w:rsid w:val="0CC89C1C"/>
    <w:rsid w:val="0CE2CA82"/>
    <w:rsid w:val="0CF62B67"/>
    <w:rsid w:val="0CFDB1E1"/>
    <w:rsid w:val="0D11996D"/>
    <w:rsid w:val="0D2FF7D0"/>
    <w:rsid w:val="0D385154"/>
    <w:rsid w:val="0D39D978"/>
    <w:rsid w:val="0D3A05F5"/>
    <w:rsid w:val="0D3C3DCD"/>
    <w:rsid w:val="0D3EF8C6"/>
    <w:rsid w:val="0D3FE211"/>
    <w:rsid w:val="0D489EAA"/>
    <w:rsid w:val="0D48A166"/>
    <w:rsid w:val="0D492505"/>
    <w:rsid w:val="0D572812"/>
    <w:rsid w:val="0D64C128"/>
    <w:rsid w:val="0D6AB33D"/>
    <w:rsid w:val="0D74F110"/>
    <w:rsid w:val="0D7AB6C5"/>
    <w:rsid w:val="0D7B6EBE"/>
    <w:rsid w:val="0D7FA034"/>
    <w:rsid w:val="0D8D213B"/>
    <w:rsid w:val="0DA8C95C"/>
    <w:rsid w:val="0DB45E25"/>
    <w:rsid w:val="0DB8E131"/>
    <w:rsid w:val="0DBB52E8"/>
    <w:rsid w:val="0E140CAE"/>
    <w:rsid w:val="0E288998"/>
    <w:rsid w:val="0E37E1D2"/>
    <w:rsid w:val="0E5272AD"/>
    <w:rsid w:val="0E54BCA9"/>
    <w:rsid w:val="0E62A846"/>
    <w:rsid w:val="0E715F70"/>
    <w:rsid w:val="0E78DB51"/>
    <w:rsid w:val="0E8EF834"/>
    <w:rsid w:val="0E930D44"/>
    <w:rsid w:val="0EA11D3C"/>
    <w:rsid w:val="0EA52D89"/>
    <w:rsid w:val="0EADB5EC"/>
    <w:rsid w:val="0EC6E118"/>
    <w:rsid w:val="0EC8509F"/>
    <w:rsid w:val="0ED42B25"/>
    <w:rsid w:val="0ED80D26"/>
    <w:rsid w:val="0F01FD3C"/>
    <w:rsid w:val="0F116FD7"/>
    <w:rsid w:val="0F225940"/>
    <w:rsid w:val="0F253434"/>
    <w:rsid w:val="0F307660"/>
    <w:rsid w:val="0F35166F"/>
    <w:rsid w:val="0F3BEE9C"/>
    <w:rsid w:val="0F4A2622"/>
    <w:rsid w:val="0F4B187F"/>
    <w:rsid w:val="0F4BA9B6"/>
    <w:rsid w:val="0F70950A"/>
    <w:rsid w:val="0F793A49"/>
    <w:rsid w:val="0F827AF7"/>
    <w:rsid w:val="0F94A06C"/>
    <w:rsid w:val="0FB25457"/>
    <w:rsid w:val="0FB7504B"/>
    <w:rsid w:val="0FB87BA6"/>
    <w:rsid w:val="0FC12F12"/>
    <w:rsid w:val="0FC22FB9"/>
    <w:rsid w:val="0FC64B13"/>
    <w:rsid w:val="0FCCE816"/>
    <w:rsid w:val="0FF3919F"/>
    <w:rsid w:val="100471C6"/>
    <w:rsid w:val="10056456"/>
    <w:rsid w:val="100979BC"/>
    <w:rsid w:val="1011B100"/>
    <w:rsid w:val="1034616E"/>
    <w:rsid w:val="1035688E"/>
    <w:rsid w:val="1041909E"/>
    <w:rsid w:val="104BF9F8"/>
    <w:rsid w:val="106160E2"/>
    <w:rsid w:val="106727D3"/>
    <w:rsid w:val="106D44A3"/>
    <w:rsid w:val="10750583"/>
    <w:rsid w:val="1079A3D8"/>
    <w:rsid w:val="107FE524"/>
    <w:rsid w:val="1080519C"/>
    <w:rsid w:val="108EB308"/>
    <w:rsid w:val="10BE2E8A"/>
    <w:rsid w:val="10D57D90"/>
    <w:rsid w:val="10D5CBE7"/>
    <w:rsid w:val="10E93E85"/>
    <w:rsid w:val="10F1AFC3"/>
    <w:rsid w:val="110D4E8E"/>
    <w:rsid w:val="110F542D"/>
    <w:rsid w:val="111D0E3B"/>
    <w:rsid w:val="1120728D"/>
    <w:rsid w:val="112556FB"/>
    <w:rsid w:val="11392CF4"/>
    <w:rsid w:val="11553A2D"/>
    <w:rsid w:val="11646D22"/>
    <w:rsid w:val="11653B90"/>
    <w:rsid w:val="1189579B"/>
    <w:rsid w:val="118BB9E5"/>
    <w:rsid w:val="11A2C3BB"/>
    <w:rsid w:val="11A7AE5B"/>
    <w:rsid w:val="11ABB59B"/>
    <w:rsid w:val="11B07315"/>
    <w:rsid w:val="11BB1952"/>
    <w:rsid w:val="11C0D7A5"/>
    <w:rsid w:val="11CD1923"/>
    <w:rsid w:val="11D4C12E"/>
    <w:rsid w:val="11ED9FDA"/>
    <w:rsid w:val="1210E8F7"/>
    <w:rsid w:val="1211EA18"/>
    <w:rsid w:val="121B7527"/>
    <w:rsid w:val="1235099B"/>
    <w:rsid w:val="123546D4"/>
    <w:rsid w:val="12489727"/>
    <w:rsid w:val="1265805F"/>
    <w:rsid w:val="127D808F"/>
    <w:rsid w:val="127F1FC6"/>
    <w:rsid w:val="128A581E"/>
    <w:rsid w:val="12948C43"/>
    <w:rsid w:val="129E4CFC"/>
    <w:rsid w:val="12A96A24"/>
    <w:rsid w:val="12AAEEFC"/>
    <w:rsid w:val="12B37DE9"/>
    <w:rsid w:val="12B3B7CA"/>
    <w:rsid w:val="12C1ACD7"/>
    <w:rsid w:val="12C7A7C2"/>
    <w:rsid w:val="12D4FB62"/>
    <w:rsid w:val="12DAA0D3"/>
    <w:rsid w:val="12DD4B9B"/>
    <w:rsid w:val="12E2687F"/>
    <w:rsid w:val="12EE61C9"/>
    <w:rsid w:val="1315D833"/>
    <w:rsid w:val="1320DA1F"/>
    <w:rsid w:val="1327C69C"/>
    <w:rsid w:val="132B2F0A"/>
    <w:rsid w:val="133BEAD8"/>
    <w:rsid w:val="133CBFC5"/>
    <w:rsid w:val="133E1341"/>
    <w:rsid w:val="134686F7"/>
    <w:rsid w:val="135D86EA"/>
    <w:rsid w:val="13615C7C"/>
    <w:rsid w:val="136E4CAE"/>
    <w:rsid w:val="1372240A"/>
    <w:rsid w:val="1378C3BB"/>
    <w:rsid w:val="13802274"/>
    <w:rsid w:val="1391AC48"/>
    <w:rsid w:val="139BAFBC"/>
    <w:rsid w:val="13AC51BF"/>
    <w:rsid w:val="13B8FF6B"/>
    <w:rsid w:val="13BFA058"/>
    <w:rsid w:val="13C3A9F4"/>
    <w:rsid w:val="13C7EB4E"/>
    <w:rsid w:val="13C907B4"/>
    <w:rsid w:val="13F52EBD"/>
    <w:rsid w:val="13F59BAA"/>
    <w:rsid w:val="13FE3F7C"/>
    <w:rsid w:val="14030F35"/>
    <w:rsid w:val="143FE76E"/>
    <w:rsid w:val="14972BF3"/>
    <w:rsid w:val="14A22500"/>
    <w:rsid w:val="14AFB2A9"/>
    <w:rsid w:val="14DA138E"/>
    <w:rsid w:val="14DEBA73"/>
    <w:rsid w:val="14F86E4E"/>
    <w:rsid w:val="14F8F929"/>
    <w:rsid w:val="14FB7573"/>
    <w:rsid w:val="15019667"/>
    <w:rsid w:val="151055D2"/>
    <w:rsid w:val="15143F34"/>
    <w:rsid w:val="151C348F"/>
    <w:rsid w:val="152180E3"/>
    <w:rsid w:val="1534C7DC"/>
    <w:rsid w:val="15432A64"/>
    <w:rsid w:val="15478E21"/>
    <w:rsid w:val="154D0BDF"/>
    <w:rsid w:val="154EF0FC"/>
    <w:rsid w:val="15597724"/>
    <w:rsid w:val="15871DFD"/>
    <w:rsid w:val="1589D931"/>
    <w:rsid w:val="158CC28D"/>
    <w:rsid w:val="15AF1520"/>
    <w:rsid w:val="15B0140B"/>
    <w:rsid w:val="15CEF51A"/>
    <w:rsid w:val="15D8BB61"/>
    <w:rsid w:val="15DC00A7"/>
    <w:rsid w:val="15DFBD4D"/>
    <w:rsid w:val="15E715FA"/>
    <w:rsid w:val="15EEE4AC"/>
    <w:rsid w:val="1606A545"/>
    <w:rsid w:val="160AD519"/>
    <w:rsid w:val="16180542"/>
    <w:rsid w:val="1633040D"/>
    <w:rsid w:val="1634EF72"/>
    <w:rsid w:val="1637AD8D"/>
    <w:rsid w:val="16394F24"/>
    <w:rsid w:val="1642177B"/>
    <w:rsid w:val="164B2B2A"/>
    <w:rsid w:val="164E80B9"/>
    <w:rsid w:val="165497EC"/>
    <w:rsid w:val="165E82E2"/>
    <w:rsid w:val="1662C5B9"/>
    <w:rsid w:val="16695C27"/>
    <w:rsid w:val="167332C4"/>
    <w:rsid w:val="167ADC07"/>
    <w:rsid w:val="16859D4D"/>
    <w:rsid w:val="16962CFB"/>
    <w:rsid w:val="16AEF2CD"/>
    <w:rsid w:val="16B745DC"/>
    <w:rsid w:val="16B9BA93"/>
    <w:rsid w:val="16BE9356"/>
    <w:rsid w:val="16DDB28C"/>
    <w:rsid w:val="16E0B7A0"/>
    <w:rsid w:val="16E3DEEA"/>
    <w:rsid w:val="16F30E22"/>
    <w:rsid w:val="16F8160B"/>
    <w:rsid w:val="1706C59B"/>
    <w:rsid w:val="171BC448"/>
    <w:rsid w:val="17266891"/>
    <w:rsid w:val="1729EDEA"/>
    <w:rsid w:val="17387190"/>
    <w:rsid w:val="174989EE"/>
    <w:rsid w:val="174AB472"/>
    <w:rsid w:val="174F3DE7"/>
    <w:rsid w:val="1766CA62"/>
    <w:rsid w:val="1768D9AC"/>
    <w:rsid w:val="177E4B83"/>
    <w:rsid w:val="178775B2"/>
    <w:rsid w:val="1792B0D0"/>
    <w:rsid w:val="1797C864"/>
    <w:rsid w:val="17BE6034"/>
    <w:rsid w:val="17CF8EC2"/>
    <w:rsid w:val="17E5DD75"/>
    <w:rsid w:val="17E8E516"/>
    <w:rsid w:val="17F2291B"/>
    <w:rsid w:val="17FB92DA"/>
    <w:rsid w:val="17FDC5D6"/>
    <w:rsid w:val="18008300"/>
    <w:rsid w:val="180CC203"/>
    <w:rsid w:val="180E0D2B"/>
    <w:rsid w:val="181ACE69"/>
    <w:rsid w:val="18277D0D"/>
    <w:rsid w:val="18301A16"/>
    <w:rsid w:val="18370A85"/>
    <w:rsid w:val="18372546"/>
    <w:rsid w:val="18555536"/>
    <w:rsid w:val="18580B48"/>
    <w:rsid w:val="185997CE"/>
    <w:rsid w:val="1886E7A4"/>
    <w:rsid w:val="188AF217"/>
    <w:rsid w:val="188B15C4"/>
    <w:rsid w:val="1897B070"/>
    <w:rsid w:val="18B1A1B9"/>
    <w:rsid w:val="18BB7A06"/>
    <w:rsid w:val="18EB01AC"/>
    <w:rsid w:val="18EF0920"/>
    <w:rsid w:val="18F51FEA"/>
    <w:rsid w:val="18FF7DCF"/>
    <w:rsid w:val="1904EF42"/>
    <w:rsid w:val="1910B485"/>
    <w:rsid w:val="19125BF0"/>
    <w:rsid w:val="191D6EDC"/>
    <w:rsid w:val="1924DA10"/>
    <w:rsid w:val="193A1C11"/>
    <w:rsid w:val="193CBE16"/>
    <w:rsid w:val="193ED2DD"/>
    <w:rsid w:val="1943104B"/>
    <w:rsid w:val="1950B33D"/>
    <w:rsid w:val="196A14E5"/>
    <w:rsid w:val="196CF299"/>
    <w:rsid w:val="196F9D63"/>
    <w:rsid w:val="197824D8"/>
    <w:rsid w:val="1988A286"/>
    <w:rsid w:val="19894793"/>
    <w:rsid w:val="1990BC10"/>
    <w:rsid w:val="19A0F411"/>
    <w:rsid w:val="19CE2ABF"/>
    <w:rsid w:val="19D6545B"/>
    <w:rsid w:val="19DE0B0F"/>
    <w:rsid w:val="19E30E12"/>
    <w:rsid w:val="19E55DC6"/>
    <w:rsid w:val="1A01B265"/>
    <w:rsid w:val="1A2817FE"/>
    <w:rsid w:val="1A294FF7"/>
    <w:rsid w:val="1A382853"/>
    <w:rsid w:val="1A4DDDA5"/>
    <w:rsid w:val="1A5C34A0"/>
    <w:rsid w:val="1A84EE58"/>
    <w:rsid w:val="1A8FD8A8"/>
    <w:rsid w:val="1AA5D11C"/>
    <w:rsid w:val="1AB062D2"/>
    <w:rsid w:val="1AC43B1B"/>
    <w:rsid w:val="1ACF63A9"/>
    <w:rsid w:val="1AEFE8DA"/>
    <w:rsid w:val="1AFDF6B8"/>
    <w:rsid w:val="1AFEF151"/>
    <w:rsid w:val="1B08CFF2"/>
    <w:rsid w:val="1B0961F8"/>
    <w:rsid w:val="1B0CA291"/>
    <w:rsid w:val="1B0EBBF5"/>
    <w:rsid w:val="1B201B90"/>
    <w:rsid w:val="1B31D025"/>
    <w:rsid w:val="1B507CBB"/>
    <w:rsid w:val="1B66936D"/>
    <w:rsid w:val="1B74EE2C"/>
    <w:rsid w:val="1B7627A3"/>
    <w:rsid w:val="1B7752D9"/>
    <w:rsid w:val="1B79ECAC"/>
    <w:rsid w:val="1B7C8C4F"/>
    <w:rsid w:val="1B873705"/>
    <w:rsid w:val="1B8C7DB1"/>
    <w:rsid w:val="1B9AFA9A"/>
    <w:rsid w:val="1BA72F2C"/>
    <w:rsid w:val="1BAE3C82"/>
    <w:rsid w:val="1BB54AE6"/>
    <w:rsid w:val="1BC44FA1"/>
    <w:rsid w:val="1BC7739B"/>
    <w:rsid w:val="1BDC75FA"/>
    <w:rsid w:val="1C00056C"/>
    <w:rsid w:val="1C0ED6E8"/>
    <w:rsid w:val="1C462BD2"/>
    <w:rsid w:val="1C73BAC0"/>
    <w:rsid w:val="1C749E33"/>
    <w:rsid w:val="1CB2C8F9"/>
    <w:rsid w:val="1CB47B3B"/>
    <w:rsid w:val="1CF54D75"/>
    <w:rsid w:val="1D166B1D"/>
    <w:rsid w:val="1D19E9FC"/>
    <w:rsid w:val="1D26FE64"/>
    <w:rsid w:val="1D322D9E"/>
    <w:rsid w:val="1D3C4C4D"/>
    <w:rsid w:val="1D45EBD1"/>
    <w:rsid w:val="1D4F91A8"/>
    <w:rsid w:val="1D72C69D"/>
    <w:rsid w:val="1D940641"/>
    <w:rsid w:val="1DA57D89"/>
    <w:rsid w:val="1DB08EB2"/>
    <w:rsid w:val="1DC1DC2D"/>
    <w:rsid w:val="1DDA6603"/>
    <w:rsid w:val="1DDE856F"/>
    <w:rsid w:val="1DDF9DF5"/>
    <w:rsid w:val="1DE67F03"/>
    <w:rsid w:val="1DE7E95C"/>
    <w:rsid w:val="1E025F36"/>
    <w:rsid w:val="1E0346C0"/>
    <w:rsid w:val="1E09F1D4"/>
    <w:rsid w:val="1E0CB21C"/>
    <w:rsid w:val="1E0D1A41"/>
    <w:rsid w:val="1E168E13"/>
    <w:rsid w:val="1E414223"/>
    <w:rsid w:val="1E4A23AD"/>
    <w:rsid w:val="1E4AF00B"/>
    <w:rsid w:val="1E538CA5"/>
    <w:rsid w:val="1E662860"/>
    <w:rsid w:val="1E80D781"/>
    <w:rsid w:val="1E8B3BCC"/>
    <w:rsid w:val="1E9D44F6"/>
    <w:rsid w:val="1EA0ADD0"/>
    <w:rsid w:val="1EAB4258"/>
    <w:rsid w:val="1EB58A6D"/>
    <w:rsid w:val="1EC5235A"/>
    <w:rsid w:val="1ED9F0EC"/>
    <w:rsid w:val="1EDB1F1F"/>
    <w:rsid w:val="1EF14E06"/>
    <w:rsid w:val="1F061328"/>
    <w:rsid w:val="1F0665E9"/>
    <w:rsid w:val="1F06DC93"/>
    <w:rsid w:val="1F129B3C"/>
    <w:rsid w:val="1F2431F4"/>
    <w:rsid w:val="1F30B503"/>
    <w:rsid w:val="1F3DD027"/>
    <w:rsid w:val="1F4AD030"/>
    <w:rsid w:val="1F61886F"/>
    <w:rsid w:val="1F62D791"/>
    <w:rsid w:val="1F7DB37A"/>
    <w:rsid w:val="1F866B2D"/>
    <w:rsid w:val="1F879DB6"/>
    <w:rsid w:val="1F918D85"/>
    <w:rsid w:val="1FAA2215"/>
    <w:rsid w:val="1FAC38CC"/>
    <w:rsid w:val="1FB915F5"/>
    <w:rsid w:val="1FCF596C"/>
    <w:rsid w:val="1FFD1E36"/>
    <w:rsid w:val="2011AD76"/>
    <w:rsid w:val="202C3D5D"/>
    <w:rsid w:val="202D12F2"/>
    <w:rsid w:val="20339505"/>
    <w:rsid w:val="203D0956"/>
    <w:rsid w:val="203F9896"/>
    <w:rsid w:val="204945BA"/>
    <w:rsid w:val="20760FA4"/>
    <w:rsid w:val="2080573C"/>
    <w:rsid w:val="20AEA426"/>
    <w:rsid w:val="20AF1775"/>
    <w:rsid w:val="20B33DBD"/>
    <w:rsid w:val="210E570E"/>
    <w:rsid w:val="21107024"/>
    <w:rsid w:val="2121CAE3"/>
    <w:rsid w:val="2122ABDF"/>
    <w:rsid w:val="212816C7"/>
    <w:rsid w:val="21291E86"/>
    <w:rsid w:val="21356C5E"/>
    <w:rsid w:val="213770ED"/>
    <w:rsid w:val="213ED7AD"/>
    <w:rsid w:val="21439F56"/>
    <w:rsid w:val="2144E1CC"/>
    <w:rsid w:val="216047E7"/>
    <w:rsid w:val="21631F97"/>
    <w:rsid w:val="216A9407"/>
    <w:rsid w:val="216FDE05"/>
    <w:rsid w:val="218AB35B"/>
    <w:rsid w:val="218E1C26"/>
    <w:rsid w:val="219DB415"/>
    <w:rsid w:val="21AB37EE"/>
    <w:rsid w:val="21AE3CBB"/>
    <w:rsid w:val="21AE960B"/>
    <w:rsid w:val="21B8DDF2"/>
    <w:rsid w:val="21BC3A08"/>
    <w:rsid w:val="21BD407E"/>
    <w:rsid w:val="21D1DC5B"/>
    <w:rsid w:val="21D2C6C5"/>
    <w:rsid w:val="21DB915F"/>
    <w:rsid w:val="21DF7E0D"/>
    <w:rsid w:val="21DFF399"/>
    <w:rsid w:val="21E9BD39"/>
    <w:rsid w:val="21ED9475"/>
    <w:rsid w:val="21F15F43"/>
    <w:rsid w:val="21F65923"/>
    <w:rsid w:val="220ACF63"/>
    <w:rsid w:val="2216BA06"/>
    <w:rsid w:val="22238264"/>
    <w:rsid w:val="222FA3BF"/>
    <w:rsid w:val="22394E6E"/>
    <w:rsid w:val="228405E7"/>
    <w:rsid w:val="2291BA1A"/>
    <w:rsid w:val="22924ECC"/>
    <w:rsid w:val="22A0EDCB"/>
    <w:rsid w:val="22A56867"/>
    <w:rsid w:val="22C3AA6D"/>
    <w:rsid w:val="22CDFB92"/>
    <w:rsid w:val="22DA868B"/>
    <w:rsid w:val="22F1A46F"/>
    <w:rsid w:val="22F4F222"/>
    <w:rsid w:val="230F52FC"/>
    <w:rsid w:val="2312E30F"/>
    <w:rsid w:val="2315447A"/>
    <w:rsid w:val="231B3D61"/>
    <w:rsid w:val="2327D92E"/>
    <w:rsid w:val="232BE8E1"/>
    <w:rsid w:val="2374DB75"/>
    <w:rsid w:val="2380046C"/>
    <w:rsid w:val="2385FE6A"/>
    <w:rsid w:val="23879EE1"/>
    <w:rsid w:val="239DDAA5"/>
    <w:rsid w:val="23AC6712"/>
    <w:rsid w:val="23AF6EA3"/>
    <w:rsid w:val="23AF9148"/>
    <w:rsid w:val="23BA571D"/>
    <w:rsid w:val="23BF7D98"/>
    <w:rsid w:val="23BFB013"/>
    <w:rsid w:val="23C1C94B"/>
    <w:rsid w:val="23C3E973"/>
    <w:rsid w:val="23C84D45"/>
    <w:rsid w:val="23CBB417"/>
    <w:rsid w:val="23DE729E"/>
    <w:rsid w:val="240362CC"/>
    <w:rsid w:val="24059CD9"/>
    <w:rsid w:val="24244415"/>
    <w:rsid w:val="242F23EF"/>
    <w:rsid w:val="24300370"/>
    <w:rsid w:val="24344CC8"/>
    <w:rsid w:val="2441D1B7"/>
    <w:rsid w:val="2443418C"/>
    <w:rsid w:val="244B60C2"/>
    <w:rsid w:val="244B7B14"/>
    <w:rsid w:val="24638EA8"/>
    <w:rsid w:val="24706F1B"/>
    <w:rsid w:val="2472DDFF"/>
    <w:rsid w:val="24733E3D"/>
    <w:rsid w:val="2473B452"/>
    <w:rsid w:val="2489127D"/>
    <w:rsid w:val="248D03ED"/>
    <w:rsid w:val="24957474"/>
    <w:rsid w:val="249FF6B9"/>
    <w:rsid w:val="24A646FE"/>
    <w:rsid w:val="24AA5A10"/>
    <w:rsid w:val="24D46B3E"/>
    <w:rsid w:val="2508E542"/>
    <w:rsid w:val="252A2249"/>
    <w:rsid w:val="25359CDC"/>
    <w:rsid w:val="253787E9"/>
    <w:rsid w:val="25379260"/>
    <w:rsid w:val="254E7D0C"/>
    <w:rsid w:val="2555B741"/>
    <w:rsid w:val="255F55ED"/>
    <w:rsid w:val="256115FA"/>
    <w:rsid w:val="25668857"/>
    <w:rsid w:val="25668E0E"/>
    <w:rsid w:val="256D4875"/>
    <w:rsid w:val="258311A0"/>
    <w:rsid w:val="258FCBAD"/>
    <w:rsid w:val="25BC2568"/>
    <w:rsid w:val="25CB731A"/>
    <w:rsid w:val="25CE1360"/>
    <w:rsid w:val="25F00635"/>
    <w:rsid w:val="260E7CF4"/>
    <w:rsid w:val="261A4234"/>
    <w:rsid w:val="26294059"/>
    <w:rsid w:val="2652FFB4"/>
    <w:rsid w:val="2661B6A0"/>
    <w:rsid w:val="26647B68"/>
    <w:rsid w:val="269A151C"/>
    <w:rsid w:val="269DB7E9"/>
    <w:rsid w:val="269DC0F8"/>
    <w:rsid w:val="26B17A93"/>
    <w:rsid w:val="26B28267"/>
    <w:rsid w:val="26BAC6C5"/>
    <w:rsid w:val="26CBC30A"/>
    <w:rsid w:val="26D4348C"/>
    <w:rsid w:val="26DD7886"/>
    <w:rsid w:val="270BBC80"/>
    <w:rsid w:val="270DC8E1"/>
    <w:rsid w:val="271359EE"/>
    <w:rsid w:val="2715F967"/>
    <w:rsid w:val="271712CC"/>
    <w:rsid w:val="272E8D3A"/>
    <w:rsid w:val="274175FC"/>
    <w:rsid w:val="2744E9DB"/>
    <w:rsid w:val="2746213D"/>
    <w:rsid w:val="27465090"/>
    <w:rsid w:val="2752EF97"/>
    <w:rsid w:val="27531424"/>
    <w:rsid w:val="276D51DE"/>
    <w:rsid w:val="277C1548"/>
    <w:rsid w:val="27893B44"/>
    <w:rsid w:val="278BCBDD"/>
    <w:rsid w:val="279852C3"/>
    <w:rsid w:val="27AA74E1"/>
    <w:rsid w:val="27CF42F1"/>
    <w:rsid w:val="27D2D0C0"/>
    <w:rsid w:val="27DDB9C9"/>
    <w:rsid w:val="280137A9"/>
    <w:rsid w:val="28118DCA"/>
    <w:rsid w:val="282A4E46"/>
    <w:rsid w:val="284230D5"/>
    <w:rsid w:val="285351C1"/>
    <w:rsid w:val="28555EA5"/>
    <w:rsid w:val="285C6766"/>
    <w:rsid w:val="2870CFFF"/>
    <w:rsid w:val="289AEFDD"/>
    <w:rsid w:val="28BA6DCC"/>
    <w:rsid w:val="28BAE3B1"/>
    <w:rsid w:val="28D0F786"/>
    <w:rsid w:val="28D4E107"/>
    <w:rsid w:val="2913A964"/>
    <w:rsid w:val="291A533A"/>
    <w:rsid w:val="292D5664"/>
    <w:rsid w:val="293363A2"/>
    <w:rsid w:val="29451F95"/>
    <w:rsid w:val="296060F1"/>
    <w:rsid w:val="296DF048"/>
    <w:rsid w:val="29706F84"/>
    <w:rsid w:val="2979D6D8"/>
    <w:rsid w:val="297CB922"/>
    <w:rsid w:val="297F702E"/>
    <w:rsid w:val="2980AAEA"/>
    <w:rsid w:val="29A8477B"/>
    <w:rsid w:val="29AA68FE"/>
    <w:rsid w:val="29AB6563"/>
    <w:rsid w:val="29AE481E"/>
    <w:rsid w:val="29B0A5C2"/>
    <w:rsid w:val="29B33E65"/>
    <w:rsid w:val="29BECD67"/>
    <w:rsid w:val="29C0E5EA"/>
    <w:rsid w:val="29C77BCE"/>
    <w:rsid w:val="29D10A13"/>
    <w:rsid w:val="29D53366"/>
    <w:rsid w:val="29EFBA1D"/>
    <w:rsid w:val="29EFFD21"/>
    <w:rsid w:val="29F3D028"/>
    <w:rsid w:val="29FCF61C"/>
    <w:rsid w:val="2A1D8F95"/>
    <w:rsid w:val="2A43D527"/>
    <w:rsid w:val="2A531A52"/>
    <w:rsid w:val="2A57DF21"/>
    <w:rsid w:val="2A5FB51A"/>
    <w:rsid w:val="2A6D4AA5"/>
    <w:rsid w:val="2A839207"/>
    <w:rsid w:val="2A8492F6"/>
    <w:rsid w:val="2A97970A"/>
    <w:rsid w:val="2A9F37ED"/>
    <w:rsid w:val="2ABE8214"/>
    <w:rsid w:val="2AC3C48E"/>
    <w:rsid w:val="2AC46F28"/>
    <w:rsid w:val="2AC75CEB"/>
    <w:rsid w:val="2AD231EC"/>
    <w:rsid w:val="2AD37595"/>
    <w:rsid w:val="2AD9BC2F"/>
    <w:rsid w:val="2AEFC396"/>
    <w:rsid w:val="2B005EF2"/>
    <w:rsid w:val="2B01481C"/>
    <w:rsid w:val="2B018641"/>
    <w:rsid w:val="2B1641DC"/>
    <w:rsid w:val="2B19C872"/>
    <w:rsid w:val="2B36A0B8"/>
    <w:rsid w:val="2B4B8AA6"/>
    <w:rsid w:val="2B585C56"/>
    <w:rsid w:val="2B71AA99"/>
    <w:rsid w:val="2B7238C6"/>
    <w:rsid w:val="2B74B62E"/>
    <w:rsid w:val="2BA3A99E"/>
    <w:rsid w:val="2BB3A663"/>
    <w:rsid w:val="2BBAFEEC"/>
    <w:rsid w:val="2BBD58DF"/>
    <w:rsid w:val="2BC4C696"/>
    <w:rsid w:val="2C110784"/>
    <w:rsid w:val="2C1404D8"/>
    <w:rsid w:val="2C19CEB1"/>
    <w:rsid w:val="2C1A33C1"/>
    <w:rsid w:val="2C24FB6D"/>
    <w:rsid w:val="2C2B9295"/>
    <w:rsid w:val="2C357046"/>
    <w:rsid w:val="2C42FB2C"/>
    <w:rsid w:val="2C5193BC"/>
    <w:rsid w:val="2C5FFABC"/>
    <w:rsid w:val="2C645A53"/>
    <w:rsid w:val="2C65D145"/>
    <w:rsid w:val="2C66C1CA"/>
    <w:rsid w:val="2C7639D4"/>
    <w:rsid w:val="2C7FDC9E"/>
    <w:rsid w:val="2C973096"/>
    <w:rsid w:val="2C9C7835"/>
    <w:rsid w:val="2CAD9CA1"/>
    <w:rsid w:val="2CBAD762"/>
    <w:rsid w:val="2CCF05A9"/>
    <w:rsid w:val="2CF9461A"/>
    <w:rsid w:val="2D2416C1"/>
    <w:rsid w:val="2D256408"/>
    <w:rsid w:val="2D25DF4D"/>
    <w:rsid w:val="2D278BAA"/>
    <w:rsid w:val="2D30211E"/>
    <w:rsid w:val="2D32BE19"/>
    <w:rsid w:val="2D446D00"/>
    <w:rsid w:val="2D515462"/>
    <w:rsid w:val="2D65D38E"/>
    <w:rsid w:val="2D7F8391"/>
    <w:rsid w:val="2D9DE220"/>
    <w:rsid w:val="2DAC3A77"/>
    <w:rsid w:val="2DB29ED9"/>
    <w:rsid w:val="2DBD4420"/>
    <w:rsid w:val="2DC56FC1"/>
    <w:rsid w:val="2DCA6CCB"/>
    <w:rsid w:val="2DCBE005"/>
    <w:rsid w:val="2DD20A4D"/>
    <w:rsid w:val="2DF6AE68"/>
    <w:rsid w:val="2DF98FB8"/>
    <w:rsid w:val="2E0EB34F"/>
    <w:rsid w:val="2E154E12"/>
    <w:rsid w:val="2E18B329"/>
    <w:rsid w:val="2E2C9AB4"/>
    <w:rsid w:val="2E321E01"/>
    <w:rsid w:val="2E325DF9"/>
    <w:rsid w:val="2E35D389"/>
    <w:rsid w:val="2E38F6C9"/>
    <w:rsid w:val="2E3A5AAE"/>
    <w:rsid w:val="2E411915"/>
    <w:rsid w:val="2E44DEE2"/>
    <w:rsid w:val="2E50822B"/>
    <w:rsid w:val="2E5273F1"/>
    <w:rsid w:val="2E530FD8"/>
    <w:rsid w:val="2E629E70"/>
    <w:rsid w:val="2E6775F9"/>
    <w:rsid w:val="2E73118B"/>
    <w:rsid w:val="2E796D8F"/>
    <w:rsid w:val="2E8AEF81"/>
    <w:rsid w:val="2E9C6E69"/>
    <w:rsid w:val="2EA60E1B"/>
    <w:rsid w:val="2EB4BCE3"/>
    <w:rsid w:val="2ED434BE"/>
    <w:rsid w:val="2ED9FA0C"/>
    <w:rsid w:val="2EDB0FD7"/>
    <w:rsid w:val="2EDBCF0E"/>
    <w:rsid w:val="2EE4DA34"/>
    <w:rsid w:val="2EF55966"/>
    <w:rsid w:val="2EF955C4"/>
    <w:rsid w:val="2F0F38A8"/>
    <w:rsid w:val="2F197100"/>
    <w:rsid w:val="2F21365C"/>
    <w:rsid w:val="2F29DCBC"/>
    <w:rsid w:val="2F2B8EE6"/>
    <w:rsid w:val="2F3DA7F0"/>
    <w:rsid w:val="2F50BC97"/>
    <w:rsid w:val="2F551BD6"/>
    <w:rsid w:val="2F69F277"/>
    <w:rsid w:val="2F797777"/>
    <w:rsid w:val="2F84A5D0"/>
    <w:rsid w:val="2FB77EE6"/>
    <w:rsid w:val="2FB7F1CB"/>
    <w:rsid w:val="2FB80FA0"/>
    <w:rsid w:val="2FD5C79F"/>
    <w:rsid w:val="2FD6BCB9"/>
    <w:rsid w:val="2FDEA7C9"/>
    <w:rsid w:val="2FEBF607"/>
    <w:rsid w:val="2FFA4A65"/>
    <w:rsid w:val="2FFBA79D"/>
    <w:rsid w:val="2FFFDFF1"/>
    <w:rsid w:val="301505EA"/>
    <w:rsid w:val="30162C3C"/>
    <w:rsid w:val="302B272E"/>
    <w:rsid w:val="305BF42C"/>
    <w:rsid w:val="305DF8F5"/>
    <w:rsid w:val="305E24C5"/>
    <w:rsid w:val="3065091A"/>
    <w:rsid w:val="308383B5"/>
    <w:rsid w:val="308B70DB"/>
    <w:rsid w:val="308BDBAE"/>
    <w:rsid w:val="309384F6"/>
    <w:rsid w:val="30A014FF"/>
    <w:rsid w:val="30A10A34"/>
    <w:rsid w:val="30A2C793"/>
    <w:rsid w:val="30A59309"/>
    <w:rsid w:val="30C4D98F"/>
    <w:rsid w:val="30D23BDD"/>
    <w:rsid w:val="30D9F0A3"/>
    <w:rsid w:val="31121B00"/>
    <w:rsid w:val="31164C22"/>
    <w:rsid w:val="3118B478"/>
    <w:rsid w:val="31216A00"/>
    <w:rsid w:val="312628B8"/>
    <w:rsid w:val="314A395B"/>
    <w:rsid w:val="314DACCC"/>
    <w:rsid w:val="3151DCAA"/>
    <w:rsid w:val="317176F4"/>
    <w:rsid w:val="317423EA"/>
    <w:rsid w:val="318717FF"/>
    <w:rsid w:val="318EA59D"/>
    <w:rsid w:val="3196EDD0"/>
    <w:rsid w:val="31985E25"/>
    <w:rsid w:val="31A0170F"/>
    <w:rsid w:val="31A972B8"/>
    <w:rsid w:val="31CC5E92"/>
    <w:rsid w:val="31CDC002"/>
    <w:rsid w:val="31E434C9"/>
    <w:rsid w:val="31E48A08"/>
    <w:rsid w:val="320F08BB"/>
    <w:rsid w:val="3219A63A"/>
    <w:rsid w:val="321DAC03"/>
    <w:rsid w:val="32323EBC"/>
    <w:rsid w:val="3233782E"/>
    <w:rsid w:val="323E9960"/>
    <w:rsid w:val="32405706"/>
    <w:rsid w:val="324CB4FA"/>
    <w:rsid w:val="324D0969"/>
    <w:rsid w:val="32514D2F"/>
    <w:rsid w:val="32651589"/>
    <w:rsid w:val="3269C3C4"/>
    <w:rsid w:val="326C191E"/>
    <w:rsid w:val="327E2707"/>
    <w:rsid w:val="32810C1E"/>
    <w:rsid w:val="32854183"/>
    <w:rsid w:val="3287F0C9"/>
    <w:rsid w:val="328D9DDF"/>
    <w:rsid w:val="32A1137F"/>
    <w:rsid w:val="32A23712"/>
    <w:rsid w:val="32B25473"/>
    <w:rsid w:val="32B2AFF8"/>
    <w:rsid w:val="32BCDE23"/>
    <w:rsid w:val="32C40FEE"/>
    <w:rsid w:val="32D6BD5D"/>
    <w:rsid w:val="32D7584D"/>
    <w:rsid w:val="32F640A4"/>
    <w:rsid w:val="32F8F356"/>
    <w:rsid w:val="331A8743"/>
    <w:rsid w:val="3327D907"/>
    <w:rsid w:val="332EF79F"/>
    <w:rsid w:val="333BE387"/>
    <w:rsid w:val="333DCDBB"/>
    <w:rsid w:val="333ECAE7"/>
    <w:rsid w:val="334C3B3D"/>
    <w:rsid w:val="3352F9CE"/>
    <w:rsid w:val="33550BF6"/>
    <w:rsid w:val="3366DBBC"/>
    <w:rsid w:val="33721F5E"/>
    <w:rsid w:val="33724806"/>
    <w:rsid w:val="33931CA5"/>
    <w:rsid w:val="33962555"/>
    <w:rsid w:val="33986801"/>
    <w:rsid w:val="33A1881B"/>
    <w:rsid w:val="33B96A6F"/>
    <w:rsid w:val="33CFCB2A"/>
    <w:rsid w:val="33D7216D"/>
    <w:rsid w:val="33D89A2E"/>
    <w:rsid w:val="33DB5502"/>
    <w:rsid w:val="33DD03CE"/>
    <w:rsid w:val="33DF3056"/>
    <w:rsid w:val="340352F0"/>
    <w:rsid w:val="3409B05B"/>
    <w:rsid w:val="34174DD7"/>
    <w:rsid w:val="341AEB05"/>
    <w:rsid w:val="34236F61"/>
    <w:rsid w:val="342EEFED"/>
    <w:rsid w:val="343E3E4F"/>
    <w:rsid w:val="343F5939"/>
    <w:rsid w:val="3450BAE6"/>
    <w:rsid w:val="345A983E"/>
    <w:rsid w:val="3477415D"/>
    <w:rsid w:val="34B62C71"/>
    <w:rsid w:val="34BB7D9F"/>
    <w:rsid w:val="34C42E7E"/>
    <w:rsid w:val="34CCE2DB"/>
    <w:rsid w:val="34D383F1"/>
    <w:rsid w:val="34E50433"/>
    <w:rsid w:val="34ED0008"/>
    <w:rsid w:val="350095CE"/>
    <w:rsid w:val="35011EC9"/>
    <w:rsid w:val="3503A967"/>
    <w:rsid w:val="351415D8"/>
    <w:rsid w:val="35147BA0"/>
    <w:rsid w:val="35176379"/>
    <w:rsid w:val="352BB08B"/>
    <w:rsid w:val="3538131A"/>
    <w:rsid w:val="354B7EAA"/>
    <w:rsid w:val="354F1E6A"/>
    <w:rsid w:val="35557D82"/>
    <w:rsid w:val="3562E7D7"/>
    <w:rsid w:val="3589BD9B"/>
    <w:rsid w:val="35973EBB"/>
    <w:rsid w:val="35E92622"/>
    <w:rsid w:val="35EB61E4"/>
    <w:rsid w:val="3600D06D"/>
    <w:rsid w:val="362311E0"/>
    <w:rsid w:val="365186A6"/>
    <w:rsid w:val="3653B629"/>
    <w:rsid w:val="365C39BD"/>
    <w:rsid w:val="36625518"/>
    <w:rsid w:val="366939C0"/>
    <w:rsid w:val="3669A6AC"/>
    <w:rsid w:val="366EE3FF"/>
    <w:rsid w:val="3690944C"/>
    <w:rsid w:val="3692D1B3"/>
    <w:rsid w:val="3699D3D1"/>
    <w:rsid w:val="36A0398B"/>
    <w:rsid w:val="36AE6683"/>
    <w:rsid w:val="36AFBE79"/>
    <w:rsid w:val="36D11963"/>
    <w:rsid w:val="36E7CF2E"/>
    <w:rsid w:val="36EDB7D6"/>
    <w:rsid w:val="36FA2430"/>
    <w:rsid w:val="37161567"/>
    <w:rsid w:val="3735023F"/>
    <w:rsid w:val="3744C846"/>
    <w:rsid w:val="3763B252"/>
    <w:rsid w:val="3778E4B1"/>
    <w:rsid w:val="37816B61"/>
    <w:rsid w:val="37829228"/>
    <w:rsid w:val="37B05CE5"/>
    <w:rsid w:val="37B2FDEF"/>
    <w:rsid w:val="37C932F4"/>
    <w:rsid w:val="37D4328A"/>
    <w:rsid w:val="37D55456"/>
    <w:rsid w:val="37FB8C44"/>
    <w:rsid w:val="37FBDE1D"/>
    <w:rsid w:val="3800A1DD"/>
    <w:rsid w:val="38071305"/>
    <w:rsid w:val="380EFC58"/>
    <w:rsid w:val="3813167A"/>
    <w:rsid w:val="3826E55E"/>
    <w:rsid w:val="38271D9A"/>
    <w:rsid w:val="38378743"/>
    <w:rsid w:val="384EF514"/>
    <w:rsid w:val="3851BEDB"/>
    <w:rsid w:val="3854D3E0"/>
    <w:rsid w:val="3862F6A7"/>
    <w:rsid w:val="3863D16C"/>
    <w:rsid w:val="386FA897"/>
    <w:rsid w:val="387CEA5B"/>
    <w:rsid w:val="3898B154"/>
    <w:rsid w:val="38992518"/>
    <w:rsid w:val="3899B525"/>
    <w:rsid w:val="38A54884"/>
    <w:rsid w:val="38AC46C8"/>
    <w:rsid w:val="38BB83AA"/>
    <w:rsid w:val="38C31929"/>
    <w:rsid w:val="38C511FB"/>
    <w:rsid w:val="38D1EBB9"/>
    <w:rsid w:val="38D88DB5"/>
    <w:rsid w:val="39190C2C"/>
    <w:rsid w:val="391F1AFA"/>
    <w:rsid w:val="39234CC1"/>
    <w:rsid w:val="39294316"/>
    <w:rsid w:val="392BD13D"/>
    <w:rsid w:val="3933A96F"/>
    <w:rsid w:val="395EC9A5"/>
    <w:rsid w:val="396DB1E8"/>
    <w:rsid w:val="3970400F"/>
    <w:rsid w:val="3977CB52"/>
    <w:rsid w:val="3977FEB9"/>
    <w:rsid w:val="39780BB3"/>
    <w:rsid w:val="398127CE"/>
    <w:rsid w:val="3984CBF3"/>
    <w:rsid w:val="3990A433"/>
    <w:rsid w:val="39926D1B"/>
    <w:rsid w:val="39976BB9"/>
    <w:rsid w:val="39A157FF"/>
    <w:rsid w:val="39A46758"/>
    <w:rsid w:val="39ADD603"/>
    <w:rsid w:val="39B699E8"/>
    <w:rsid w:val="39C27D48"/>
    <w:rsid w:val="39D2998D"/>
    <w:rsid w:val="3A0E61F8"/>
    <w:rsid w:val="3A1137EE"/>
    <w:rsid w:val="3A13272D"/>
    <w:rsid w:val="3A14442C"/>
    <w:rsid w:val="3A172491"/>
    <w:rsid w:val="3A19AB3B"/>
    <w:rsid w:val="3A201B56"/>
    <w:rsid w:val="3A4392AC"/>
    <w:rsid w:val="3A53CC46"/>
    <w:rsid w:val="3A58DE17"/>
    <w:rsid w:val="3A63FDCB"/>
    <w:rsid w:val="3A729974"/>
    <w:rsid w:val="3A82BA52"/>
    <w:rsid w:val="3A86C5D4"/>
    <w:rsid w:val="3A88331B"/>
    <w:rsid w:val="3A921BB0"/>
    <w:rsid w:val="3A922C4F"/>
    <w:rsid w:val="3AA70AED"/>
    <w:rsid w:val="3AD804AA"/>
    <w:rsid w:val="3ADCB959"/>
    <w:rsid w:val="3AEE0404"/>
    <w:rsid w:val="3AF6A9E5"/>
    <w:rsid w:val="3B17CC9B"/>
    <w:rsid w:val="3B1A45EB"/>
    <w:rsid w:val="3B286D31"/>
    <w:rsid w:val="3B4C83B9"/>
    <w:rsid w:val="3B9AE5AE"/>
    <w:rsid w:val="3BB0D43E"/>
    <w:rsid w:val="3BBCE89C"/>
    <w:rsid w:val="3BBE65F4"/>
    <w:rsid w:val="3BC0FDC3"/>
    <w:rsid w:val="3BC74EF6"/>
    <w:rsid w:val="3BEC6BBD"/>
    <w:rsid w:val="3BF61A8B"/>
    <w:rsid w:val="3C14F414"/>
    <w:rsid w:val="3C173764"/>
    <w:rsid w:val="3C272E65"/>
    <w:rsid w:val="3C2F88C1"/>
    <w:rsid w:val="3C323905"/>
    <w:rsid w:val="3C62BDE3"/>
    <w:rsid w:val="3C6523C8"/>
    <w:rsid w:val="3C65658E"/>
    <w:rsid w:val="3C884C52"/>
    <w:rsid w:val="3C9B3DE3"/>
    <w:rsid w:val="3CA4BFBA"/>
    <w:rsid w:val="3CB78329"/>
    <w:rsid w:val="3CBC983B"/>
    <w:rsid w:val="3CD131FD"/>
    <w:rsid w:val="3CD90394"/>
    <w:rsid w:val="3CEA38BE"/>
    <w:rsid w:val="3CF300B8"/>
    <w:rsid w:val="3CFB5799"/>
    <w:rsid w:val="3D08DE1E"/>
    <w:rsid w:val="3D283698"/>
    <w:rsid w:val="3D3AF282"/>
    <w:rsid w:val="3D3FDFD9"/>
    <w:rsid w:val="3D4C686D"/>
    <w:rsid w:val="3D4F1398"/>
    <w:rsid w:val="3D4FC4ED"/>
    <w:rsid w:val="3D52C355"/>
    <w:rsid w:val="3D7E810B"/>
    <w:rsid w:val="3D8282C3"/>
    <w:rsid w:val="3D857206"/>
    <w:rsid w:val="3D86EF86"/>
    <w:rsid w:val="3D8BCC72"/>
    <w:rsid w:val="3D913F17"/>
    <w:rsid w:val="3D9C37E3"/>
    <w:rsid w:val="3DA777B7"/>
    <w:rsid w:val="3DC1B7B3"/>
    <w:rsid w:val="3DDA5C03"/>
    <w:rsid w:val="3DE52AF9"/>
    <w:rsid w:val="3DEDC225"/>
    <w:rsid w:val="3DF550CF"/>
    <w:rsid w:val="3DF7E469"/>
    <w:rsid w:val="3DFB81ED"/>
    <w:rsid w:val="3DFDC86C"/>
    <w:rsid w:val="3E1A471F"/>
    <w:rsid w:val="3E1F5EFE"/>
    <w:rsid w:val="3E5003BC"/>
    <w:rsid w:val="3E526D56"/>
    <w:rsid w:val="3E79AE79"/>
    <w:rsid w:val="3E7B109E"/>
    <w:rsid w:val="3E8485D0"/>
    <w:rsid w:val="3E91315E"/>
    <w:rsid w:val="3EB429FE"/>
    <w:rsid w:val="3EC2F5E3"/>
    <w:rsid w:val="3EC54BD0"/>
    <w:rsid w:val="3ECAC82C"/>
    <w:rsid w:val="3EDD0D59"/>
    <w:rsid w:val="3EF0DC72"/>
    <w:rsid w:val="3EF9EA22"/>
    <w:rsid w:val="3F2A41F1"/>
    <w:rsid w:val="3F30F1A4"/>
    <w:rsid w:val="3F396177"/>
    <w:rsid w:val="3F47F6D7"/>
    <w:rsid w:val="3F542820"/>
    <w:rsid w:val="3F6B3A0E"/>
    <w:rsid w:val="3F77CEEA"/>
    <w:rsid w:val="3F8BF0CB"/>
    <w:rsid w:val="3FA49A0E"/>
    <w:rsid w:val="3FA75F42"/>
    <w:rsid w:val="3FAEFCEB"/>
    <w:rsid w:val="3FB7643E"/>
    <w:rsid w:val="3FC82CF2"/>
    <w:rsid w:val="3FCAB2EA"/>
    <w:rsid w:val="3FCD460F"/>
    <w:rsid w:val="3FD8C008"/>
    <w:rsid w:val="3FF5F18F"/>
    <w:rsid w:val="3FF9B59A"/>
    <w:rsid w:val="3FFEEE48"/>
    <w:rsid w:val="400781CD"/>
    <w:rsid w:val="403228BC"/>
    <w:rsid w:val="4035F57A"/>
    <w:rsid w:val="4049CC3C"/>
    <w:rsid w:val="404DCBFB"/>
    <w:rsid w:val="40535138"/>
    <w:rsid w:val="4055B955"/>
    <w:rsid w:val="407B4F09"/>
    <w:rsid w:val="409F32FA"/>
    <w:rsid w:val="40A8FA27"/>
    <w:rsid w:val="40AE031F"/>
    <w:rsid w:val="40AF74FE"/>
    <w:rsid w:val="40B12421"/>
    <w:rsid w:val="40B90EEA"/>
    <w:rsid w:val="40BCBCDA"/>
    <w:rsid w:val="40D35FEB"/>
    <w:rsid w:val="40E6B1A9"/>
    <w:rsid w:val="410169C6"/>
    <w:rsid w:val="4111EA01"/>
    <w:rsid w:val="41128394"/>
    <w:rsid w:val="41269708"/>
    <w:rsid w:val="412AEB1D"/>
    <w:rsid w:val="41401831"/>
    <w:rsid w:val="414A4451"/>
    <w:rsid w:val="416F36A3"/>
    <w:rsid w:val="417406FC"/>
    <w:rsid w:val="41783083"/>
    <w:rsid w:val="41876C86"/>
    <w:rsid w:val="418AE790"/>
    <w:rsid w:val="41A44590"/>
    <w:rsid w:val="41BB110B"/>
    <w:rsid w:val="41C3D5EE"/>
    <w:rsid w:val="41CF9F50"/>
    <w:rsid w:val="41CFBC0D"/>
    <w:rsid w:val="41E09E98"/>
    <w:rsid w:val="41FD6E18"/>
    <w:rsid w:val="4209875A"/>
    <w:rsid w:val="4217574B"/>
    <w:rsid w:val="422BA19E"/>
    <w:rsid w:val="422FEF1C"/>
    <w:rsid w:val="423FCACD"/>
    <w:rsid w:val="4262C0D5"/>
    <w:rsid w:val="426C3EC3"/>
    <w:rsid w:val="426F7DBC"/>
    <w:rsid w:val="4275AC5D"/>
    <w:rsid w:val="427F1D90"/>
    <w:rsid w:val="42810F3A"/>
    <w:rsid w:val="428F1022"/>
    <w:rsid w:val="42994980"/>
    <w:rsid w:val="42A7D6DD"/>
    <w:rsid w:val="42B41D53"/>
    <w:rsid w:val="42B51402"/>
    <w:rsid w:val="42E09BC5"/>
    <w:rsid w:val="42E62B51"/>
    <w:rsid w:val="42FCD59E"/>
    <w:rsid w:val="43280E27"/>
    <w:rsid w:val="43357D84"/>
    <w:rsid w:val="433E17F6"/>
    <w:rsid w:val="4353A025"/>
    <w:rsid w:val="4360BAEB"/>
    <w:rsid w:val="4374BA26"/>
    <w:rsid w:val="4377A76C"/>
    <w:rsid w:val="43AA5DEC"/>
    <w:rsid w:val="43B66C10"/>
    <w:rsid w:val="43C75721"/>
    <w:rsid w:val="43C8E93C"/>
    <w:rsid w:val="43DAD64A"/>
    <w:rsid w:val="43E23998"/>
    <w:rsid w:val="43EAFAB6"/>
    <w:rsid w:val="43F760FB"/>
    <w:rsid w:val="44169A80"/>
    <w:rsid w:val="445BD676"/>
    <w:rsid w:val="445FE536"/>
    <w:rsid w:val="4476BA2D"/>
    <w:rsid w:val="44940EF5"/>
    <w:rsid w:val="44969EBC"/>
    <w:rsid w:val="449CE978"/>
    <w:rsid w:val="44A01A54"/>
    <w:rsid w:val="44AC63A1"/>
    <w:rsid w:val="44C011E6"/>
    <w:rsid w:val="44CD3612"/>
    <w:rsid w:val="44D61A76"/>
    <w:rsid w:val="44F2A81E"/>
    <w:rsid w:val="4501C9A3"/>
    <w:rsid w:val="450356D2"/>
    <w:rsid w:val="45048231"/>
    <w:rsid w:val="450AC428"/>
    <w:rsid w:val="4510D4E7"/>
    <w:rsid w:val="45115473"/>
    <w:rsid w:val="4514DBA0"/>
    <w:rsid w:val="45284363"/>
    <w:rsid w:val="452944CD"/>
    <w:rsid w:val="452AD99E"/>
    <w:rsid w:val="4531F625"/>
    <w:rsid w:val="455BD7C8"/>
    <w:rsid w:val="45628636"/>
    <w:rsid w:val="4580BAA3"/>
    <w:rsid w:val="4595D92D"/>
    <w:rsid w:val="45A0DD39"/>
    <w:rsid w:val="45B38326"/>
    <w:rsid w:val="45DCCC62"/>
    <w:rsid w:val="45E2E618"/>
    <w:rsid w:val="45E330FB"/>
    <w:rsid w:val="45FBB62E"/>
    <w:rsid w:val="46439C28"/>
    <w:rsid w:val="46498D4B"/>
    <w:rsid w:val="464E6BDA"/>
    <w:rsid w:val="46613049"/>
    <w:rsid w:val="46649C81"/>
    <w:rsid w:val="46896833"/>
    <w:rsid w:val="468A1F63"/>
    <w:rsid w:val="469D1417"/>
    <w:rsid w:val="46B24D08"/>
    <w:rsid w:val="46C3C5F1"/>
    <w:rsid w:val="46C8718B"/>
    <w:rsid w:val="46D717BD"/>
    <w:rsid w:val="46DDC0F0"/>
    <w:rsid w:val="46E33926"/>
    <w:rsid w:val="46FA7DBF"/>
    <w:rsid w:val="47044CB6"/>
    <w:rsid w:val="476154C3"/>
    <w:rsid w:val="4763B332"/>
    <w:rsid w:val="4770BB7D"/>
    <w:rsid w:val="47741C6F"/>
    <w:rsid w:val="4778328A"/>
    <w:rsid w:val="477BFA01"/>
    <w:rsid w:val="477D1155"/>
    <w:rsid w:val="478607A5"/>
    <w:rsid w:val="47AE3217"/>
    <w:rsid w:val="47C0B34E"/>
    <w:rsid w:val="47DC07EC"/>
    <w:rsid w:val="47E03B6C"/>
    <w:rsid w:val="47E40B5C"/>
    <w:rsid w:val="47ED9148"/>
    <w:rsid w:val="4815013F"/>
    <w:rsid w:val="483BB5C4"/>
    <w:rsid w:val="483C6607"/>
    <w:rsid w:val="485E7990"/>
    <w:rsid w:val="48664FB7"/>
    <w:rsid w:val="486E0F76"/>
    <w:rsid w:val="487E037D"/>
    <w:rsid w:val="4881F6AC"/>
    <w:rsid w:val="488A02EE"/>
    <w:rsid w:val="489C2FA1"/>
    <w:rsid w:val="48A1C380"/>
    <w:rsid w:val="48A40E95"/>
    <w:rsid w:val="48ADD7DF"/>
    <w:rsid w:val="48BFA195"/>
    <w:rsid w:val="48CFA885"/>
    <w:rsid w:val="48E055F4"/>
    <w:rsid w:val="48E65C39"/>
    <w:rsid w:val="48E70716"/>
    <w:rsid w:val="48EB63EF"/>
    <w:rsid w:val="48ED98E3"/>
    <w:rsid w:val="48FFABA1"/>
    <w:rsid w:val="490A32B0"/>
    <w:rsid w:val="49165C76"/>
    <w:rsid w:val="491EE711"/>
    <w:rsid w:val="49224678"/>
    <w:rsid w:val="492F8325"/>
    <w:rsid w:val="49344D08"/>
    <w:rsid w:val="49608718"/>
    <w:rsid w:val="496A5328"/>
    <w:rsid w:val="496EDC8E"/>
    <w:rsid w:val="49738639"/>
    <w:rsid w:val="4974BE38"/>
    <w:rsid w:val="49790F34"/>
    <w:rsid w:val="4992BDD5"/>
    <w:rsid w:val="49965F2A"/>
    <w:rsid w:val="499A3B7E"/>
    <w:rsid w:val="499C0815"/>
    <w:rsid w:val="49B1E366"/>
    <w:rsid w:val="49B51076"/>
    <w:rsid w:val="49B8A0F8"/>
    <w:rsid w:val="49D00B76"/>
    <w:rsid w:val="49D9569E"/>
    <w:rsid w:val="49FD995B"/>
    <w:rsid w:val="4A046C43"/>
    <w:rsid w:val="4A083967"/>
    <w:rsid w:val="4A1AFDD3"/>
    <w:rsid w:val="4A1BF22E"/>
    <w:rsid w:val="4A1D6614"/>
    <w:rsid w:val="4A2B8D9F"/>
    <w:rsid w:val="4A320736"/>
    <w:rsid w:val="4A3551C7"/>
    <w:rsid w:val="4A38A584"/>
    <w:rsid w:val="4A3AD868"/>
    <w:rsid w:val="4A3D5A01"/>
    <w:rsid w:val="4A4553C7"/>
    <w:rsid w:val="4A5DC391"/>
    <w:rsid w:val="4A5EF5C0"/>
    <w:rsid w:val="4A686C1A"/>
    <w:rsid w:val="4A72F444"/>
    <w:rsid w:val="4A738C2C"/>
    <w:rsid w:val="4A7C0C1C"/>
    <w:rsid w:val="4A88B19F"/>
    <w:rsid w:val="4A8AEEB4"/>
    <w:rsid w:val="4A8BB838"/>
    <w:rsid w:val="4A8FD85A"/>
    <w:rsid w:val="4AD0CB11"/>
    <w:rsid w:val="4ADDE820"/>
    <w:rsid w:val="4AE1372F"/>
    <w:rsid w:val="4AEF0AD0"/>
    <w:rsid w:val="4B0A1C41"/>
    <w:rsid w:val="4B2CD76F"/>
    <w:rsid w:val="4B3153CD"/>
    <w:rsid w:val="4B3F79DA"/>
    <w:rsid w:val="4B436C39"/>
    <w:rsid w:val="4B54AA9A"/>
    <w:rsid w:val="4B54F482"/>
    <w:rsid w:val="4B5A0DE5"/>
    <w:rsid w:val="4B74D04F"/>
    <w:rsid w:val="4B7EC8DC"/>
    <w:rsid w:val="4BA40A5F"/>
    <w:rsid w:val="4BB8A32B"/>
    <w:rsid w:val="4BB8F16C"/>
    <w:rsid w:val="4BC360B6"/>
    <w:rsid w:val="4BD8F571"/>
    <w:rsid w:val="4C141143"/>
    <w:rsid w:val="4C1747F9"/>
    <w:rsid w:val="4C2107A2"/>
    <w:rsid w:val="4C4B64D3"/>
    <w:rsid w:val="4C584831"/>
    <w:rsid w:val="4C59A068"/>
    <w:rsid w:val="4C629A1C"/>
    <w:rsid w:val="4C6DFB6C"/>
    <w:rsid w:val="4C849829"/>
    <w:rsid w:val="4C955DC9"/>
    <w:rsid w:val="4C97E95F"/>
    <w:rsid w:val="4C9984EC"/>
    <w:rsid w:val="4CAF6CA1"/>
    <w:rsid w:val="4CB4B197"/>
    <w:rsid w:val="4CBEE6B7"/>
    <w:rsid w:val="4CC95A65"/>
    <w:rsid w:val="4CCE76EC"/>
    <w:rsid w:val="4CE01EE7"/>
    <w:rsid w:val="4CE2FD9C"/>
    <w:rsid w:val="4CEBEA16"/>
    <w:rsid w:val="4CF8E230"/>
    <w:rsid w:val="4CFC58D0"/>
    <w:rsid w:val="4D1CEBEE"/>
    <w:rsid w:val="4D37CD3C"/>
    <w:rsid w:val="4D3B55A2"/>
    <w:rsid w:val="4D49A3B3"/>
    <w:rsid w:val="4D5F9F43"/>
    <w:rsid w:val="4D69C7EC"/>
    <w:rsid w:val="4D6C6766"/>
    <w:rsid w:val="4D74ADF1"/>
    <w:rsid w:val="4D7673F8"/>
    <w:rsid w:val="4D786AFF"/>
    <w:rsid w:val="4D7AC2CB"/>
    <w:rsid w:val="4DEB5EF2"/>
    <w:rsid w:val="4DEE2CFD"/>
    <w:rsid w:val="4DF56211"/>
    <w:rsid w:val="4DF68649"/>
    <w:rsid w:val="4E131891"/>
    <w:rsid w:val="4E17E9EC"/>
    <w:rsid w:val="4E1F960F"/>
    <w:rsid w:val="4E212F34"/>
    <w:rsid w:val="4E221FB8"/>
    <w:rsid w:val="4E2C2188"/>
    <w:rsid w:val="4E30C485"/>
    <w:rsid w:val="4E3481F0"/>
    <w:rsid w:val="4E3751FA"/>
    <w:rsid w:val="4E38AA40"/>
    <w:rsid w:val="4E59AB8F"/>
    <w:rsid w:val="4E5A58A8"/>
    <w:rsid w:val="4E63293A"/>
    <w:rsid w:val="4E634644"/>
    <w:rsid w:val="4E8336DA"/>
    <w:rsid w:val="4E90E894"/>
    <w:rsid w:val="4E928F16"/>
    <w:rsid w:val="4EBF281F"/>
    <w:rsid w:val="4EC3A7FB"/>
    <w:rsid w:val="4EFBD4BD"/>
    <w:rsid w:val="4F025640"/>
    <w:rsid w:val="4F0E06C0"/>
    <w:rsid w:val="4F1C9BB6"/>
    <w:rsid w:val="4F1EEA50"/>
    <w:rsid w:val="4F23BA50"/>
    <w:rsid w:val="4F2D0F80"/>
    <w:rsid w:val="4F32F90F"/>
    <w:rsid w:val="4F606552"/>
    <w:rsid w:val="4F873387"/>
    <w:rsid w:val="4FA51B0A"/>
    <w:rsid w:val="4FAAFB4A"/>
    <w:rsid w:val="4FCF9F22"/>
    <w:rsid w:val="4FD05A73"/>
    <w:rsid w:val="4FE04F31"/>
    <w:rsid w:val="4FEA145D"/>
    <w:rsid w:val="5013EC73"/>
    <w:rsid w:val="502146D5"/>
    <w:rsid w:val="502D0817"/>
    <w:rsid w:val="50638B8F"/>
    <w:rsid w:val="5068F647"/>
    <w:rsid w:val="506DCFCE"/>
    <w:rsid w:val="5074333F"/>
    <w:rsid w:val="507B85A1"/>
    <w:rsid w:val="5099C802"/>
    <w:rsid w:val="50A5367E"/>
    <w:rsid w:val="50AEFCDC"/>
    <w:rsid w:val="50B5A33C"/>
    <w:rsid w:val="50CD10C9"/>
    <w:rsid w:val="50E4D4F2"/>
    <w:rsid w:val="51026D79"/>
    <w:rsid w:val="510FE146"/>
    <w:rsid w:val="5133C8A0"/>
    <w:rsid w:val="51391FBF"/>
    <w:rsid w:val="513AB7F6"/>
    <w:rsid w:val="513EE047"/>
    <w:rsid w:val="5146ECD0"/>
    <w:rsid w:val="516A17A7"/>
    <w:rsid w:val="5175417D"/>
    <w:rsid w:val="517F04CE"/>
    <w:rsid w:val="5180FE5B"/>
    <w:rsid w:val="51A0E063"/>
    <w:rsid w:val="51A7F026"/>
    <w:rsid w:val="51AED189"/>
    <w:rsid w:val="51BA046F"/>
    <w:rsid w:val="51C6227C"/>
    <w:rsid w:val="51CFBF1A"/>
    <w:rsid w:val="51D3A239"/>
    <w:rsid w:val="51D3B5E8"/>
    <w:rsid w:val="51D57B7D"/>
    <w:rsid w:val="51D9B9ED"/>
    <w:rsid w:val="51DF8526"/>
    <w:rsid w:val="51E90382"/>
    <w:rsid w:val="51EE3851"/>
    <w:rsid w:val="51F2C5D4"/>
    <w:rsid w:val="522CC648"/>
    <w:rsid w:val="523257CF"/>
    <w:rsid w:val="5232FB15"/>
    <w:rsid w:val="52350C5C"/>
    <w:rsid w:val="523AB2D4"/>
    <w:rsid w:val="52403964"/>
    <w:rsid w:val="525A28CF"/>
    <w:rsid w:val="525C174A"/>
    <w:rsid w:val="527FD70D"/>
    <w:rsid w:val="52811B9D"/>
    <w:rsid w:val="52951039"/>
    <w:rsid w:val="5296D9DA"/>
    <w:rsid w:val="529D5A6B"/>
    <w:rsid w:val="529E3114"/>
    <w:rsid w:val="52AA2FB4"/>
    <w:rsid w:val="52AB40F2"/>
    <w:rsid w:val="52AC04BE"/>
    <w:rsid w:val="52CF9DA2"/>
    <w:rsid w:val="52CFB7A6"/>
    <w:rsid w:val="52DDA2CB"/>
    <w:rsid w:val="52DDB0ED"/>
    <w:rsid w:val="52DF0BCE"/>
    <w:rsid w:val="52F15B11"/>
    <w:rsid w:val="5305C168"/>
    <w:rsid w:val="530A054E"/>
    <w:rsid w:val="5313561B"/>
    <w:rsid w:val="531EC6D3"/>
    <w:rsid w:val="5329D562"/>
    <w:rsid w:val="532AC957"/>
    <w:rsid w:val="534D04DD"/>
    <w:rsid w:val="53676D6B"/>
    <w:rsid w:val="53711AD4"/>
    <w:rsid w:val="53740A46"/>
    <w:rsid w:val="53799B04"/>
    <w:rsid w:val="537D3BD7"/>
    <w:rsid w:val="538877B7"/>
    <w:rsid w:val="5391FB7E"/>
    <w:rsid w:val="53A6141E"/>
    <w:rsid w:val="53B82A6C"/>
    <w:rsid w:val="53C33A5A"/>
    <w:rsid w:val="53C7B49F"/>
    <w:rsid w:val="53F3EBB8"/>
    <w:rsid w:val="53FA1E02"/>
    <w:rsid w:val="540721BB"/>
    <w:rsid w:val="540DB072"/>
    <w:rsid w:val="54189AC2"/>
    <w:rsid w:val="541A22A5"/>
    <w:rsid w:val="541EF6ED"/>
    <w:rsid w:val="542369FF"/>
    <w:rsid w:val="542ED0B8"/>
    <w:rsid w:val="54343745"/>
    <w:rsid w:val="544B34F5"/>
    <w:rsid w:val="545A1439"/>
    <w:rsid w:val="546486E9"/>
    <w:rsid w:val="546C4FC8"/>
    <w:rsid w:val="54857F37"/>
    <w:rsid w:val="548ADDD1"/>
    <w:rsid w:val="549B03E8"/>
    <w:rsid w:val="54A1A867"/>
    <w:rsid w:val="54AEE148"/>
    <w:rsid w:val="54B0F6D7"/>
    <w:rsid w:val="54D810BE"/>
    <w:rsid w:val="550FE0BF"/>
    <w:rsid w:val="5511BF95"/>
    <w:rsid w:val="5518D5AF"/>
    <w:rsid w:val="553BD8D5"/>
    <w:rsid w:val="553EAF8F"/>
    <w:rsid w:val="554149FD"/>
    <w:rsid w:val="5549DB59"/>
    <w:rsid w:val="55568FDD"/>
    <w:rsid w:val="55663FD0"/>
    <w:rsid w:val="558F607F"/>
    <w:rsid w:val="559B5974"/>
    <w:rsid w:val="55A4994B"/>
    <w:rsid w:val="55A801E6"/>
    <w:rsid w:val="55BE42AE"/>
    <w:rsid w:val="55C678E5"/>
    <w:rsid w:val="55EA5E40"/>
    <w:rsid w:val="55F23BFD"/>
    <w:rsid w:val="55F63D29"/>
    <w:rsid w:val="55F90613"/>
    <w:rsid w:val="560C18A7"/>
    <w:rsid w:val="56178FA6"/>
    <w:rsid w:val="56196A9D"/>
    <w:rsid w:val="56332C0B"/>
    <w:rsid w:val="5641D19A"/>
    <w:rsid w:val="564425D7"/>
    <w:rsid w:val="564DC892"/>
    <w:rsid w:val="565BD591"/>
    <w:rsid w:val="5669154A"/>
    <w:rsid w:val="567AD2BE"/>
    <w:rsid w:val="5683BBA5"/>
    <w:rsid w:val="56954536"/>
    <w:rsid w:val="569BDF68"/>
    <w:rsid w:val="569D8BA6"/>
    <w:rsid w:val="56A112A9"/>
    <w:rsid w:val="56AD62AA"/>
    <w:rsid w:val="56B815AD"/>
    <w:rsid w:val="571BB461"/>
    <w:rsid w:val="572C16D1"/>
    <w:rsid w:val="573B2FE9"/>
    <w:rsid w:val="573DB949"/>
    <w:rsid w:val="574729A7"/>
    <w:rsid w:val="574E0C04"/>
    <w:rsid w:val="57516D97"/>
    <w:rsid w:val="5758F859"/>
    <w:rsid w:val="575B08CC"/>
    <w:rsid w:val="575D96FE"/>
    <w:rsid w:val="5768A1B9"/>
    <w:rsid w:val="5769FE9A"/>
    <w:rsid w:val="57719514"/>
    <w:rsid w:val="578084D8"/>
    <w:rsid w:val="578748F8"/>
    <w:rsid w:val="578F6B54"/>
    <w:rsid w:val="579F34E6"/>
    <w:rsid w:val="57ADA994"/>
    <w:rsid w:val="57B7096E"/>
    <w:rsid w:val="57BDD41E"/>
    <w:rsid w:val="57C2A18B"/>
    <w:rsid w:val="57D1ED77"/>
    <w:rsid w:val="57E8704C"/>
    <w:rsid w:val="58050E25"/>
    <w:rsid w:val="582E3947"/>
    <w:rsid w:val="58300C21"/>
    <w:rsid w:val="58309CD5"/>
    <w:rsid w:val="584D1C28"/>
    <w:rsid w:val="58837925"/>
    <w:rsid w:val="58895C52"/>
    <w:rsid w:val="58ACE116"/>
    <w:rsid w:val="58B013F8"/>
    <w:rsid w:val="58C3D099"/>
    <w:rsid w:val="58C4E9C3"/>
    <w:rsid w:val="58C6C429"/>
    <w:rsid w:val="58CE802A"/>
    <w:rsid w:val="58E160A5"/>
    <w:rsid w:val="58F15189"/>
    <w:rsid w:val="58F1C25B"/>
    <w:rsid w:val="58F37524"/>
    <w:rsid w:val="58FA688C"/>
    <w:rsid w:val="59167FF4"/>
    <w:rsid w:val="592A608C"/>
    <w:rsid w:val="596FF8C4"/>
    <w:rsid w:val="59705353"/>
    <w:rsid w:val="597C6DF9"/>
    <w:rsid w:val="597F4193"/>
    <w:rsid w:val="598F95C9"/>
    <w:rsid w:val="5994AA1C"/>
    <w:rsid w:val="59A359C6"/>
    <w:rsid w:val="59AD8BB8"/>
    <w:rsid w:val="59AE5C43"/>
    <w:rsid w:val="59B8FC41"/>
    <w:rsid w:val="59CC8E82"/>
    <w:rsid w:val="59E989BE"/>
    <w:rsid w:val="59F4F276"/>
    <w:rsid w:val="59FBC280"/>
    <w:rsid w:val="59FBC2C8"/>
    <w:rsid w:val="5A07920F"/>
    <w:rsid w:val="5A1216CD"/>
    <w:rsid w:val="5A1BC8BB"/>
    <w:rsid w:val="5A280BDE"/>
    <w:rsid w:val="5A2B2EDC"/>
    <w:rsid w:val="5A30CEE6"/>
    <w:rsid w:val="5A502BD5"/>
    <w:rsid w:val="5A59D5D9"/>
    <w:rsid w:val="5A7477C8"/>
    <w:rsid w:val="5A7F30B6"/>
    <w:rsid w:val="5A8331C6"/>
    <w:rsid w:val="5A912D77"/>
    <w:rsid w:val="5A9B855E"/>
    <w:rsid w:val="5AA4E7FE"/>
    <w:rsid w:val="5AB0D084"/>
    <w:rsid w:val="5AB4A007"/>
    <w:rsid w:val="5AB72DF4"/>
    <w:rsid w:val="5AC1CA7D"/>
    <w:rsid w:val="5AE147C1"/>
    <w:rsid w:val="5AE2F96D"/>
    <w:rsid w:val="5B1CC492"/>
    <w:rsid w:val="5B2A9615"/>
    <w:rsid w:val="5B2B61D3"/>
    <w:rsid w:val="5B33CE77"/>
    <w:rsid w:val="5B3ADE67"/>
    <w:rsid w:val="5B3CF2E3"/>
    <w:rsid w:val="5B67CE70"/>
    <w:rsid w:val="5B6A0E9C"/>
    <w:rsid w:val="5BA0D7A9"/>
    <w:rsid w:val="5BBBA214"/>
    <w:rsid w:val="5BC390BB"/>
    <w:rsid w:val="5BCAFC35"/>
    <w:rsid w:val="5BCF4697"/>
    <w:rsid w:val="5BE5576D"/>
    <w:rsid w:val="5C2F306A"/>
    <w:rsid w:val="5C387B51"/>
    <w:rsid w:val="5C3CDCA1"/>
    <w:rsid w:val="5C42B3D7"/>
    <w:rsid w:val="5C50ABC7"/>
    <w:rsid w:val="5C5CA6E9"/>
    <w:rsid w:val="5C60D3B7"/>
    <w:rsid w:val="5C62AD11"/>
    <w:rsid w:val="5CA296AA"/>
    <w:rsid w:val="5CA51DFC"/>
    <w:rsid w:val="5CA624A3"/>
    <w:rsid w:val="5CB2B862"/>
    <w:rsid w:val="5CB53688"/>
    <w:rsid w:val="5CBE0E32"/>
    <w:rsid w:val="5CCA87E4"/>
    <w:rsid w:val="5CD555A4"/>
    <w:rsid w:val="5CD87D1C"/>
    <w:rsid w:val="5CE42452"/>
    <w:rsid w:val="5CE8F19E"/>
    <w:rsid w:val="5CEA03FD"/>
    <w:rsid w:val="5D1119AB"/>
    <w:rsid w:val="5D302C9A"/>
    <w:rsid w:val="5D3B75AC"/>
    <w:rsid w:val="5D3EE9EB"/>
    <w:rsid w:val="5D50D82F"/>
    <w:rsid w:val="5D8B98DD"/>
    <w:rsid w:val="5D8D56EF"/>
    <w:rsid w:val="5D971083"/>
    <w:rsid w:val="5DD0DDFC"/>
    <w:rsid w:val="5DD92032"/>
    <w:rsid w:val="5DECBCAA"/>
    <w:rsid w:val="5E3D19F3"/>
    <w:rsid w:val="5E3EA9B1"/>
    <w:rsid w:val="5E411E6B"/>
    <w:rsid w:val="5E44B740"/>
    <w:rsid w:val="5E4900C9"/>
    <w:rsid w:val="5E4A13EF"/>
    <w:rsid w:val="5E520D5A"/>
    <w:rsid w:val="5E597684"/>
    <w:rsid w:val="5E5D3741"/>
    <w:rsid w:val="5E5F0FCA"/>
    <w:rsid w:val="5E75F1DF"/>
    <w:rsid w:val="5E7F2D12"/>
    <w:rsid w:val="5E932B58"/>
    <w:rsid w:val="5E93EDDE"/>
    <w:rsid w:val="5E94BF02"/>
    <w:rsid w:val="5EA0ACF9"/>
    <w:rsid w:val="5EA5E007"/>
    <w:rsid w:val="5EB7035F"/>
    <w:rsid w:val="5EBC060E"/>
    <w:rsid w:val="5ECFC75B"/>
    <w:rsid w:val="5ED5E1D8"/>
    <w:rsid w:val="5ED74651"/>
    <w:rsid w:val="5EEB5159"/>
    <w:rsid w:val="5EF2B8A8"/>
    <w:rsid w:val="5EF8A14E"/>
    <w:rsid w:val="5EF8D596"/>
    <w:rsid w:val="5EFD177F"/>
    <w:rsid w:val="5F215E0B"/>
    <w:rsid w:val="5F247FA8"/>
    <w:rsid w:val="5F2ACDF7"/>
    <w:rsid w:val="5F375AD5"/>
    <w:rsid w:val="5F4E7531"/>
    <w:rsid w:val="5F50A4C9"/>
    <w:rsid w:val="5F79E285"/>
    <w:rsid w:val="5F8EA1EE"/>
    <w:rsid w:val="5F93DADA"/>
    <w:rsid w:val="5F972E79"/>
    <w:rsid w:val="5F9DC4C7"/>
    <w:rsid w:val="5F9FC621"/>
    <w:rsid w:val="5F9FFAA2"/>
    <w:rsid w:val="5FAFB823"/>
    <w:rsid w:val="5FB4E4DC"/>
    <w:rsid w:val="5FC8328C"/>
    <w:rsid w:val="5FCCED51"/>
    <w:rsid w:val="5FD3375C"/>
    <w:rsid w:val="5FD897AA"/>
    <w:rsid w:val="5FEA54D5"/>
    <w:rsid w:val="5FEF4A4F"/>
    <w:rsid w:val="5FFA7549"/>
    <w:rsid w:val="600C4595"/>
    <w:rsid w:val="600F0E73"/>
    <w:rsid w:val="601F374C"/>
    <w:rsid w:val="60341556"/>
    <w:rsid w:val="6042BB7A"/>
    <w:rsid w:val="60451E7D"/>
    <w:rsid w:val="6052C4CE"/>
    <w:rsid w:val="608574C4"/>
    <w:rsid w:val="6086639C"/>
    <w:rsid w:val="60876963"/>
    <w:rsid w:val="608907CF"/>
    <w:rsid w:val="608B280A"/>
    <w:rsid w:val="608BBF52"/>
    <w:rsid w:val="609ECF75"/>
    <w:rsid w:val="60ACEDF7"/>
    <w:rsid w:val="60DC7CA1"/>
    <w:rsid w:val="60EDA040"/>
    <w:rsid w:val="60EF02E4"/>
    <w:rsid w:val="61039F2A"/>
    <w:rsid w:val="610DB9ED"/>
    <w:rsid w:val="611C2DEA"/>
    <w:rsid w:val="61295D8E"/>
    <w:rsid w:val="613D84C6"/>
    <w:rsid w:val="6142E689"/>
    <w:rsid w:val="61454703"/>
    <w:rsid w:val="6164FD34"/>
    <w:rsid w:val="6167D944"/>
    <w:rsid w:val="616B2B90"/>
    <w:rsid w:val="616FB733"/>
    <w:rsid w:val="617B0D78"/>
    <w:rsid w:val="617D9BE6"/>
    <w:rsid w:val="61A5D070"/>
    <w:rsid w:val="61B2E329"/>
    <w:rsid w:val="61BBDB4D"/>
    <w:rsid w:val="61BD764E"/>
    <w:rsid w:val="61C41B76"/>
    <w:rsid w:val="61D21E91"/>
    <w:rsid w:val="61DED8B3"/>
    <w:rsid w:val="61FF1F9F"/>
    <w:rsid w:val="62253814"/>
    <w:rsid w:val="6263FA32"/>
    <w:rsid w:val="62818CE0"/>
    <w:rsid w:val="628497FA"/>
    <w:rsid w:val="62966741"/>
    <w:rsid w:val="6297B6E3"/>
    <w:rsid w:val="629C9EB5"/>
    <w:rsid w:val="62C52688"/>
    <w:rsid w:val="62DB5274"/>
    <w:rsid w:val="62E243DD"/>
    <w:rsid w:val="62E72DFD"/>
    <w:rsid w:val="62EB9B56"/>
    <w:rsid w:val="62F2DC0C"/>
    <w:rsid w:val="62FA8012"/>
    <w:rsid w:val="62FADD7D"/>
    <w:rsid w:val="62FBDED9"/>
    <w:rsid w:val="63015CEB"/>
    <w:rsid w:val="63030A2C"/>
    <w:rsid w:val="631E4F9B"/>
    <w:rsid w:val="63345157"/>
    <w:rsid w:val="6348C027"/>
    <w:rsid w:val="635A668A"/>
    <w:rsid w:val="635E3C43"/>
    <w:rsid w:val="63614066"/>
    <w:rsid w:val="637AA7D2"/>
    <w:rsid w:val="63804158"/>
    <w:rsid w:val="6380E143"/>
    <w:rsid w:val="6386652D"/>
    <w:rsid w:val="638C713A"/>
    <w:rsid w:val="63942107"/>
    <w:rsid w:val="6397EF4C"/>
    <w:rsid w:val="63AE227C"/>
    <w:rsid w:val="63B2EEEF"/>
    <w:rsid w:val="63C7829F"/>
    <w:rsid w:val="63CB6A84"/>
    <w:rsid w:val="63CD1945"/>
    <w:rsid w:val="63E0885C"/>
    <w:rsid w:val="63ECE757"/>
    <w:rsid w:val="63EFB5AD"/>
    <w:rsid w:val="63FCF73A"/>
    <w:rsid w:val="6402C6D6"/>
    <w:rsid w:val="6406C9F2"/>
    <w:rsid w:val="6417011C"/>
    <w:rsid w:val="641D1A3E"/>
    <w:rsid w:val="643C8A0A"/>
    <w:rsid w:val="644C94D2"/>
    <w:rsid w:val="64526030"/>
    <w:rsid w:val="64582FA5"/>
    <w:rsid w:val="646E96CC"/>
    <w:rsid w:val="64704F45"/>
    <w:rsid w:val="648709C5"/>
    <w:rsid w:val="648A5DD5"/>
    <w:rsid w:val="64A9861A"/>
    <w:rsid w:val="64B3076B"/>
    <w:rsid w:val="64DF49F9"/>
    <w:rsid w:val="64F8AE0E"/>
    <w:rsid w:val="65035B50"/>
    <w:rsid w:val="6505765E"/>
    <w:rsid w:val="6517046F"/>
    <w:rsid w:val="6533090F"/>
    <w:rsid w:val="6534962A"/>
    <w:rsid w:val="6535441C"/>
    <w:rsid w:val="653AA279"/>
    <w:rsid w:val="65405E34"/>
    <w:rsid w:val="6542D2AB"/>
    <w:rsid w:val="65515BB6"/>
    <w:rsid w:val="658260FF"/>
    <w:rsid w:val="658315D8"/>
    <w:rsid w:val="6586259B"/>
    <w:rsid w:val="65991860"/>
    <w:rsid w:val="65ADF9B9"/>
    <w:rsid w:val="65BA312C"/>
    <w:rsid w:val="65BF8701"/>
    <w:rsid w:val="65D38922"/>
    <w:rsid w:val="65EA1910"/>
    <w:rsid w:val="65FD7705"/>
    <w:rsid w:val="65FE6D35"/>
    <w:rsid w:val="66092F12"/>
    <w:rsid w:val="660CF8BB"/>
    <w:rsid w:val="6613CBF0"/>
    <w:rsid w:val="66145808"/>
    <w:rsid w:val="662CCA0F"/>
    <w:rsid w:val="664137FC"/>
    <w:rsid w:val="66420150"/>
    <w:rsid w:val="6669C987"/>
    <w:rsid w:val="667EACBB"/>
    <w:rsid w:val="668DF51E"/>
    <w:rsid w:val="66A8B6FE"/>
    <w:rsid w:val="66ADEB64"/>
    <w:rsid w:val="66B724F5"/>
    <w:rsid w:val="66C7BC32"/>
    <w:rsid w:val="66D1A2E2"/>
    <w:rsid w:val="66EF4694"/>
    <w:rsid w:val="66F14950"/>
    <w:rsid w:val="66F52006"/>
    <w:rsid w:val="66F54B7A"/>
    <w:rsid w:val="67053465"/>
    <w:rsid w:val="6718E7E1"/>
    <w:rsid w:val="6721DFAE"/>
    <w:rsid w:val="672499CF"/>
    <w:rsid w:val="6756AEE7"/>
    <w:rsid w:val="67615C16"/>
    <w:rsid w:val="677B3A12"/>
    <w:rsid w:val="67A7E416"/>
    <w:rsid w:val="67B0D3D0"/>
    <w:rsid w:val="67C1F940"/>
    <w:rsid w:val="67E337E6"/>
    <w:rsid w:val="67EDEDF1"/>
    <w:rsid w:val="6800BD1E"/>
    <w:rsid w:val="680C3AA2"/>
    <w:rsid w:val="68127A8B"/>
    <w:rsid w:val="681C5035"/>
    <w:rsid w:val="681DA2D9"/>
    <w:rsid w:val="6822B3B4"/>
    <w:rsid w:val="6825DBED"/>
    <w:rsid w:val="6826C022"/>
    <w:rsid w:val="6828A9D6"/>
    <w:rsid w:val="68311562"/>
    <w:rsid w:val="683E015C"/>
    <w:rsid w:val="684640A6"/>
    <w:rsid w:val="68512313"/>
    <w:rsid w:val="6857A7C4"/>
    <w:rsid w:val="6865A00F"/>
    <w:rsid w:val="6889E029"/>
    <w:rsid w:val="688BCE34"/>
    <w:rsid w:val="688DFD82"/>
    <w:rsid w:val="68B4FFE6"/>
    <w:rsid w:val="68B783C4"/>
    <w:rsid w:val="68C69AFC"/>
    <w:rsid w:val="68F52840"/>
    <w:rsid w:val="6905412B"/>
    <w:rsid w:val="69168493"/>
    <w:rsid w:val="6946165A"/>
    <w:rsid w:val="6966FA2F"/>
    <w:rsid w:val="696E19BC"/>
    <w:rsid w:val="697A2114"/>
    <w:rsid w:val="697E90F2"/>
    <w:rsid w:val="69852AF6"/>
    <w:rsid w:val="698AB67A"/>
    <w:rsid w:val="6992C769"/>
    <w:rsid w:val="699E8B14"/>
    <w:rsid w:val="69ADB4C8"/>
    <w:rsid w:val="69B9C7D9"/>
    <w:rsid w:val="69DEA161"/>
    <w:rsid w:val="69E16B1D"/>
    <w:rsid w:val="69F48A72"/>
    <w:rsid w:val="69FA3860"/>
    <w:rsid w:val="6A062874"/>
    <w:rsid w:val="6A17294A"/>
    <w:rsid w:val="6A20B281"/>
    <w:rsid w:val="6A222158"/>
    <w:rsid w:val="6A3600CC"/>
    <w:rsid w:val="6A435675"/>
    <w:rsid w:val="6A65AB3D"/>
    <w:rsid w:val="6A6B4023"/>
    <w:rsid w:val="6AA23773"/>
    <w:rsid w:val="6AAB1884"/>
    <w:rsid w:val="6AC44911"/>
    <w:rsid w:val="6AF07F99"/>
    <w:rsid w:val="6B147AA0"/>
    <w:rsid w:val="6B412261"/>
    <w:rsid w:val="6B5E0F55"/>
    <w:rsid w:val="6B657E34"/>
    <w:rsid w:val="6BA5E96C"/>
    <w:rsid w:val="6BAF3F64"/>
    <w:rsid w:val="6BC5D6AF"/>
    <w:rsid w:val="6BDEE9A5"/>
    <w:rsid w:val="6BF54C73"/>
    <w:rsid w:val="6C008C78"/>
    <w:rsid w:val="6C1C645E"/>
    <w:rsid w:val="6C23CD27"/>
    <w:rsid w:val="6C287167"/>
    <w:rsid w:val="6C2E5EE3"/>
    <w:rsid w:val="6C3AB645"/>
    <w:rsid w:val="6C4FE68A"/>
    <w:rsid w:val="6C602DEA"/>
    <w:rsid w:val="6C62C788"/>
    <w:rsid w:val="6C6655B6"/>
    <w:rsid w:val="6C85DB9F"/>
    <w:rsid w:val="6C92B98F"/>
    <w:rsid w:val="6CA2636D"/>
    <w:rsid w:val="6CA33A6B"/>
    <w:rsid w:val="6CAFA4F0"/>
    <w:rsid w:val="6CBF942B"/>
    <w:rsid w:val="6CC14565"/>
    <w:rsid w:val="6CC1A417"/>
    <w:rsid w:val="6CD7708C"/>
    <w:rsid w:val="6CEA6DFF"/>
    <w:rsid w:val="6CFACB36"/>
    <w:rsid w:val="6D0173F3"/>
    <w:rsid w:val="6D0363F0"/>
    <w:rsid w:val="6D194C9D"/>
    <w:rsid w:val="6D1ECAB5"/>
    <w:rsid w:val="6D534F19"/>
    <w:rsid w:val="6D55DB87"/>
    <w:rsid w:val="6D71F344"/>
    <w:rsid w:val="6D9530B0"/>
    <w:rsid w:val="6D99F52D"/>
    <w:rsid w:val="6DB7681B"/>
    <w:rsid w:val="6DC00CDA"/>
    <w:rsid w:val="6DC57B1F"/>
    <w:rsid w:val="6DCAF0BD"/>
    <w:rsid w:val="6DE158B1"/>
    <w:rsid w:val="6E0A1C91"/>
    <w:rsid w:val="6E19C485"/>
    <w:rsid w:val="6E27A493"/>
    <w:rsid w:val="6E3A1DC0"/>
    <w:rsid w:val="6E44FD51"/>
    <w:rsid w:val="6E552F92"/>
    <w:rsid w:val="6E69732A"/>
    <w:rsid w:val="6EA12D62"/>
    <w:rsid w:val="6EB284C6"/>
    <w:rsid w:val="6ECBC107"/>
    <w:rsid w:val="6ED72D0B"/>
    <w:rsid w:val="6EDD3F06"/>
    <w:rsid w:val="6EE3F80A"/>
    <w:rsid w:val="6EE5C0BE"/>
    <w:rsid w:val="6EFC1FE8"/>
    <w:rsid w:val="6F02FAE5"/>
    <w:rsid w:val="6F07A857"/>
    <w:rsid w:val="6F11F672"/>
    <w:rsid w:val="6F383980"/>
    <w:rsid w:val="6F38B9E4"/>
    <w:rsid w:val="6F4D14D9"/>
    <w:rsid w:val="6F5C732A"/>
    <w:rsid w:val="6F60D93A"/>
    <w:rsid w:val="6F6B78DB"/>
    <w:rsid w:val="6F70ED3D"/>
    <w:rsid w:val="6F754992"/>
    <w:rsid w:val="6F80A33B"/>
    <w:rsid w:val="6F9136D3"/>
    <w:rsid w:val="6F9D2064"/>
    <w:rsid w:val="6FB89441"/>
    <w:rsid w:val="6FBE6B29"/>
    <w:rsid w:val="6FDE5E1C"/>
    <w:rsid w:val="6FE828B0"/>
    <w:rsid w:val="6FEA9F54"/>
    <w:rsid w:val="6FF2757D"/>
    <w:rsid w:val="6FFC450D"/>
    <w:rsid w:val="70013D41"/>
    <w:rsid w:val="700419EE"/>
    <w:rsid w:val="700EEAC3"/>
    <w:rsid w:val="70143B8B"/>
    <w:rsid w:val="702A1442"/>
    <w:rsid w:val="703E0F4B"/>
    <w:rsid w:val="704DB68F"/>
    <w:rsid w:val="705621FF"/>
    <w:rsid w:val="70630F9E"/>
    <w:rsid w:val="70665906"/>
    <w:rsid w:val="706934BF"/>
    <w:rsid w:val="7070B208"/>
    <w:rsid w:val="707D954F"/>
    <w:rsid w:val="70908973"/>
    <w:rsid w:val="70B61ADE"/>
    <w:rsid w:val="70B89B55"/>
    <w:rsid w:val="70BC9F72"/>
    <w:rsid w:val="70EA306F"/>
    <w:rsid w:val="70EEF377"/>
    <w:rsid w:val="70F426B0"/>
    <w:rsid w:val="70FF7D9F"/>
    <w:rsid w:val="70FFF3B5"/>
    <w:rsid w:val="710DFFBC"/>
    <w:rsid w:val="7119E640"/>
    <w:rsid w:val="711DAF39"/>
    <w:rsid w:val="71460E99"/>
    <w:rsid w:val="714BDF88"/>
    <w:rsid w:val="7156E10D"/>
    <w:rsid w:val="715C2918"/>
    <w:rsid w:val="715C959C"/>
    <w:rsid w:val="7160E292"/>
    <w:rsid w:val="7192C082"/>
    <w:rsid w:val="7196B4B8"/>
    <w:rsid w:val="71AAB602"/>
    <w:rsid w:val="71AF3B92"/>
    <w:rsid w:val="71B7D8E0"/>
    <w:rsid w:val="71E074C2"/>
    <w:rsid w:val="72030ABE"/>
    <w:rsid w:val="7204E473"/>
    <w:rsid w:val="720C79F1"/>
    <w:rsid w:val="7210C244"/>
    <w:rsid w:val="721678C3"/>
    <w:rsid w:val="722B1F60"/>
    <w:rsid w:val="72317AE3"/>
    <w:rsid w:val="7271EA27"/>
    <w:rsid w:val="7293C71C"/>
    <w:rsid w:val="72945E90"/>
    <w:rsid w:val="72963384"/>
    <w:rsid w:val="72B05932"/>
    <w:rsid w:val="72B3FB4E"/>
    <w:rsid w:val="72B47B14"/>
    <w:rsid w:val="72BD17DD"/>
    <w:rsid w:val="72CAF662"/>
    <w:rsid w:val="72D2BA3B"/>
    <w:rsid w:val="72DAA7CA"/>
    <w:rsid w:val="72DE92E8"/>
    <w:rsid w:val="730CCB17"/>
    <w:rsid w:val="73355EC2"/>
    <w:rsid w:val="733A7F30"/>
    <w:rsid w:val="733B3FA3"/>
    <w:rsid w:val="73489965"/>
    <w:rsid w:val="7377B6A0"/>
    <w:rsid w:val="7398187B"/>
    <w:rsid w:val="73A7070E"/>
    <w:rsid w:val="73AC25A0"/>
    <w:rsid w:val="73AD9AB8"/>
    <w:rsid w:val="73B42FB8"/>
    <w:rsid w:val="73B890D5"/>
    <w:rsid w:val="73C3FEC0"/>
    <w:rsid w:val="73C4B1C8"/>
    <w:rsid w:val="73DF5FA5"/>
    <w:rsid w:val="73E8A962"/>
    <w:rsid w:val="73EA3739"/>
    <w:rsid w:val="73FB5764"/>
    <w:rsid w:val="7417051A"/>
    <w:rsid w:val="742DA1F8"/>
    <w:rsid w:val="744B94E3"/>
    <w:rsid w:val="744F5501"/>
    <w:rsid w:val="7452179C"/>
    <w:rsid w:val="745B199F"/>
    <w:rsid w:val="7478D23B"/>
    <w:rsid w:val="747F30BF"/>
    <w:rsid w:val="74857FB4"/>
    <w:rsid w:val="749581D1"/>
    <w:rsid w:val="74988BE6"/>
    <w:rsid w:val="74999BC7"/>
    <w:rsid w:val="74A82AFF"/>
    <w:rsid w:val="74B30313"/>
    <w:rsid w:val="74BDBD6C"/>
    <w:rsid w:val="74D0B25A"/>
    <w:rsid w:val="74D3DC3E"/>
    <w:rsid w:val="74D5A878"/>
    <w:rsid w:val="74DC6A9B"/>
    <w:rsid w:val="74EB5242"/>
    <w:rsid w:val="74FE2F2A"/>
    <w:rsid w:val="74FF48FC"/>
    <w:rsid w:val="75009AC4"/>
    <w:rsid w:val="7529DC30"/>
    <w:rsid w:val="753040A8"/>
    <w:rsid w:val="7551AEE2"/>
    <w:rsid w:val="7557E5F7"/>
    <w:rsid w:val="756B08F2"/>
    <w:rsid w:val="75750837"/>
    <w:rsid w:val="757C0F7B"/>
    <w:rsid w:val="758A0E05"/>
    <w:rsid w:val="7598B289"/>
    <w:rsid w:val="759EB7C6"/>
    <w:rsid w:val="75A008AB"/>
    <w:rsid w:val="75A1B8F8"/>
    <w:rsid w:val="75AA1A2B"/>
    <w:rsid w:val="75ACEA7E"/>
    <w:rsid w:val="75B763C1"/>
    <w:rsid w:val="75C94903"/>
    <w:rsid w:val="75CE3AC2"/>
    <w:rsid w:val="75D51A7B"/>
    <w:rsid w:val="75FC408E"/>
    <w:rsid w:val="7600BC83"/>
    <w:rsid w:val="76046C43"/>
    <w:rsid w:val="760DBFB7"/>
    <w:rsid w:val="7619466F"/>
    <w:rsid w:val="762333AE"/>
    <w:rsid w:val="762AA71E"/>
    <w:rsid w:val="76310D98"/>
    <w:rsid w:val="7633A2AC"/>
    <w:rsid w:val="76371935"/>
    <w:rsid w:val="763E777B"/>
    <w:rsid w:val="7649B880"/>
    <w:rsid w:val="76569827"/>
    <w:rsid w:val="7664B0A8"/>
    <w:rsid w:val="76691574"/>
    <w:rsid w:val="766A0839"/>
    <w:rsid w:val="7673D8EF"/>
    <w:rsid w:val="76829DDE"/>
    <w:rsid w:val="76A4AB09"/>
    <w:rsid w:val="76A9B256"/>
    <w:rsid w:val="76BC7139"/>
    <w:rsid w:val="76C54231"/>
    <w:rsid w:val="76CAD609"/>
    <w:rsid w:val="76CDAA0E"/>
    <w:rsid w:val="76E3A478"/>
    <w:rsid w:val="7708FC3E"/>
    <w:rsid w:val="770C3070"/>
    <w:rsid w:val="77170B96"/>
    <w:rsid w:val="77170CBE"/>
    <w:rsid w:val="7746357B"/>
    <w:rsid w:val="77636998"/>
    <w:rsid w:val="77666354"/>
    <w:rsid w:val="776ABC7C"/>
    <w:rsid w:val="779FF035"/>
    <w:rsid w:val="77A2EA6B"/>
    <w:rsid w:val="77A585CB"/>
    <w:rsid w:val="77B67FCC"/>
    <w:rsid w:val="77BD7F12"/>
    <w:rsid w:val="77C4E7A1"/>
    <w:rsid w:val="77CDAE70"/>
    <w:rsid w:val="77D1F4BC"/>
    <w:rsid w:val="7808FF91"/>
    <w:rsid w:val="7827F72B"/>
    <w:rsid w:val="782DC0C9"/>
    <w:rsid w:val="785015FE"/>
    <w:rsid w:val="7870E82C"/>
    <w:rsid w:val="789D1CB7"/>
    <w:rsid w:val="78A1AA6A"/>
    <w:rsid w:val="78AC9C49"/>
    <w:rsid w:val="78B258EA"/>
    <w:rsid w:val="78DD9FB6"/>
    <w:rsid w:val="78F1C880"/>
    <w:rsid w:val="78F44638"/>
    <w:rsid w:val="78F9FCE6"/>
    <w:rsid w:val="78FB64E7"/>
    <w:rsid w:val="78FB7F74"/>
    <w:rsid w:val="78FCFDE5"/>
    <w:rsid w:val="790E1286"/>
    <w:rsid w:val="79273EE2"/>
    <w:rsid w:val="79332631"/>
    <w:rsid w:val="7938E043"/>
    <w:rsid w:val="79468BA6"/>
    <w:rsid w:val="794B170E"/>
    <w:rsid w:val="79796168"/>
    <w:rsid w:val="79847F7C"/>
    <w:rsid w:val="798E4007"/>
    <w:rsid w:val="79A14F09"/>
    <w:rsid w:val="79A8E626"/>
    <w:rsid w:val="79BC0768"/>
    <w:rsid w:val="79C68259"/>
    <w:rsid w:val="79D59AB5"/>
    <w:rsid w:val="79DD8DCE"/>
    <w:rsid w:val="79F598E6"/>
    <w:rsid w:val="79FC34A7"/>
    <w:rsid w:val="7A1BF13F"/>
    <w:rsid w:val="7A2E0417"/>
    <w:rsid w:val="7A484706"/>
    <w:rsid w:val="7A5197D0"/>
    <w:rsid w:val="7A76FB7C"/>
    <w:rsid w:val="7A8B7C70"/>
    <w:rsid w:val="7A969787"/>
    <w:rsid w:val="7A9CF62B"/>
    <w:rsid w:val="7ACD44E0"/>
    <w:rsid w:val="7AD67A73"/>
    <w:rsid w:val="7AE4C126"/>
    <w:rsid w:val="7AF86420"/>
    <w:rsid w:val="7AF8D207"/>
    <w:rsid w:val="7AFA8A9A"/>
    <w:rsid w:val="7AFB2AFF"/>
    <w:rsid w:val="7B0F2407"/>
    <w:rsid w:val="7B24AD91"/>
    <w:rsid w:val="7B65FE52"/>
    <w:rsid w:val="7B6841AC"/>
    <w:rsid w:val="7B69F111"/>
    <w:rsid w:val="7B81811D"/>
    <w:rsid w:val="7B8D53D4"/>
    <w:rsid w:val="7B97BD5C"/>
    <w:rsid w:val="7BA1D2C4"/>
    <w:rsid w:val="7BAA189F"/>
    <w:rsid w:val="7BD228A9"/>
    <w:rsid w:val="7BDCC627"/>
    <w:rsid w:val="7BED5D19"/>
    <w:rsid w:val="7BF5DD14"/>
    <w:rsid w:val="7BF8B4A2"/>
    <w:rsid w:val="7C00125F"/>
    <w:rsid w:val="7C10978B"/>
    <w:rsid w:val="7C328B5D"/>
    <w:rsid w:val="7C39465A"/>
    <w:rsid w:val="7C3A126B"/>
    <w:rsid w:val="7C3AED8F"/>
    <w:rsid w:val="7C3D43BF"/>
    <w:rsid w:val="7C61E94F"/>
    <w:rsid w:val="7C6F1A07"/>
    <w:rsid w:val="7C77ABCF"/>
    <w:rsid w:val="7C7C2C6D"/>
    <w:rsid w:val="7C7E0272"/>
    <w:rsid w:val="7C8A3ED2"/>
    <w:rsid w:val="7C98B7DE"/>
    <w:rsid w:val="7CAC3670"/>
    <w:rsid w:val="7CB15665"/>
    <w:rsid w:val="7CB26387"/>
    <w:rsid w:val="7CBED607"/>
    <w:rsid w:val="7CC86FB7"/>
    <w:rsid w:val="7CF83120"/>
    <w:rsid w:val="7D0012A4"/>
    <w:rsid w:val="7D293DF4"/>
    <w:rsid w:val="7D455F58"/>
    <w:rsid w:val="7D4E0757"/>
    <w:rsid w:val="7D5D49CD"/>
    <w:rsid w:val="7D636452"/>
    <w:rsid w:val="7D9F1F6A"/>
    <w:rsid w:val="7DE268A4"/>
    <w:rsid w:val="7DEFF040"/>
    <w:rsid w:val="7E0487D4"/>
    <w:rsid w:val="7E3721A6"/>
    <w:rsid w:val="7E39D091"/>
    <w:rsid w:val="7E6589E9"/>
    <w:rsid w:val="7E6E8EF4"/>
    <w:rsid w:val="7E6EC3A3"/>
    <w:rsid w:val="7ED1688D"/>
    <w:rsid w:val="7ED34898"/>
    <w:rsid w:val="7EED314F"/>
    <w:rsid w:val="7F0EC117"/>
    <w:rsid w:val="7F225817"/>
    <w:rsid w:val="7F23BC48"/>
    <w:rsid w:val="7F391962"/>
    <w:rsid w:val="7F425AA0"/>
    <w:rsid w:val="7F5FE94D"/>
    <w:rsid w:val="7F667036"/>
    <w:rsid w:val="7F687C86"/>
    <w:rsid w:val="7F79B22F"/>
    <w:rsid w:val="7F82A241"/>
    <w:rsid w:val="7F89639F"/>
    <w:rsid w:val="7F9AE594"/>
    <w:rsid w:val="7FA25C59"/>
    <w:rsid w:val="7FB83DBB"/>
    <w:rsid w:val="7FEF4FDB"/>
    <w:rsid w:val="7FF6102E"/>
    <w:rsid w:val="7FF6CB58"/>
  </w:rsids>
  <m:mathPr>
    <m:mathFont m:val="Cambria Math"/>
    <m:brkBin m:val="before"/>
    <m:brkBinSub m:val="--"/>
    <m:smallFrac m:val="0"/>
    <m:dispDef/>
    <m:lMargin m:val="0"/>
    <m:rMargin m:val="0"/>
    <m:defJc m:val="centerGroup"/>
    <m:wrapIndent m:val="1440"/>
    <m:intLim m:val="subSup"/>
    <m:naryLim m:val="undOvr"/>
  </m:mathPr>
  <w:themeFontLang w:val="sl-S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EEF4A"/>
  <w15:chartTrackingRefBased/>
  <w15:docId w15:val="{581367EA-3EED-4768-9C77-D9E14BCB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A134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unhideWhenUsed/>
    <w:qFormat/>
    <w:rsid w:val="00A134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A1343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unhideWhenUsed/>
    <w:qFormat/>
    <w:rsid w:val="00A1343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A1343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A1343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A1343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A1343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A1343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A1343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rsid w:val="00A1343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A1343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rsid w:val="00A1343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A1343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A1343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A1343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A1343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A13439"/>
    <w:rPr>
      <w:rFonts w:eastAsiaTheme="majorEastAsia" w:cstheme="majorBidi"/>
      <w:color w:val="272727" w:themeColor="text1" w:themeTint="D8"/>
    </w:rPr>
  </w:style>
  <w:style w:type="paragraph" w:styleId="Naslov">
    <w:name w:val="Title"/>
    <w:basedOn w:val="Navaden"/>
    <w:next w:val="Navaden"/>
    <w:link w:val="NaslovZnak"/>
    <w:uiPriority w:val="10"/>
    <w:qFormat/>
    <w:rsid w:val="00A134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A1343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A1343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A1343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A13439"/>
    <w:pPr>
      <w:spacing w:before="160"/>
      <w:jc w:val="center"/>
    </w:pPr>
    <w:rPr>
      <w:i/>
      <w:iCs/>
      <w:color w:val="404040" w:themeColor="text1" w:themeTint="BF"/>
    </w:rPr>
  </w:style>
  <w:style w:type="character" w:customStyle="1" w:styleId="CitatZnak">
    <w:name w:val="Citat Znak"/>
    <w:basedOn w:val="Privzetapisavaodstavka"/>
    <w:link w:val="Citat"/>
    <w:uiPriority w:val="29"/>
    <w:rsid w:val="00A13439"/>
    <w:rPr>
      <w:i/>
      <w:iCs/>
      <w:color w:val="404040" w:themeColor="text1" w:themeTint="BF"/>
    </w:rPr>
  </w:style>
  <w:style w:type="paragraph" w:styleId="Odstavekseznama">
    <w:name w:val="List Paragraph"/>
    <w:basedOn w:val="Navaden"/>
    <w:uiPriority w:val="34"/>
    <w:qFormat/>
    <w:rsid w:val="00A13439"/>
    <w:pPr>
      <w:ind w:left="720"/>
      <w:contextualSpacing/>
    </w:pPr>
  </w:style>
  <w:style w:type="character" w:styleId="Intenzivenpoudarek">
    <w:name w:val="Intense Emphasis"/>
    <w:basedOn w:val="Privzetapisavaodstavka"/>
    <w:uiPriority w:val="21"/>
    <w:qFormat/>
    <w:rsid w:val="00A13439"/>
    <w:rPr>
      <w:i/>
      <w:iCs/>
      <w:color w:val="0F4761" w:themeColor="accent1" w:themeShade="BF"/>
    </w:rPr>
  </w:style>
  <w:style w:type="paragraph" w:styleId="Intenzivencitat">
    <w:name w:val="Intense Quote"/>
    <w:basedOn w:val="Navaden"/>
    <w:next w:val="Navaden"/>
    <w:link w:val="IntenzivencitatZnak"/>
    <w:uiPriority w:val="30"/>
    <w:qFormat/>
    <w:rsid w:val="00A134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A13439"/>
    <w:rPr>
      <w:i/>
      <w:iCs/>
      <w:color w:val="0F4761" w:themeColor="accent1" w:themeShade="BF"/>
    </w:rPr>
  </w:style>
  <w:style w:type="character" w:styleId="Intenzivensklic">
    <w:name w:val="Intense Reference"/>
    <w:basedOn w:val="Privzetapisavaodstavka"/>
    <w:uiPriority w:val="32"/>
    <w:qFormat/>
    <w:rsid w:val="00A13439"/>
    <w:rPr>
      <w:b/>
      <w:bCs/>
      <w:smallCaps/>
      <w:color w:val="0F4761" w:themeColor="accent1" w:themeShade="BF"/>
      <w:spacing w:val="5"/>
    </w:rPr>
  </w:style>
  <w:style w:type="paragraph" w:styleId="NaslovTOC">
    <w:name w:val="TOC Heading"/>
    <w:basedOn w:val="Naslov1"/>
    <w:next w:val="Navaden"/>
    <w:uiPriority w:val="39"/>
    <w:unhideWhenUsed/>
    <w:qFormat/>
    <w:rsid w:val="00023D2C"/>
    <w:pPr>
      <w:spacing w:before="240" w:after="0"/>
      <w:outlineLvl w:val="9"/>
    </w:pPr>
    <w:rPr>
      <w:kern w:val="0"/>
      <w:sz w:val="32"/>
      <w:szCs w:val="32"/>
      <w:lang w:eastAsia="sl-SI"/>
      <w14:ligatures w14:val="none"/>
    </w:rPr>
  </w:style>
  <w:style w:type="paragraph" w:styleId="Kazalovsebine1">
    <w:name w:val="toc 1"/>
    <w:basedOn w:val="Navaden"/>
    <w:next w:val="Navaden"/>
    <w:autoRedefine/>
    <w:uiPriority w:val="39"/>
    <w:unhideWhenUsed/>
    <w:rsid w:val="00023D2C"/>
    <w:pPr>
      <w:spacing w:after="100"/>
    </w:pPr>
  </w:style>
  <w:style w:type="paragraph" w:styleId="Kazalovsebine2">
    <w:name w:val="toc 2"/>
    <w:basedOn w:val="Navaden"/>
    <w:next w:val="Navaden"/>
    <w:autoRedefine/>
    <w:uiPriority w:val="39"/>
    <w:unhideWhenUsed/>
    <w:rsid w:val="00D97BD5"/>
    <w:pPr>
      <w:tabs>
        <w:tab w:val="left" w:pos="960"/>
        <w:tab w:val="right" w:leader="dot" w:pos="9628"/>
      </w:tabs>
      <w:spacing w:after="0" w:line="300" w:lineRule="atLeast"/>
      <w:ind w:left="221"/>
    </w:pPr>
  </w:style>
  <w:style w:type="character" w:styleId="Hiperpovezava">
    <w:name w:val="Hyperlink"/>
    <w:basedOn w:val="Privzetapisavaodstavka"/>
    <w:uiPriority w:val="99"/>
    <w:unhideWhenUsed/>
    <w:rsid w:val="00023D2C"/>
    <w:rPr>
      <w:color w:val="467886" w:themeColor="hyperlink"/>
      <w:u w:val="single"/>
    </w:rPr>
  </w:style>
  <w:style w:type="paragraph" w:styleId="Revizija">
    <w:name w:val="Revision"/>
    <w:hidden/>
    <w:uiPriority w:val="99"/>
    <w:semiHidden/>
    <w:rsid w:val="00926800"/>
    <w:pPr>
      <w:spacing w:after="0" w:line="240" w:lineRule="auto"/>
    </w:pPr>
  </w:style>
  <w:style w:type="table" w:styleId="Tabelamrea">
    <w:name w:val="Table Grid"/>
    <w:basedOn w:val="Navadnatabe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protnaopomba-sklic">
    <w:name w:val="footnote reference"/>
    <w:basedOn w:val="Privzetapisavaodstavka"/>
    <w:uiPriority w:val="99"/>
    <w:semiHidden/>
    <w:unhideWhenUsed/>
    <w:rPr>
      <w:vertAlign w:val="superscript"/>
    </w:rPr>
  </w:style>
  <w:style w:type="character" w:customStyle="1" w:styleId="Sprotnaopomba-besediloZnak">
    <w:name w:val="Sprotna opomba - besedilo Znak"/>
    <w:basedOn w:val="Privzetapisavaodstavka"/>
    <w:link w:val="Sprotnaopomba-besedilo"/>
    <w:uiPriority w:val="99"/>
    <w:semiHidden/>
    <w:rPr>
      <w:sz w:val="20"/>
      <w:szCs w:val="20"/>
    </w:rPr>
  </w:style>
  <w:style w:type="paragraph" w:styleId="Sprotnaopomba-besedilo">
    <w:name w:val="footnote text"/>
    <w:basedOn w:val="Navaden"/>
    <w:link w:val="Sprotnaopomba-besediloZnak"/>
    <w:uiPriority w:val="99"/>
    <w:semiHidden/>
    <w:unhideWhenUsed/>
    <w:pPr>
      <w:spacing w:after="0" w:line="240" w:lineRule="auto"/>
    </w:pPr>
    <w:rPr>
      <w:sz w:val="20"/>
      <w:szCs w:val="20"/>
    </w:rPr>
  </w:style>
  <w:style w:type="paragraph" w:styleId="Glava">
    <w:name w:val="header"/>
    <w:basedOn w:val="Navaden"/>
    <w:link w:val="GlavaZnak"/>
    <w:uiPriority w:val="99"/>
    <w:unhideWhenUsed/>
    <w:rsid w:val="00380D63"/>
    <w:pPr>
      <w:tabs>
        <w:tab w:val="center" w:pos="4680"/>
        <w:tab w:val="right" w:pos="9360"/>
      </w:tabs>
      <w:spacing w:after="0" w:line="240" w:lineRule="auto"/>
    </w:pPr>
  </w:style>
  <w:style w:type="character" w:customStyle="1" w:styleId="GlavaZnak">
    <w:name w:val="Glava Znak"/>
    <w:basedOn w:val="Privzetapisavaodstavka"/>
    <w:link w:val="Glava"/>
    <w:uiPriority w:val="99"/>
    <w:rsid w:val="00380D63"/>
  </w:style>
  <w:style w:type="paragraph" w:styleId="Noga">
    <w:name w:val="footer"/>
    <w:basedOn w:val="Navaden"/>
    <w:link w:val="NogaZnak"/>
    <w:uiPriority w:val="99"/>
    <w:unhideWhenUsed/>
    <w:rsid w:val="00380D63"/>
    <w:pPr>
      <w:tabs>
        <w:tab w:val="center" w:pos="4680"/>
        <w:tab w:val="right" w:pos="9360"/>
      </w:tabs>
      <w:spacing w:after="0" w:line="240" w:lineRule="auto"/>
    </w:pPr>
  </w:style>
  <w:style w:type="character" w:customStyle="1" w:styleId="NogaZnak">
    <w:name w:val="Noga Znak"/>
    <w:basedOn w:val="Privzetapisavaodstavka"/>
    <w:link w:val="Noga"/>
    <w:uiPriority w:val="99"/>
    <w:rsid w:val="00380D63"/>
  </w:style>
  <w:style w:type="paragraph" w:styleId="Kazalovsebine3">
    <w:name w:val="toc 3"/>
    <w:basedOn w:val="Navaden"/>
    <w:next w:val="Navaden"/>
    <w:uiPriority w:val="39"/>
    <w:unhideWhenUsed/>
    <w:rsid w:val="29A8477B"/>
    <w:pPr>
      <w:spacing w:after="100"/>
      <w:ind w:left="440"/>
    </w:pPr>
  </w:style>
  <w:style w:type="paragraph" w:styleId="Pripombabesedilo">
    <w:name w:val="annotation text"/>
    <w:basedOn w:val="Navaden"/>
    <w:link w:val="PripombabesediloZnak"/>
    <w:uiPriority w:val="99"/>
    <w:unhideWhenUsed/>
    <w:pPr>
      <w:spacing w:line="240" w:lineRule="auto"/>
    </w:pPr>
    <w:rPr>
      <w:sz w:val="20"/>
      <w:szCs w:val="20"/>
    </w:rPr>
  </w:style>
  <w:style w:type="character" w:customStyle="1" w:styleId="PripombabesediloZnak">
    <w:name w:val="Pripomba – besedilo Znak"/>
    <w:basedOn w:val="Privzetapisavaodstavka"/>
    <w:link w:val="Pripombabesedilo"/>
    <w:uiPriority w:val="99"/>
    <w:rPr>
      <w:sz w:val="20"/>
      <w:szCs w:val="20"/>
    </w:rPr>
  </w:style>
  <w:style w:type="character" w:styleId="Pripombasklic">
    <w:name w:val="annotation reference"/>
    <w:basedOn w:val="Privzetapisavaodstavka"/>
    <w:uiPriority w:val="99"/>
    <w:semiHidden/>
    <w:unhideWhenUsed/>
    <w:rPr>
      <w:sz w:val="16"/>
      <w:szCs w:val="16"/>
    </w:rPr>
  </w:style>
  <w:style w:type="paragraph" w:styleId="Zadevapripombe">
    <w:name w:val="annotation subject"/>
    <w:basedOn w:val="Pripombabesedilo"/>
    <w:next w:val="Pripombabesedilo"/>
    <w:link w:val="ZadevapripombeZnak"/>
    <w:uiPriority w:val="99"/>
    <w:semiHidden/>
    <w:unhideWhenUsed/>
    <w:rsid w:val="00632960"/>
    <w:rPr>
      <w:b/>
      <w:bCs/>
    </w:rPr>
  </w:style>
  <w:style w:type="character" w:customStyle="1" w:styleId="ZadevapripombeZnak">
    <w:name w:val="Zadeva pripombe Znak"/>
    <w:basedOn w:val="PripombabesediloZnak"/>
    <w:link w:val="Zadevapripombe"/>
    <w:uiPriority w:val="99"/>
    <w:semiHidden/>
    <w:rsid w:val="00632960"/>
    <w:rPr>
      <w:b/>
      <w:bCs/>
      <w:sz w:val="20"/>
      <w:szCs w:val="20"/>
    </w:rPr>
  </w:style>
  <w:style w:type="numbering" w:customStyle="1" w:styleId="Trenutniseznam1">
    <w:name w:val="Trenutni seznam1"/>
    <w:uiPriority w:val="99"/>
    <w:rsid w:val="00F70748"/>
    <w:pPr>
      <w:numPr>
        <w:numId w:val="41"/>
      </w:numPr>
    </w:pPr>
  </w:style>
  <w:style w:type="character" w:styleId="SledenaHiperpovezava">
    <w:name w:val="FollowedHyperlink"/>
    <w:basedOn w:val="Privzetapisavaodstavka"/>
    <w:uiPriority w:val="99"/>
    <w:semiHidden/>
    <w:unhideWhenUsed/>
    <w:rsid w:val="00BE070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footer" Target="footer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3.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3.xml"/><Relationship Id="rId27" Type="http://schemas.openxmlformats.org/officeDocument/2006/relationships/header" Target="header5.xml"/></Relationships>
</file>

<file path=word/_rels/footer1.xml.rels><?xml version="1.0" encoding="UTF-8" standalone="yes"?>
<Relationships xmlns="http://schemas.openxmlformats.org/package/2006/relationships"><Relationship Id="rId1" Type="http://schemas.openxmlformats.org/officeDocument/2006/relationships/image" Target="media/image9.jpg"/></Relationships>
</file>

<file path=word/_rels/footer3.xml.rels><?xml version="1.0" encoding="UTF-8" standalone="yes"?>
<Relationships xmlns="http://schemas.openxmlformats.org/package/2006/relationships"><Relationship Id="rId1" Type="http://schemas.openxmlformats.org/officeDocument/2006/relationships/image" Target="media/image11.jpeg"/></Relationships>
</file>

<file path=word/_rels/footer4.xml.rels><?xml version="1.0" encoding="UTF-8" standalone="yes"?>
<Relationships xmlns="http://schemas.openxmlformats.org/package/2006/relationships"><Relationship Id="rId1" Type="http://schemas.openxmlformats.org/officeDocument/2006/relationships/image" Target="media/image9.jpg"/></Relationships>
</file>

<file path=word/_rels/header1.xml.rels><?xml version="1.0" encoding="UTF-8" standalone="yes"?>
<Relationships xmlns="http://schemas.openxmlformats.org/package/2006/relationships"><Relationship Id="rId1" Type="http://schemas.openxmlformats.org/officeDocument/2006/relationships/image" Target="media/image8.jpg"/></Relationships>
</file>

<file path=word/_rels/header2.xml.rels><?xml version="1.0" encoding="UTF-8" standalone="yes"?>
<Relationships xmlns="http://schemas.openxmlformats.org/package/2006/relationships"><Relationship Id="rId1" Type="http://schemas.openxmlformats.org/officeDocument/2006/relationships/image" Target="media/image10.jpeg"/></Relationships>
</file>

<file path=word/_rels/header4.xml.rels><?xml version="1.0" encoding="UTF-8" standalone="yes"?>
<Relationships xmlns="http://schemas.openxmlformats.org/package/2006/relationships"><Relationship Id="rId1" Type="http://schemas.openxmlformats.org/officeDocument/2006/relationships/image" Target="media/image8.jp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afe1505-8c3b-4892-b95f-be04e5dbb90b">
      <Terms xmlns="http://schemas.microsoft.com/office/infopath/2007/PartnerControls"/>
    </lcf76f155ced4ddcb4097134ff3c332f>
    <TaxCatchAll xmlns="d2b6a636-ce58-42c6-96a2-999cd65f864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6C972BFDE9B114CAEBA05014A429573" ma:contentTypeVersion="11" ma:contentTypeDescription="Ustvari nov dokument." ma:contentTypeScope="" ma:versionID="1d06687541a07fa35c956f3b3de32def">
  <xsd:schema xmlns:xsd="http://www.w3.org/2001/XMLSchema" xmlns:xs="http://www.w3.org/2001/XMLSchema" xmlns:p="http://schemas.microsoft.com/office/2006/metadata/properties" xmlns:ns2="cafe1505-8c3b-4892-b95f-be04e5dbb90b" xmlns:ns3="d2b6a636-ce58-42c6-96a2-999cd65f864c" targetNamespace="http://schemas.microsoft.com/office/2006/metadata/properties" ma:root="true" ma:fieldsID="7fd0131f82fe3d920e2faf3f2a36a6c4" ns2:_="" ns3:_="">
    <xsd:import namespace="cafe1505-8c3b-4892-b95f-be04e5dbb90b"/>
    <xsd:import namespace="d2b6a636-ce58-42c6-96a2-999cd65f86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fe1505-8c3b-4892-b95f-be04e5dbb9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ff289062-f35a-42ba-8bab-52fa9fec407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2b6a636-ce58-42c6-96a2-999cd65f864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f6e737-57d8-4758-b107-9c0a7dffc247}" ma:internalName="TaxCatchAll" ma:showField="CatchAllData" ma:web="d2b6a636-ce58-42c6-96a2-999cd65f86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A20FF28-2E43-4AC3-903F-D2712512695A}">
  <ds:schemaRefs>
    <ds:schemaRef ds:uri="http://schemas.microsoft.com/sharepoint/v3/contenttype/forms"/>
  </ds:schemaRefs>
</ds:datastoreItem>
</file>

<file path=customXml/itemProps2.xml><?xml version="1.0" encoding="utf-8"?>
<ds:datastoreItem xmlns:ds="http://schemas.openxmlformats.org/officeDocument/2006/customXml" ds:itemID="{262B5188-949E-4D40-85F8-F66EAA55432E}">
  <ds:schemaRefs>
    <ds:schemaRef ds:uri="http://schemas.microsoft.com/office/2006/metadata/properties"/>
    <ds:schemaRef ds:uri="http://schemas.microsoft.com/office/infopath/2007/PartnerControls"/>
    <ds:schemaRef ds:uri="cafe1505-8c3b-4892-b95f-be04e5dbb90b"/>
    <ds:schemaRef ds:uri="d2b6a636-ce58-42c6-96a2-999cd65f864c"/>
  </ds:schemaRefs>
</ds:datastoreItem>
</file>

<file path=customXml/itemProps3.xml><?xml version="1.0" encoding="utf-8"?>
<ds:datastoreItem xmlns:ds="http://schemas.openxmlformats.org/officeDocument/2006/customXml" ds:itemID="{A773D194-2B51-4664-946C-15E098202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fe1505-8c3b-4892-b95f-be04e5dbb90b"/>
    <ds:schemaRef ds:uri="d2b6a636-ce58-42c6-96a2-999cd65f86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BE681C-965E-4353-A558-3BEB3711F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60</Pages>
  <Words>21998</Words>
  <Characters>125391</Characters>
  <Application>Microsoft Office Word</Application>
  <DocSecurity>0</DocSecurity>
  <Lines>1044</Lines>
  <Paragraphs>294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Lasič</dc:creator>
  <cp:keywords/>
  <dc:description/>
  <cp:lastModifiedBy>Erik Lasič</cp:lastModifiedBy>
  <cp:revision>3</cp:revision>
  <dcterms:created xsi:type="dcterms:W3CDTF">2026-09-09T10:30:00Z</dcterms:created>
  <dcterms:modified xsi:type="dcterms:W3CDTF">2026-09-09T10:33:00Z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0x01010086C972BFDE9B114CAEBA05014A429573</vt:lpwstr>
  </property>
  <property fmtid="{D5CDD505-2E9C-101B-9397-08002B2CF9AE}" pid="3" name="MediaServiceImageTags">
    <vt:lpwstr/>
  </property>
</Properties>
</file>