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Pr="00521DC5" w:rsidRDefault="0058227B" w:rsidP="006909A4">
      <w:pPr>
        <w:pStyle w:val="Nazivenote"/>
        <w:rPr>
          <w:b w:val="0"/>
          <w:bCs/>
          <w:noProof w:val="0"/>
        </w:rPr>
      </w:pPr>
      <w:r w:rsidRPr="00521DC5">
        <w:rPr>
          <w:noProof w:val="0"/>
        </w:rPr>
        <w:t>Mestni svet</w:t>
      </w:r>
      <w:r w:rsidR="00722FAC" w:rsidRPr="00521DC5">
        <w:rPr>
          <w:noProof w:val="0"/>
        </w:rPr>
        <w:br/>
      </w:r>
      <w:r w:rsidR="002B08B0" w:rsidRPr="00521DC5">
        <w:rPr>
          <w:b w:val="0"/>
          <w:bCs/>
          <w:noProof w:val="0"/>
        </w:rPr>
        <w:t>Trg Edvarda Kardelja 1, 5000 Nova Gorica</w:t>
      </w:r>
    </w:p>
    <w:p w14:paraId="209CFFB8" w14:textId="753A1A7E" w:rsidR="002F26F0" w:rsidRPr="00521DC5" w:rsidRDefault="002F26F0" w:rsidP="00214473">
      <w:pPr>
        <w:spacing w:after="0"/>
        <w:rPr>
          <w:rStyle w:val="ZvezaZnak"/>
          <w:noProof w:val="0"/>
        </w:rPr>
      </w:pPr>
      <w:r w:rsidRPr="00521DC5">
        <w:rPr>
          <w:rStyle w:val="ZvezaZnak"/>
          <w:noProof w:val="0"/>
          <w:sz w:val="14"/>
          <w:szCs w:val="18"/>
        </w:rPr>
        <w:br/>
      </w:r>
      <w:r w:rsidRPr="00521DC5">
        <w:rPr>
          <w:rStyle w:val="ZvezaZnak"/>
          <w:noProof w:val="0"/>
        </w:rPr>
        <w:t xml:space="preserve">Številka: </w:t>
      </w:r>
      <w:r w:rsidR="00B418C5" w:rsidRPr="00521DC5">
        <w:rPr>
          <w:rStyle w:val="ZvezaZnak"/>
          <w:noProof w:val="0"/>
        </w:rPr>
        <w:t>0110</w:t>
      </w:r>
      <w:r w:rsidRPr="00521DC5">
        <w:rPr>
          <w:rStyle w:val="ZvezaZnak"/>
          <w:noProof w:val="0"/>
        </w:rPr>
        <w:t>-</w:t>
      </w:r>
      <w:r w:rsidR="00B418C5" w:rsidRPr="00521DC5">
        <w:rPr>
          <w:rStyle w:val="ZvezaZnak"/>
          <w:noProof w:val="0"/>
        </w:rPr>
        <w:t>00</w:t>
      </w:r>
      <w:r w:rsidR="009A2FCF">
        <w:rPr>
          <w:rStyle w:val="ZvezaZnak"/>
          <w:noProof w:val="0"/>
        </w:rPr>
        <w:t>02</w:t>
      </w:r>
      <w:r w:rsidRPr="00521DC5">
        <w:rPr>
          <w:rStyle w:val="ZvezaZnak"/>
          <w:noProof w:val="0"/>
        </w:rPr>
        <w:t>/202</w:t>
      </w:r>
      <w:r w:rsidR="009A2FCF">
        <w:rPr>
          <w:rStyle w:val="ZvezaZnak"/>
          <w:noProof w:val="0"/>
        </w:rPr>
        <w:t>6</w:t>
      </w:r>
      <w:r w:rsidRPr="00521DC5">
        <w:rPr>
          <w:rStyle w:val="ZvezaZnak"/>
          <w:noProof w:val="0"/>
        </w:rPr>
        <w:t>-</w:t>
      </w:r>
      <w:r w:rsidR="009A2FCF">
        <w:rPr>
          <w:rStyle w:val="ZvezaZnak"/>
          <w:noProof w:val="0"/>
        </w:rPr>
        <w:t>2</w:t>
      </w:r>
    </w:p>
    <w:p w14:paraId="744CAC3A" w14:textId="77799034" w:rsidR="00B418C5" w:rsidRPr="009C1A91" w:rsidRDefault="00214473" w:rsidP="009C1A91">
      <w:pPr>
        <w:spacing w:after="0"/>
        <w:rPr>
          <w:bCs w:val="0"/>
        </w:rPr>
      </w:pPr>
      <w:r w:rsidRPr="00521DC5">
        <w:rPr>
          <w:szCs w:val="20"/>
        </w:rPr>
        <w:t xml:space="preserve">Nova Gorica, </w:t>
      </w:r>
      <w:r w:rsidR="009E4563" w:rsidRPr="00521DC5">
        <w:rPr>
          <w:szCs w:val="20"/>
        </w:rPr>
        <w:t xml:space="preserve">dne </w:t>
      </w:r>
      <w:r w:rsidR="009A2FCF">
        <w:rPr>
          <w:szCs w:val="20"/>
        </w:rPr>
        <w:t>1</w:t>
      </w:r>
      <w:r w:rsidR="00310A02">
        <w:rPr>
          <w:szCs w:val="20"/>
        </w:rPr>
        <w:t>2</w:t>
      </w:r>
      <w:r w:rsidRPr="00521DC5">
        <w:rPr>
          <w:szCs w:val="20"/>
        </w:rPr>
        <w:t xml:space="preserve">. </w:t>
      </w:r>
      <w:r w:rsidR="00310A02">
        <w:rPr>
          <w:szCs w:val="20"/>
        </w:rPr>
        <w:t>februa</w:t>
      </w:r>
      <w:r w:rsidR="00C12CF5" w:rsidRPr="00521DC5">
        <w:rPr>
          <w:szCs w:val="20"/>
        </w:rPr>
        <w:t>rja</w:t>
      </w:r>
      <w:r w:rsidRPr="00521DC5">
        <w:rPr>
          <w:szCs w:val="20"/>
        </w:rPr>
        <w:t xml:space="preserve"> 202</w:t>
      </w:r>
      <w:r w:rsidR="00C12CF5" w:rsidRPr="00521DC5">
        <w:rPr>
          <w:szCs w:val="20"/>
        </w:rPr>
        <w:t>6</w:t>
      </w:r>
    </w:p>
    <w:p w14:paraId="03085BA5" w14:textId="77777777" w:rsidR="00214473" w:rsidRPr="00521DC5" w:rsidRDefault="00214473" w:rsidP="00214473">
      <w:pPr>
        <w:pStyle w:val="Podpisoseba"/>
        <w:spacing w:before="0" w:after="240"/>
        <w:ind w:left="0"/>
        <w:rPr>
          <w:bCs w:val="0"/>
          <w:szCs w:val="20"/>
        </w:rPr>
      </w:pPr>
    </w:p>
    <w:p w14:paraId="3925071F" w14:textId="5A25B248" w:rsidR="00B418C5" w:rsidRPr="00BD6039" w:rsidRDefault="00B418C5" w:rsidP="00A63D7C">
      <w:pPr>
        <w:pStyle w:val="Naslov1"/>
        <w:spacing w:before="0" w:after="0" w:line="288" w:lineRule="auto"/>
        <w:jc w:val="center"/>
        <w:rPr>
          <w:noProof w:val="0"/>
          <w:sz w:val="22"/>
          <w:szCs w:val="22"/>
        </w:rPr>
      </w:pPr>
      <w:r w:rsidRPr="00BD6039">
        <w:rPr>
          <w:noProof w:val="0"/>
          <w:sz w:val="22"/>
          <w:szCs w:val="22"/>
        </w:rPr>
        <w:t>P O R O Č I L O</w:t>
      </w:r>
    </w:p>
    <w:p w14:paraId="5C8F1590" w14:textId="440B20CA" w:rsidR="00B418C5" w:rsidRPr="00C52249" w:rsidRDefault="00B418C5" w:rsidP="00A63D7C">
      <w:pPr>
        <w:pStyle w:val="Naslov1"/>
        <w:spacing w:before="0" w:after="0" w:line="288" w:lineRule="auto"/>
        <w:jc w:val="center"/>
        <w:rPr>
          <w:noProof w:val="0"/>
          <w:sz w:val="20"/>
          <w:szCs w:val="20"/>
        </w:rPr>
      </w:pPr>
      <w:r w:rsidRPr="00C52249">
        <w:rPr>
          <w:noProof w:val="0"/>
          <w:sz w:val="20"/>
          <w:szCs w:val="20"/>
        </w:rPr>
        <w:t>o izvršenih sklepih</w:t>
      </w:r>
      <w:r w:rsidR="00337E69" w:rsidRPr="00C52249">
        <w:rPr>
          <w:noProof w:val="0"/>
          <w:sz w:val="20"/>
          <w:szCs w:val="20"/>
        </w:rPr>
        <w:t xml:space="preserve"> </w:t>
      </w:r>
      <w:r w:rsidR="00E8286B" w:rsidRPr="00C52249">
        <w:rPr>
          <w:sz w:val="20"/>
          <w:szCs w:val="20"/>
        </w:rPr>
        <w:t>32. seje Mestnega sveta Mestne občine Nova Gorica, ki je bila 29. januarja 2026, 8. izredne seje, ki je bila 13. januarja 2026 in dopolnitev Poročila o izvršenih sklepih pri 7. izredni seji, ki je bila 17. decembra 2025</w:t>
      </w:r>
    </w:p>
    <w:p w14:paraId="6D69D0D0" w14:textId="77777777" w:rsidR="009C2149" w:rsidRDefault="009C2149" w:rsidP="00B418C5">
      <w:pPr>
        <w:autoSpaceDE w:val="0"/>
        <w:autoSpaceDN w:val="0"/>
        <w:spacing w:after="0" w:line="240" w:lineRule="auto"/>
        <w:ind w:left="0" w:right="0"/>
        <w:jc w:val="both"/>
        <w:rPr>
          <w:rFonts w:ascii="Arial" w:hAnsi="Arial"/>
          <w:b/>
          <w:bCs w:val="0"/>
          <w:sz w:val="22"/>
          <w:u w:val="single"/>
        </w:rPr>
      </w:pPr>
    </w:p>
    <w:p w14:paraId="57A61956" w14:textId="77777777" w:rsidR="009C2149" w:rsidRPr="00521DC5" w:rsidRDefault="009C2149" w:rsidP="009C2149">
      <w:pPr>
        <w:pStyle w:val="Naslov2"/>
        <w:spacing w:line="288" w:lineRule="auto"/>
        <w:rPr>
          <w:noProof w:val="0"/>
          <w:sz w:val="20"/>
          <w:szCs w:val="20"/>
        </w:rPr>
      </w:pPr>
      <w:r w:rsidRPr="00521DC5">
        <w:rPr>
          <w:noProof w:val="0"/>
          <w:sz w:val="20"/>
          <w:szCs w:val="20"/>
        </w:rPr>
        <w:t>3</w:t>
      </w:r>
      <w:r>
        <w:rPr>
          <w:noProof w:val="0"/>
          <w:sz w:val="20"/>
          <w:szCs w:val="20"/>
        </w:rPr>
        <w:t>2</w:t>
      </w:r>
      <w:r w:rsidRPr="00521DC5">
        <w:rPr>
          <w:noProof w:val="0"/>
          <w:sz w:val="20"/>
          <w:szCs w:val="20"/>
        </w:rPr>
        <w:t xml:space="preserve">. SEJA MESTNEGA SVETA, </w:t>
      </w:r>
      <w:r>
        <w:rPr>
          <w:noProof w:val="0"/>
          <w:sz w:val="20"/>
          <w:szCs w:val="20"/>
        </w:rPr>
        <w:t>29</w:t>
      </w:r>
      <w:r w:rsidRPr="00521DC5">
        <w:rPr>
          <w:noProof w:val="0"/>
          <w:sz w:val="20"/>
          <w:szCs w:val="20"/>
        </w:rPr>
        <w:t xml:space="preserve">. </w:t>
      </w:r>
      <w:r>
        <w:rPr>
          <w:noProof w:val="0"/>
          <w:sz w:val="20"/>
          <w:szCs w:val="20"/>
        </w:rPr>
        <w:t xml:space="preserve">januar </w:t>
      </w:r>
      <w:r w:rsidRPr="00521DC5">
        <w:rPr>
          <w:noProof w:val="0"/>
          <w:sz w:val="20"/>
          <w:szCs w:val="20"/>
        </w:rPr>
        <w:t>202</w:t>
      </w:r>
      <w:r>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6F376202" w14:textId="77777777" w:rsidTr="003D00D7">
        <w:tc>
          <w:tcPr>
            <w:tcW w:w="709" w:type="dxa"/>
          </w:tcPr>
          <w:p w14:paraId="1A26D4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bookmarkStart w:id="0" w:name="_Hlk217292426"/>
            <w:proofErr w:type="spellStart"/>
            <w:r w:rsidRPr="00521DC5">
              <w:rPr>
                <w:bCs w:val="0"/>
                <w:szCs w:val="20"/>
              </w:rPr>
              <w:t>zap</w:t>
            </w:r>
            <w:proofErr w:type="spellEnd"/>
            <w:r w:rsidRPr="00521DC5">
              <w:rPr>
                <w:bCs w:val="0"/>
                <w:szCs w:val="20"/>
              </w:rPr>
              <w:t>.</w:t>
            </w:r>
          </w:p>
          <w:p w14:paraId="5EC09C84"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E414E52"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A665583"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52EB657F"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2BA189F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5CB618B5" w14:textId="77777777" w:rsidTr="003D00D7">
        <w:tc>
          <w:tcPr>
            <w:tcW w:w="709" w:type="dxa"/>
          </w:tcPr>
          <w:p w14:paraId="3AB7E249"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3B70D23A" w14:textId="77777777" w:rsidR="009C2149" w:rsidRPr="00521DC5" w:rsidRDefault="009C2149" w:rsidP="003D00D7">
            <w:pPr>
              <w:spacing w:after="0" w:line="240" w:lineRule="auto"/>
              <w:ind w:left="0" w:right="0"/>
              <w:rPr>
                <w:bCs w:val="0"/>
                <w:szCs w:val="20"/>
              </w:rPr>
            </w:pPr>
            <w:r w:rsidRPr="00521DC5">
              <w:rPr>
                <w:bCs w:val="0"/>
                <w:szCs w:val="20"/>
              </w:rPr>
              <w:t xml:space="preserve">Sklep o sprejemu Poročila o izvršenih sklepih </w:t>
            </w:r>
            <w:r>
              <w:rPr>
                <w:bCs w:val="0"/>
                <w:szCs w:val="20"/>
              </w:rPr>
              <w:t xml:space="preserve">7. izredne seje, ki je bila 17. decembra 2025 in </w:t>
            </w:r>
            <w:r w:rsidRPr="00521DC5">
              <w:rPr>
                <w:bCs w:val="0"/>
                <w:szCs w:val="20"/>
              </w:rPr>
              <w:t>3</w:t>
            </w:r>
            <w:r>
              <w:rPr>
                <w:bCs w:val="0"/>
                <w:szCs w:val="20"/>
              </w:rPr>
              <w:t>1</w:t>
            </w:r>
            <w:r w:rsidRPr="00521DC5">
              <w:rPr>
                <w:bCs w:val="0"/>
                <w:szCs w:val="20"/>
              </w:rPr>
              <w:t xml:space="preserve">. seje Mestnega sveta Mestne občine Nova Gorica, ki je bila </w:t>
            </w:r>
            <w:r>
              <w:rPr>
                <w:bCs w:val="0"/>
                <w:szCs w:val="20"/>
              </w:rPr>
              <w:t>18</w:t>
            </w:r>
            <w:r w:rsidRPr="00521DC5">
              <w:rPr>
                <w:bCs w:val="0"/>
                <w:szCs w:val="20"/>
              </w:rPr>
              <w:t xml:space="preserve">. </w:t>
            </w:r>
            <w:r>
              <w:rPr>
                <w:bCs w:val="0"/>
                <w:szCs w:val="20"/>
              </w:rPr>
              <w:t>dec</w:t>
            </w:r>
            <w:r w:rsidRPr="00521DC5">
              <w:rPr>
                <w:bCs w:val="0"/>
                <w:szCs w:val="20"/>
              </w:rPr>
              <w:t>embra 2025.</w:t>
            </w:r>
          </w:p>
        </w:tc>
        <w:tc>
          <w:tcPr>
            <w:tcW w:w="1134" w:type="dxa"/>
          </w:tcPr>
          <w:p w14:paraId="723DCE6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823AB91" w14:textId="77777777" w:rsidR="009C2149" w:rsidRPr="00521DC5" w:rsidRDefault="009C2149" w:rsidP="003D00D7">
            <w:pPr>
              <w:autoSpaceDE w:val="0"/>
              <w:autoSpaceDN w:val="0"/>
              <w:adjustRightInd w:val="0"/>
              <w:spacing w:after="0" w:line="240" w:lineRule="auto"/>
              <w:ind w:left="0" w:right="0"/>
              <w:jc w:val="center"/>
              <w:rPr>
                <w:bCs w:val="0"/>
                <w:szCs w:val="20"/>
              </w:rPr>
            </w:pPr>
          </w:p>
          <w:p w14:paraId="1B79C068"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28D70A62"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285A6FAB" w14:textId="77777777" w:rsidTr="003D00D7">
        <w:tc>
          <w:tcPr>
            <w:tcW w:w="709" w:type="dxa"/>
          </w:tcPr>
          <w:p w14:paraId="50DEC00E"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2.</w:t>
            </w:r>
          </w:p>
        </w:tc>
        <w:tc>
          <w:tcPr>
            <w:tcW w:w="4791" w:type="dxa"/>
          </w:tcPr>
          <w:p w14:paraId="0C7AACEF" w14:textId="77777777" w:rsidR="009C2149" w:rsidRPr="00477C98" w:rsidRDefault="009C2149" w:rsidP="003D00D7">
            <w:pPr>
              <w:spacing w:after="0" w:line="240" w:lineRule="auto"/>
              <w:ind w:left="0" w:right="0"/>
              <w:rPr>
                <w:bCs w:val="0"/>
                <w:szCs w:val="20"/>
              </w:rPr>
            </w:pPr>
            <w:r w:rsidRPr="00477C98">
              <w:rPr>
                <w:szCs w:val="20"/>
              </w:rPr>
              <w:t xml:space="preserve">Sklep o imenovanju </w:t>
            </w:r>
            <w:r>
              <w:rPr>
                <w:bCs w:val="0"/>
                <w:szCs w:val="20"/>
              </w:rPr>
              <w:t>ANE ANITE MOKOREL</w:t>
            </w:r>
            <w:r w:rsidRPr="00477C98">
              <w:rPr>
                <w:szCs w:val="20"/>
              </w:rPr>
              <w:t xml:space="preserve"> kot predstavni</w:t>
            </w:r>
            <w:r>
              <w:rPr>
                <w:szCs w:val="20"/>
              </w:rPr>
              <w:t xml:space="preserve">co </w:t>
            </w:r>
            <w:r w:rsidRPr="00477C98">
              <w:rPr>
                <w:szCs w:val="20"/>
              </w:rPr>
              <w:t xml:space="preserve">Mestne občine Nova Gorica v Svet zavoda </w:t>
            </w:r>
            <w:r>
              <w:rPr>
                <w:szCs w:val="20"/>
              </w:rPr>
              <w:t>Dijaški dom</w:t>
            </w:r>
            <w:r w:rsidRPr="00477C98">
              <w:rPr>
                <w:szCs w:val="20"/>
              </w:rPr>
              <w:t xml:space="preserve"> Nova Gorica.</w:t>
            </w:r>
          </w:p>
        </w:tc>
        <w:tc>
          <w:tcPr>
            <w:tcW w:w="1134" w:type="dxa"/>
          </w:tcPr>
          <w:p w14:paraId="59490A1D"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215EAB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7DD9D20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bookmarkEnd w:id="0"/>
      <w:tr w:rsidR="009C2149" w:rsidRPr="00521DC5" w14:paraId="0D3D1D95" w14:textId="77777777" w:rsidTr="003D00D7">
        <w:tc>
          <w:tcPr>
            <w:tcW w:w="709" w:type="dxa"/>
          </w:tcPr>
          <w:p w14:paraId="307ABDFA"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3.</w:t>
            </w:r>
          </w:p>
        </w:tc>
        <w:tc>
          <w:tcPr>
            <w:tcW w:w="4791" w:type="dxa"/>
          </w:tcPr>
          <w:p w14:paraId="6FD6E4E7" w14:textId="77777777" w:rsidR="009C2149" w:rsidRPr="00520CA6" w:rsidRDefault="009C2149" w:rsidP="003D00D7">
            <w:pPr>
              <w:autoSpaceDE w:val="0"/>
              <w:autoSpaceDN w:val="0"/>
              <w:adjustRightInd w:val="0"/>
              <w:spacing w:after="0" w:line="240" w:lineRule="auto"/>
              <w:ind w:left="0" w:right="0"/>
              <w:rPr>
                <w:rFonts w:eastAsia="Arial"/>
                <w:szCs w:val="20"/>
                <w:lang w:bidi="sl-SI"/>
              </w:rPr>
            </w:pPr>
            <w:r w:rsidRPr="00520CA6">
              <w:rPr>
                <w:color w:val="000000" w:themeColor="text1"/>
                <w:szCs w:val="20"/>
                <w:shd w:val="clear" w:color="auto" w:fill="FFFFFF"/>
              </w:rPr>
              <w:t>Sklep o podaji pozitivnega mnenja k imenovanju direktorice Varstveno delovnega centra Nova Gorica</w:t>
            </w:r>
          </w:p>
        </w:tc>
        <w:tc>
          <w:tcPr>
            <w:tcW w:w="1134" w:type="dxa"/>
          </w:tcPr>
          <w:p w14:paraId="22185DE4"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1BD6C3EE"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9273B9C"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1126815A"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1F6BC42D" w14:textId="77777777" w:rsidTr="003D00D7">
        <w:tc>
          <w:tcPr>
            <w:tcW w:w="709" w:type="dxa"/>
          </w:tcPr>
          <w:p w14:paraId="7CA4A655"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4.</w:t>
            </w:r>
          </w:p>
        </w:tc>
        <w:tc>
          <w:tcPr>
            <w:tcW w:w="4791" w:type="dxa"/>
          </w:tcPr>
          <w:p w14:paraId="538DF67A" w14:textId="77777777" w:rsidR="009C2149" w:rsidRPr="00477C98" w:rsidRDefault="009C2149" w:rsidP="003D00D7">
            <w:pPr>
              <w:autoSpaceDE w:val="0"/>
              <w:autoSpaceDN w:val="0"/>
              <w:adjustRightInd w:val="0"/>
              <w:spacing w:after="0" w:line="240" w:lineRule="auto"/>
              <w:ind w:left="0" w:right="0"/>
              <w:rPr>
                <w:iCs/>
                <w:color w:val="000000"/>
                <w:szCs w:val="20"/>
              </w:rPr>
            </w:pPr>
            <w:r>
              <w:t xml:space="preserve">Sklepa </w:t>
            </w:r>
            <w:r w:rsidRPr="00BA2DD2">
              <w:t>o potrditvi Dokumenta identifikacije investicijskega projekta z naslovom »Peš povezava ob Kolodvorski poti«</w:t>
            </w:r>
          </w:p>
        </w:tc>
        <w:tc>
          <w:tcPr>
            <w:tcW w:w="1134" w:type="dxa"/>
          </w:tcPr>
          <w:p w14:paraId="083579D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0691016F"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03F0B34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4419735E"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98525B3" w14:textId="77777777" w:rsidTr="003D00D7">
        <w:tc>
          <w:tcPr>
            <w:tcW w:w="709" w:type="dxa"/>
          </w:tcPr>
          <w:p w14:paraId="0451C2D3"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5.</w:t>
            </w:r>
          </w:p>
        </w:tc>
        <w:tc>
          <w:tcPr>
            <w:tcW w:w="4791" w:type="dxa"/>
          </w:tcPr>
          <w:p w14:paraId="4FABCF46" w14:textId="77777777" w:rsidR="009C2149" w:rsidRPr="00D321DD" w:rsidRDefault="009C2149" w:rsidP="003D00D7">
            <w:pPr>
              <w:spacing w:after="0" w:line="240" w:lineRule="auto"/>
              <w:ind w:left="0"/>
              <w:contextualSpacing/>
              <w:rPr>
                <w:noProof/>
              </w:rPr>
            </w:pPr>
            <w:r w:rsidRPr="00D321DD">
              <w:rPr>
                <w:noProof/>
              </w:rPr>
              <w:t>Sklep o sprejemu Strategije razvoja kmetijstva na območju Mestne občine Nova Gorica do 2034</w:t>
            </w:r>
          </w:p>
        </w:tc>
        <w:tc>
          <w:tcPr>
            <w:tcW w:w="1134" w:type="dxa"/>
          </w:tcPr>
          <w:p w14:paraId="0D3B9A3B"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42988F3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71BA28C2"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0DBA9224"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1F73E1F" w14:textId="77777777" w:rsidTr="003D00D7">
        <w:tc>
          <w:tcPr>
            <w:tcW w:w="709" w:type="dxa"/>
          </w:tcPr>
          <w:p w14:paraId="14042DD4"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6.</w:t>
            </w:r>
          </w:p>
        </w:tc>
        <w:tc>
          <w:tcPr>
            <w:tcW w:w="4791" w:type="dxa"/>
          </w:tcPr>
          <w:p w14:paraId="7F5EE3C5" w14:textId="77777777" w:rsidR="009C2149" w:rsidRPr="00D321DD" w:rsidRDefault="009C2149" w:rsidP="003D00D7">
            <w:pPr>
              <w:spacing w:after="0" w:line="240" w:lineRule="auto"/>
              <w:ind w:left="0"/>
              <w:contextualSpacing/>
              <w:rPr>
                <w:noProof/>
              </w:rPr>
            </w:pPr>
            <w:r w:rsidRPr="00D321DD">
              <w:t>Sklep o podaji soglasja k ekonomski ceni socialnovarstvene storitve pomoč družini na domu kot socialna oskrba na domu</w:t>
            </w:r>
          </w:p>
        </w:tc>
        <w:tc>
          <w:tcPr>
            <w:tcW w:w="1134" w:type="dxa"/>
          </w:tcPr>
          <w:p w14:paraId="765500E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360FFC47"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E4DF45B"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2FA4024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58294B9" w14:textId="77777777" w:rsidTr="003D00D7">
        <w:tc>
          <w:tcPr>
            <w:tcW w:w="709" w:type="dxa"/>
          </w:tcPr>
          <w:p w14:paraId="4517022E"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7.</w:t>
            </w:r>
          </w:p>
        </w:tc>
        <w:tc>
          <w:tcPr>
            <w:tcW w:w="4791" w:type="dxa"/>
          </w:tcPr>
          <w:p w14:paraId="1EBB6D2A" w14:textId="77777777" w:rsidR="009C2149" w:rsidRPr="00521DC5" w:rsidRDefault="009C2149" w:rsidP="003D00D7">
            <w:pPr>
              <w:spacing w:after="0" w:line="240" w:lineRule="auto"/>
              <w:ind w:left="0"/>
            </w:pPr>
            <w:r w:rsidRPr="0008026B">
              <w:t xml:space="preserve">Sklep o </w:t>
            </w:r>
            <w:r>
              <w:t>potrditvi Akcijskega načrta dostopnosti za Mestno občino Nova Gorica 2026 – 2029</w:t>
            </w:r>
          </w:p>
        </w:tc>
        <w:tc>
          <w:tcPr>
            <w:tcW w:w="1134" w:type="dxa"/>
          </w:tcPr>
          <w:p w14:paraId="17579E8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76A6D34"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68EC1F88"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0330BAE4" w14:textId="77777777" w:rsidTr="003D00D7">
        <w:tc>
          <w:tcPr>
            <w:tcW w:w="709" w:type="dxa"/>
          </w:tcPr>
          <w:p w14:paraId="3D9061C3"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8.</w:t>
            </w:r>
          </w:p>
        </w:tc>
        <w:tc>
          <w:tcPr>
            <w:tcW w:w="4791" w:type="dxa"/>
          </w:tcPr>
          <w:p w14:paraId="67034689" w14:textId="77777777" w:rsidR="009C2149" w:rsidRPr="00521DC5" w:rsidRDefault="009C2149" w:rsidP="003D00D7">
            <w:pPr>
              <w:autoSpaceDE w:val="0"/>
              <w:autoSpaceDN w:val="0"/>
              <w:adjustRightInd w:val="0"/>
              <w:spacing w:after="0" w:line="240" w:lineRule="auto"/>
              <w:ind w:left="0" w:right="0"/>
            </w:pPr>
            <w:r>
              <w:t>S</w:t>
            </w:r>
            <w:r w:rsidRPr="002C50A0">
              <w:t>kl</w:t>
            </w:r>
            <w:r>
              <w:t>ep</w:t>
            </w:r>
            <w:r w:rsidRPr="002C50A0">
              <w:t xml:space="preserve"> o podaji soglasja Javnemu zavodu Goriški muzej Kromberk - Nova Gorica za najem </w:t>
            </w:r>
            <w:proofErr w:type="spellStart"/>
            <w:r w:rsidRPr="002C50A0">
              <w:t>revolving</w:t>
            </w:r>
            <w:proofErr w:type="spellEnd"/>
            <w:r w:rsidRPr="002C50A0">
              <w:t xml:space="preserve"> kredita</w:t>
            </w:r>
          </w:p>
        </w:tc>
        <w:tc>
          <w:tcPr>
            <w:tcW w:w="1134" w:type="dxa"/>
          </w:tcPr>
          <w:p w14:paraId="03B5E7AA"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74851BD4"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31898143"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bl>
    <w:p w14:paraId="3A73970B" w14:textId="77777777" w:rsidR="009C2149" w:rsidRDefault="009C2149" w:rsidP="00B418C5">
      <w:pPr>
        <w:autoSpaceDE w:val="0"/>
        <w:autoSpaceDN w:val="0"/>
        <w:spacing w:after="0" w:line="240" w:lineRule="auto"/>
        <w:ind w:left="0" w:right="0"/>
        <w:jc w:val="both"/>
        <w:rPr>
          <w:rFonts w:ascii="Arial" w:hAnsi="Arial"/>
          <w:b/>
          <w:bCs w:val="0"/>
          <w:sz w:val="22"/>
          <w:u w:val="single"/>
        </w:rPr>
      </w:pPr>
    </w:p>
    <w:p w14:paraId="383717A0" w14:textId="77777777" w:rsidR="009C2149" w:rsidRPr="00521DC5" w:rsidRDefault="009C2149" w:rsidP="009C2149">
      <w:pPr>
        <w:pStyle w:val="Naslov2"/>
        <w:spacing w:line="288" w:lineRule="auto"/>
        <w:rPr>
          <w:noProof w:val="0"/>
          <w:sz w:val="20"/>
          <w:szCs w:val="20"/>
        </w:rPr>
      </w:pPr>
      <w:r>
        <w:rPr>
          <w:noProof w:val="0"/>
          <w:sz w:val="20"/>
          <w:szCs w:val="20"/>
        </w:rPr>
        <w:t>8</w:t>
      </w:r>
      <w:r w:rsidRPr="00521DC5">
        <w:rPr>
          <w:noProof w:val="0"/>
          <w:sz w:val="20"/>
          <w:szCs w:val="20"/>
        </w:rPr>
        <w:t xml:space="preserve">. </w:t>
      </w:r>
      <w:r>
        <w:rPr>
          <w:noProof w:val="0"/>
          <w:sz w:val="20"/>
          <w:szCs w:val="20"/>
        </w:rPr>
        <w:t xml:space="preserve">IZREDNA </w:t>
      </w:r>
      <w:r w:rsidRPr="00521DC5">
        <w:rPr>
          <w:noProof w:val="0"/>
          <w:sz w:val="20"/>
          <w:szCs w:val="20"/>
        </w:rPr>
        <w:t xml:space="preserve">SEJA MESTNEGA SVETA, </w:t>
      </w:r>
      <w:r>
        <w:rPr>
          <w:noProof w:val="0"/>
          <w:sz w:val="20"/>
          <w:szCs w:val="20"/>
        </w:rPr>
        <w:t>13</w:t>
      </w:r>
      <w:r w:rsidRPr="00521DC5">
        <w:rPr>
          <w:noProof w:val="0"/>
          <w:sz w:val="20"/>
          <w:szCs w:val="20"/>
        </w:rPr>
        <w:t xml:space="preserve">. </w:t>
      </w:r>
      <w:r>
        <w:rPr>
          <w:noProof w:val="0"/>
          <w:sz w:val="20"/>
          <w:szCs w:val="20"/>
        </w:rPr>
        <w:t xml:space="preserve">januar </w:t>
      </w:r>
      <w:r w:rsidRPr="00521DC5">
        <w:rPr>
          <w:noProof w:val="0"/>
          <w:sz w:val="20"/>
          <w:szCs w:val="20"/>
        </w:rPr>
        <w:t>202</w:t>
      </w:r>
      <w:r>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3EF76EB4" w14:textId="77777777" w:rsidTr="003D00D7">
        <w:tc>
          <w:tcPr>
            <w:tcW w:w="709" w:type="dxa"/>
          </w:tcPr>
          <w:p w14:paraId="34921F9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64D345EA"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82DFC39"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3731E4D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102590B6"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0C2D3F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6B499B4C" w14:textId="77777777" w:rsidTr="003D00D7">
        <w:tc>
          <w:tcPr>
            <w:tcW w:w="709" w:type="dxa"/>
          </w:tcPr>
          <w:p w14:paraId="355EC76F"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1015B136" w14:textId="77777777" w:rsidR="009C2149" w:rsidRPr="00521DC5" w:rsidRDefault="009C2149" w:rsidP="003D00D7">
            <w:pPr>
              <w:spacing w:after="0" w:line="240" w:lineRule="auto"/>
              <w:ind w:left="0" w:right="0"/>
              <w:rPr>
                <w:bCs w:val="0"/>
                <w:szCs w:val="20"/>
              </w:rPr>
            </w:pPr>
            <w:r w:rsidRPr="000857ED">
              <w:t>Sklep o ustanovitvi Javnega zavoda za razvoj sodobne plesne umetnosti</w:t>
            </w:r>
          </w:p>
        </w:tc>
        <w:tc>
          <w:tcPr>
            <w:tcW w:w="1134" w:type="dxa"/>
          </w:tcPr>
          <w:p w14:paraId="2B3C2DD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3EB6BCE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03792404"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59674EDF"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bl>
    <w:p w14:paraId="45C43CE9" w14:textId="4C7106A0" w:rsidR="00DA0E14" w:rsidRPr="005F6982" w:rsidRDefault="008D024C" w:rsidP="005F6982">
      <w:pPr>
        <w:pStyle w:val="Naslov2"/>
        <w:spacing w:line="288" w:lineRule="auto"/>
        <w:rPr>
          <w:noProof w:val="0"/>
          <w:sz w:val="20"/>
          <w:szCs w:val="20"/>
        </w:rPr>
      </w:pPr>
      <w:r w:rsidRPr="00521DC5">
        <w:rPr>
          <w:noProof w:val="0"/>
          <w:sz w:val="20"/>
          <w:szCs w:val="20"/>
        </w:rPr>
        <w:lastRenderedPageBreak/>
        <w:t>7. IZREDNA SEJA MESTNEGA SVETA, 17. december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8D024C" w:rsidRPr="00521DC5" w14:paraId="0C34CD65" w14:textId="77777777" w:rsidTr="0022152A">
        <w:tc>
          <w:tcPr>
            <w:tcW w:w="709" w:type="dxa"/>
          </w:tcPr>
          <w:p w14:paraId="1B50B343"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01F9E470"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6ABD6105"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7E3FEFD5"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75E0A840" w14:textId="77777777" w:rsidR="008D024C" w:rsidRPr="00521DC5" w:rsidRDefault="008D024C" w:rsidP="0022152A">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46A3926A"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8D024C" w:rsidRPr="00521DC5" w14:paraId="20BB688E" w14:textId="77777777" w:rsidTr="0022152A">
        <w:tc>
          <w:tcPr>
            <w:tcW w:w="709" w:type="dxa"/>
          </w:tcPr>
          <w:p w14:paraId="60B849D8" w14:textId="77777777" w:rsidR="008D024C" w:rsidRPr="00521DC5" w:rsidRDefault="008D024C" w:rsidP="0022152A">
            <w:pPr>
              <w:autoSpaceDE w:val="0"/>
              <w:autoSpaceDN w:val="0"/>
              <w:spacing w:after="0" w:line="240" w:lineRule="auto"/>
              <w:ind w:left="0" w:right="0"/>
              <w:jc w:val="center"/>
              <w:rPr>
                <w:bCs w:val="0"/>
                <w:szCs w:val="20"/>
              </w:rPr>
            </w:pPr>
            <w:r w:rsidRPr="00521DC5">
              <w:rPr>
                <w:bCs w:val="0"/>
                <w:szCs w:val="20"/>
              </w:rPr>
              <w:t>1.</w:t>
            </w:r>
          </w:p>
        </w:tc>
        <w:tc>
          <w:tcPr>
            <w:tcW w:w="4791" w:type="dxa"/>
          </w:tcPr>
          <w:p w14:paraId="18F5DF7A" w14:textId="06A2CF3F" w:rsidR="008D024C" w:rsidRPr="00521DC5" w:rsidRDefault="00CF37AF" w:rsidP="00CF37AF">
            <w:pPr>
              <w:spacing w:after="0" w:line="240" w:lineRule="auto"/>
              <w:ind w:left="0" w:right="0"/>
              <w:rPr>
                <w:bCs w:val="0"/>
                <w:szCs w:val="20"/>
              </w:rPr>
            </w:pPr>
            <w:r w:rsidRPr="00CF37AF">
              <w:rPr>
                <w:bCs w:val="0"/>
                <w:szCs w:val="20"/>
              </w:rPr>
              <w:t>Mestni svet Mestne občine Nova Gorica, Nadzornemu odboru Mestne občine Nova Gorica, predlaga pregled poslovanja javnega zavoda GO! 2025 – Evropska prestolnica kulture, Nova Gorica, s poudarkom na zakonitosti, pravilnosti, učinkovitosti in gospodarnosti ter namenski rabi proračunskih sredstev.</w:t>
            </w:r>
          </w:p>
        </w:tc>
        <w:tc>
          <w:tcPr>
            <w:tcW w:w="1134" w:type="dxa"/>
          </w:tcPr>
          <w:p w14:paraId="2B8B1666" w14:textId="38330B71" w:rsidR="008D024C" w:rsidRPr="00521DC5" w:rsidRDefault="009567F5"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1E7210C" w14:textId="77777777" w:rsidR="008D024C" w:rsidRPr="00521DC5" w:rsidRDefault="008D024C" w:rsidP="0022152A">
            <w:pPr>
              <w:autoSpaceDE w:val="0"/>
              <w:autoSpaceDN w:val="0"/>
              <w:adjustRightInd w:val="0"/>
              <w:spacing w:after="0" w:line="240" w:lineRule="auto"/>
              <w:ind w:left="0" w:right="0"/>
              <w:jc w:val="center"/>
              <w:rPr>
                <w:bCs w:val="0"/>
                <w:szCs w:val="20"/>
              </w:rPr>
            </w:pPr>
          </w:p>
          <w:p w14:paraId="6AEB829A" w14:textId="1059F5D7" w:rsidR="008D024C" w:rsidRPr="00521DC5" w:rsidRDefault="008D024C" w:rsidP="0022152A">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67FE4574" w14:textId="77777777" w:rsidR="008D024C" w:rsidRPr="00521DC5" w:rsidRDefault="008D024C" w:rsidP="0022152A">
            <w:pPr>
              <w:autoSpaceDE w:val="0"/>
              <w:autoSpaceDN w:val="0"/>
              <w:adjustRightInd w:val="0"/>
              <w:spacing w:after="0" w:line="240" w:lineRule="auto"/>
              <w:ind w:left="0" w:right="0"/>
              <w:jc w:val="center"/>
              <w:rPr>
                <w:bCs w:val="0"/>
                <w:szCs w:val="20"/>
              </w:rPr>
            </w:pPr>
          </w:p>
        </w:tc>
      </w:tr>
      <w:tr w:rsidR="00310A02" w:rsidRPr="00521DC5" w14:paraId="200869F4" w14:textId="77777777" w:rsidTr="0022152A">
        <w:tc>
          <w:tcPr>
            <w:tcW w:w="709" w:type="dxa"/>
          </w:tcPr>
          <w:p w14:paraId="55405948" w14:textId="77777777" w:rsidR="00310A02" w:rsidRPr="00521DC5" w:rsidRDefault="00310A02" w:rsidP="0022152A">
            <w:pPr>
              <w:autoSpaceDE w:val="0"/>
              <w:autoSpaceDN w:val="0"/>
              <w:spacing w:after="0" w:line="240" w:lineRule="auto"/>
              <w:ind w:left="0" w:right="0"/>
              <w:jc w:val="center"/>
              <w:rPr>
                <w:bCs w:val="0"/>
                <w:szCs w:val="20"/>
              </w:rPr>
            </w:pPr>
          </w:p>
        </w:tc>
        <w:tc>
          <w:tcPr>
            <w:tcW w:w="4791" w:type="dxa"/>
          </w:tcPr>
          <w:p w14:paraId="6F849835" w14:textId="77777777" w:rsidR="001E368B" w:rsidRDefault="001E368B" w:rsidP="001E368B">
            <w:pPr>
              <w:spacing w:after="0" w:line="240" w:lineRule="auto"/>
              <w:ind w:left="0" w:right="0"/>
              <w:rPr>
                <w:bCs w:val="0"/>
                <w:szCs w:val="20"/>
              </w:rPr>
            </w:pPr>
            <w:r w:rsidRPr="00CF37AF">
              <w:rPr>
                <w:bCs w:val="0"/>
                <w:szCs w:val="20"/>
              </w:rPr>
              <w:t>Mestni svet Mestne občine Nova Gorica od mestne uprave zahteva, da ta naroči izvedbo zunanje revizije poslovanja Javnega zavoda GO! 2025 - Evropska prestolnica kulture, Nova Gorica, od njegove ustanovitve do 31. 12. 2025.</w:t>
            </w:r>
          </w:p>
          <w:p w14:paraId="20AE0F8D" w14:textId="62E3B7BE" w:rsidR="00310A02" w:rsidRPr="00CF37AF" w:rsidRDefault="001E368B" w:rsidP="00CA6A21">
            <w:pPr>
              <w:spacing w:after="0" w:line="240" w:lineRule="auto"/>
              <w:ind w:left="0" w:right="0"/>
              <w:rPr>
                <w:bCs w:val="0"/>
                <w:szCs w:val="20"/>
              </w:rPr>
            </w:pPr>
            <w:r w:rsidRPr="00CF37AF">
              <w:rPr>
                <w:bCs w:val="0"/>
                <w:szCs w:val="20"/>
              </w:rPr>
              <w:t>Revizija naj obsega pravilnost in smotrnost poslovanja v skladu z mednarodnimi načeli in standardi MSVRI, ki jih je sprejela INTOSAI – Mednarodna organizacija vrhovnih revizijskih institucij ter standardi Slovenskega inštituta za revizijo.</w:t>
            </w:r>
          </w:p>
        </w:tc>
        <w:tc>
          <w:tcPr>
            <w:tcW w:w="1134" w:type="dxa"/>
          </w:tcPr>
          <w:p w14:paraId="50975961" w14:textId="77777777" w:rsidR="00310A02" w:rsidRPr="00521DC5" w:rsidRDefault="00310A02" w:rsidP="0022152A">
            <w:pPr>
              <w:autoSpaceDE w:val="0"/>
              <w:autoSpaceDN w:val="0"/>
              <w:adjustRightInd w:val="0"/>
              <w:spacing w:after="0" w:line="240" w:lineRule="auto"/>
              <w:ind w:left="0" w:right="0"/>
              <w:jc w:val="center"/>
              <w:rPr>
                <w:bCs w:val="0"/>
                <w:szCs w:val="20"/>
              </w:rPr>
            </w:pPr>
          </w:p>
        </w:tc>
        <w:tc>
          <w:tcPr>
            <w:tcW w:w="1304" w:type="dxa"/>
          </w:tcPr>
          <w:p w14:paraId="594CD12D" w14:textId="1E0AD26C" w:rsidR="00310A02" w:rsidRPr="004839D1" w:rsidRDefault="004839D1" w:rsidP="004839D1">
            <w:pPr>
              <w:autoSpaceDE w:val="0"/>
              <w:autoSpaceDN w:val="0"/>
              <w:adjustRightInd w:val="0"/>
              <w:spacing w:after="0" w:line="240" w:lineRule="auto"/>
              <w:ind w:left="0" w:right="0"/>
              <w:jc w:val="center"/>
              <w:rPr>
                <w:bCs w:val="0"/>
                <w:szCs w:val="20"/>
              </w:rPr>
            </w:pPr>
            <w:r w:rsidRPr="004839D1">
              <w:rPr>
                <w:bCs w:val="0"/>
                <w:szCs w:val="20"/>
              </w:rPr>
              <w:t>●</w:t>
            </w:r>
          </w:p>
        </w:tc>
        <w:tc>
          <w:tcPr>
            <w:tcW w:w="1134" w:type="dxa"/>
          </w:tcPr>
          <w:p w14:paraId="73019D9C" w14:textId="77777777" w:rsidR="00310A02" w:rsidRPr="00521DC5" w:rsidRDefault="00310A02" w:rsidP="0022152A">
            <w:pPr>
              <w:autoSpaceDE w:val="0"/>
              <w:autoSpaceDN w:val="0"/>
              <w:adjustRightInd w:val="0"/>
              <w:spacing w:after="0" w:line="240" w:lineRule="auto"/>
              <w:ind w:left="0" w:right="0"/>
              <w:jc w:val="center"/>
              <w:rPr>
                <w:bCs w:val="0"/>
                <w:szCs w:val="20"/>
              </w:rPr>
            </w:pPr>
          </w:p>
        </w:tc>
      </w:tr>
      <w:tr w:rsidR="00310A02" w:rsidRPr="00521DC5" w14:paraId="7056CA8F" w14:textId="77777777" w:rsidTr="0022152A">
        <w:tc>
          <w:tcPr>
            <w:tcW w:w="709" w:type="dxa"/>
          </w:tcPr>
          <w:p w14:paraId="13FF2993" w14:textId="77777777" w:rsidR="00310A02" w:rsidRPr="00521DC5" w:rsidRDefault="00310A02" w:rsidP="0022152A">
            <w:pPr>
              <w:autoSpaceDE w:val="0"/>
              <w:autoSpaceDN w:val="0"/>
              <w:spacing w:after="0" w:line="240" w:lineRule="auto"/>
              <w:ind w:left="0" w:right="0"/>
              <w:jc w:val="center"/>
              <w:rPr>
                <w:bCs w:val="0"/>
                <w:szCs w:val="20"/>
              </w:rPr>
            </w:pPr>
          </w:p>
        </w:tc>
        <w:tc>
          <w:tcPr>
            <w:tcW w:w="4791" w:type="dxa"/>
          </w:tcPr>
          <w:p w14:paraId="59C40639" w14:textId="77777777" w:rsidR="001E368B" w:rsidRPr="00CF37AF" w:rsidRDefault="001E368B" w:rsidP="001E368B">
            <w:pPr>
              <w:spacing w:after="0" w:line="240" w:lineRule="auto"/>
              <w:ind w:left="0" w:right="0"/>
              <w:rPr>
                <w:bCs w:val="0"/>
                <w:szCs w:val="20"/>
              </w:rPr>
            </w:pPr>
            <w:r w:rsidRPr="00CF37AF">
              <w:rPr>
                <w:bCs w:val="0"/>
                <w:szCs w:val="20"/>
              </w:rPr>
              <w:t>Mestni svet Mestne občine Nova Gorica poda Računskemu sodišču Republike Slovenije pobudo, da v okviru svojih ustavnih in zakonskih pr</w:t>
            </w:r>
            <w:r>
              <w:rPr>
                <w:bCs w:val="0"/>
                <w:szCs w:val="20"/>
              </w:rPr>
              <w:t>i</w:t>
            </w:r>
            <w:r w:rsidRPr="00CF37AF">
              <w:rPr>
                <w:bCs w:val="0"/>
                <w:szCs w:val="20"/>
              </w:rPr>
              <w:t>stojnosti izvede celovito revizijo poslovanja javnega zavoda GO! 2025, in sicer od njegove ustanovitve do 31. 12. 2025, s poudarkom na:</w:t>
            </w:r>
          </w:p>
          <w:p w14:paraId="502F97A4" w14:textId="77777777" w:rsidR="001E368B" w:rsidRPr="00CF37AF" w:rsidRDefault="001E368B" w:rsidP="005F6982">
            <w:pPr>
              <w:spacing w:after="0" w:line="240" w:lineRule="auto"/>
              <w:ind w:left="172" w:right="0" w:hanging="172"/>
              <w:rPr>
                <w:bCs w:val="0"/>
                <w:szCs w:val="20"/>
              </w:rPr>
            </w:pPr>
            <w:r w:rsidRPr="00CF37AF">
              <w:rPr>
                <w:bCs w:val="0"/>
                <w:szCs w:val="20"/>
              </w:rPr>
              <w:t>-</w:t>
            </w:r>
            <w:r>
              <w:rPr>
                <w:bCs w:val="0"/>
                <w:szCs w:val="20"/>
              </w:rPr>
              <w:t xml:space="preserve"> </w:t>
            </w:r>
            <w:r w:rsidRPr="00CF37AF">
              <w:rPr>
                <w:bCs w:val="0"/>
                <w:szCs w:val="20"/>
              </w:rPr>
              <w:t>smotrnosti in gospodarnosti porabe javnih sredstev,</w:t>
            </w:r>
          </w:p>
          <w:p w14:paraId="4CD94DBD" w14:textId="77777777" w:rsidR="001E368B" w:rsidRPr="00CF37AF" w:rsidRDefault="001E368B" w:rsidP="005F6982">
            <w:pPr>
              <w:spacing w:after="0" w:line="240" w:lineRule="auto"/>
              <w:ind w:left="172" w:right="0" w:hanging="172"/>
              <w:rPr>
                <w:bCs w:val="0"/>
                <w:szCs w:val="20"/>
              </w:rPr>
            </w:pPr>
            <w:r w:rsidRPr="00CF37AF">
              <w:rPr>
                <w:bCs w:val="0"/>
                <w:szCs w:val="20"/>
              </w:rPr>
              <w:t>-</w:t>
            </w:r>
            <w:r>
              <w:rPr>
                <w:bCs w:val="0"/>
                <w:szCs w:val="20"/>
              </w:rPr>
              <w:t xml:space="preserve"> </w:t>
            </w:r>
            <w:r w:rsidRPr="00CF37AF">
              <w:rPr>
                <w:bCs w:val="0"/>
                <w:szCs w:val="20"/>
              </w:rPr>
              <w:t>namenskosti porabe občinskih, državnih in evropskih sredstev,</w:t>
            </w:r>
          </w:p>
          <w:p w14:paraId="4788195C" w14:textId="77777777" w:rsidR="001E368B" w:rsidRPr="00CF37AF" w:rsidRDefault="001E368B" w:rsidP="005F6982">
            <w:pPr>
              <w:spacing w:after="0" w:line="240" w:lineRule="auto"/>
              <w:ind w:left="172" w:right="0" w:hanging="172"/>
              <w:rPr>
                <w:bCs w:val="0"/>
                <w:szCs w:val="20"/>
              </w:rPr>
            </w:pPr>
            <w:r w:rsidRPr="00CF37AF">
              <w:rPr>
                <w:bCs w:val="0"/>
                <w:szCs w:val="20"/>
              </w:rPr>
              <w:t>-</w:t>
            </w:r>
            <w:r>
              <w:rPr>
                <w:bCs w:val="0"/>
                <w:szCs w:val="20"/>
              </w:rPr>
              <w:t xml:space="preserve"> </w:t>
            </w:r>
            <w:r w:rsidRPr="00CF37AF">
              <w:rPr>
                <w:bCs w:val="0"/>
                <w:szCs w:val="20"/>
              </w:rPr>
              <w:t>zakonitosti postopkov naročanja storitev in blaga,</w:t>
            </w:r>
          </w:p>
          <w:p w14:paraId="3EEAA8A5" w14:textId="14B71533" w:rsidR="00310A02" w:rsidRPr="00CF37AF" w:rsidRDefault="001E368B" w:rsidP="005F6982">
            <w:pPr>
              <w:spacing w:after="0" w:line="240" w:lineRule="auto"/>
              <w:ind w:left="172" w:right="0" w:hanging="172"/>
              <w:rPr>
                <w:bCs w:val="0"/>
                <w:szCs w:val="20"/>
              </w:rPr>
            </w:pPr>
            <w:r w:rsidRPr="00CF37AF">
              <w:rPr>
                <w:bCs w:val="0"/>
                <w:szCs w:val="20"/>
              </w:rPr>
              <w:t>-</w:t>
            </w:r>
            <w:r>
              <w:rPr>
                <w:bCs w:val="0"/>
                <w:szCs w:val="20"/>
              </w:rPr>
              <w:t xml:space="preserve"> </w:t>
            </w:r>
            <w:r w:rsidRPr="00CF37AF">
              <w:rPr>
                <w:bCs w:val="0"/>
                <w:szCs w:val="20"/>
              </w:rPr>
              <w:t>obstoja morebitnih sistemskih nepravilnosti pri upravljanju zavoda.</w:t>
            </w:r>
          </w:p>
        </w:tc>
        <w:tc>
          <w:tcPr>
            <w:tcW w:w="1134" w:type="dxa"/>
          </w:tcPr>
          <w:p w14:paraId="4B549D47" w14:textId="0A864B81" w:rsidR="00310A02" w:rsidRPr="00521DC5" w:rsidRDefault="004839D1"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82296BF" w14:textId="77777777" w:rsidR="00310A02" w:rsidRPr="00521DC5" w:rsidRDefault="00310A02" w:rsidP="0022152A">
            <w:pPr>
              <w:autoSpaceDE w:val="0"/>
              <w:autoSpaceDN w:val="0"/>
              <w:adjustRightInd w:val="0"/>
              <w:spacing w:after="0" w:line="240" w:lineRule="auto"/>
              <w:ind w:left="0" w:right="0"/>
              <w:jc w:val="center"/>
              <w:rPr>
                <w:bCs w:val="0"/>
                <w:szCs w:val="20"/>
              </w:rPr>
            </w:pPr>
          </w:p>
        </w:tc>
        <w:tc>
          <w:tcPr>
            <w:tcW w:w="1134" w:type="dxa"/>
          </w:tcPr>
          <w:p w14:paraId="31FDCAB8" w14:textId="77777777" w:rsidR="00310A02" w:rsidRPr="00521DC5" w:rsidRDefault="00310A02" w:rsidP="0022152A">
            <w:pPr>
              <w:autoSpaceDE w:val="0"/>
              <w:autoSpaceDN w:val="0"/>
              <w:adjustRightInd w:val="0"/>
              <w:spacing w:after="0" w:line="240" w:lineRule="auto"/>
              <w:ind w:left="0" w:right="0"/>
              <w:jc w:val="center"/>
              <w:rPr>
                <w:bCs w:val="0"/>
                <w:szCs w:val="20"/>
              </w:rPr>
            </w:pPr>
          </w:p>
        </w:tc>
      </w:tr>
      <w:tr w:rsidR="00DA0E14" w:rsidRPr="00521DC5" w14:paraId="72F5528A" w14:textId="77777777" w:rsidTr="0022152A">
        <w:tc>
          <w:tcPr>
            <w:tcW w:w="709" w:type="dxa"/>
          </w:tcPr>
          <w:p w14:paraId="118239DB" w14:textId="77777777" w:rsidR="00DA0E14" w:rsidRPr="00521DC5" w:rsidRDefault="00DA0E14" w:rsidP="0022152A">
            <w:pPr>
              <w:autoSpaceDE w:val="0"/>
              <w:autoSpaceDN w:val="0"/>
              <w:spacing w:after="0" w:line="240" w:lineRule="auto"/>
              <w:ind w:left="0" w:right="0"/>
              <w:jc w:val="center"/>
              <w:rPr>
                <w:bCs w:val="0"/>
                <w:szCs w:val="20"/>
              </w:rPr>
            </w:pPr>
          </w:p>
        </w:tc>
        <w:tc>
          <w:tcPr>
            <w:tcW w:w="4791" w:type="dxa"/>
          </w:tcPr>
          <w:p w14:paraId="4BF22F2B" w14:textId="033C97C1" w:rsidR="00DA0E14" w:rsidRPr="00521DC5" w:rsidRDefault="00DA0E14" w:rsidP="00CA6A21">
            <w:pPr>
              <w:spacing w:after="0" w:line="240" w:lineRule="auto"/>
              <w:ind w:left="0" w:right="0"/>
              <w:rPr>
                <w:bCs w:val="0"/>
                <w:szCs w:val="20"/>
              </w:rPr>
            </w:pPr>
            <w:r w:rsidRPr="00CF37AF">
              <w:rPr>
                <w:bCs w:val="0"/>
                <w:szCs w:val="20"/>
              </w:rPr>
              <w:t>Župan se pooblasti za pripravo in pošiljanje uradne pobude.</w:t>
            </w:r>
          </w:p>
        </w:tc>
        <w:tc>
          <w:tcPr>
            <w:tcW w:w="1134" w:type="dxa"/>
          </w:tcPr>
          <w:p w14:paraId="25086FB2" w14:textId="5D0B4BC2" w:rsidR="00DA0E14" w:rsidRPr="00521DC5" w:rsidRDefault="004839D1"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FB1C8CB" w14:textId="77777777" w:rsidR="00DA0E14" w:rsidRPr="00521DC5" w:rsidRDefault="00DA0E14" w:rsidP="0022152A">
            <w:pPr>
              <w:autoSpaceDE w:val="0"/>
              <w:autoSpaceDN w:val="0"/>
              <w:adjustRightInd w:val="0"/>
              <w:spacing w:after="0" w:line="240" w:lineRule="auto"/>
              <w:ind w:left="0" w:right="0"/>
              <w:jc w:val="center"/>
              <w:rPr>
                <w:bCs w:val="0"/>
                <w:szCs w:val="20"/>
              </w:rPr>
            </w:pPr>
          </w:p>
        </w:tc>
        <w:tc>
          <w:tcPr>
            <w:tcW w:w="1134" w:type="dxa"/>
          </w:tcPr>
          <w:p w14:paraId="7270F85F" w14:textId="77777777" w:rsidR="00DA0E14" w:rsidRPr="00521DC5" w:rsidRDefault="00DA0E14" w:rsidP="0022152A">
            <w:pPr>
              <w:autoSpaceDE w:val="0"/>
              <w:autoSpaceDN w:val="0"/>
              <w:adjustRightInd w:val="0"/>
              <w:spacing w:after="0" w:line="240" w:lineRule="auto"/>
              <w:ind w:left="0" w:right="0"/>
              <w:jc w:val="center"/>
              <w:rPr>
                <w:bCs w:val="0"/>
                <w:szCs w:val="20"/>
              </w:rPr>
            </w:pPr>
          </w:p>
        </w:tc>
      </w:tr>
      <w:tr w:rsidR="004D1DEF" w:rsidRPr="00521DC5" w14:paraId="093D9144" w14:textId="77777777" w:rsidTr="0022152A">
        <w:tc>
          <w:tcPr>
            <w:tcW w:w="709" w:type="dxa"/>
          </w:tcPr>
          <w:p w14:paraId="42F2CD95" w14:textId="73A796EE" w:rsidR="004D1DEF" w:rsidRPr="00521DC5" w:rsidRDefault="004D1DEF" w:rsidP="0022152A">
            <w:pPr>
              <w:autoSpaceDE w:val="0"/>
              <w:autoSpaceDN w:val="0"/>
              <w:spacing w:after="0" w:line="240" w:lineRule="auto"/>
              <w:ind w:left="0" w:right="0"/>
              <w:jc w:val="center"/>
              <w:rPr>
                <w:bCs w:val="0"/>
                <w:szCs w:val="20"/>
              </w:rPr>
            </w:pPr>
            <w:r w:rsidRPr="00521DC5">
              <w:rPr>
                <w:bCs w:val="0"/>
                <w:szCs w:val="20"/>
              </w:rPr>
              <w:t>2.</w:t>
            </w:r>
          </w:p>
        </w:tc>
        <w:tc>
          <w:tcPr>
            <w:tcW w:w="4791" w:type="dxa"/>
          </w:tcPr>
          <w:p w14:paraId="77C5B713" w14:textId="7F560D89" w:rsidR="004D1DEF" w:rsidRPr="00CF37AF" w:rsidRDefault="004D1DEF" w:rsidP="00CA6A21">
            <w:pPr>
              <w:spacing w:after="0" w:line="240" w:lineRule="auto"/>
              <w:ind w:left="0" w:right="0"/>
              <w:rPr>
                <w:bCs w:val="0"/>
                <w:szCs w:val="20"/>
              </w:rPr>
            </w:pPr>
            <w:r w:rsidRPr="00521DC5">
              <w:rPr>
                <w:bCs w:val="0"/>
                <w:szCs w:val="20"/>
              </w:rPr>
              <w:t xml:space="preserve">Sklep o seznanitvi s Pravnim mnenjem glede zakonitosti in pravilnosti ravnanja javnega zavoda »GO! 2025 – Evropska prestolnica kulture, Nova Gorica« pri oddaji evidenčnih javnih naročil, z dne 8. 12. 2025, ki ga je izdelala Odvetniška pisarna </w:t>
            </w:r>
            <w:proofErr w:type="spellStart"/>
            <w:r w:rsidRPr="00521DC5">
              <w:rPr>
                <w:bCs w:val="0"/>
                <w:szCs w:val="20"/>
              </w:rPr>
              <w:t>Mužina</w:t>
            </w:r>
            <w:proofErr w:type="spellEnd"/>
            <w:r w:rsidRPr="00521DC5">
              <w:rPr>
                <w:bCs w:val="0"/>
                <w:szCs w:val="20"/>
              </w:rPr>
              <w:t>, Žvipelj in partnerji d.o.o..</w:t>
            </w:r>
          </w:p>
        </w:tc>
        <w:tc>
          <w:tcPr>
            <w:tcW w:w="1134" w:type="dxa"/>
          </w:tcPr>
          <w:p w14:paraId="770D4DF5" w14:textId="23524253" w:rsidR="004D1DEF" w:rsidRPr="00521DC5" w:rsidRDefault="004D1DEF"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474AC29" w14:textId="77777777" w:rsidR="004D1DEF" w:rsidRPr="00521DC5" w:rsidRDefault="004D1DEF" w:rsidP="0022152A">
            <w:pPr>
              <w:autoSpaceDE w:val="0"/>
              <w:autoSpaceDN w:val="0"/>
              <w:adjustRightInd w:val="0"/>
              <w:spacing w:after="0" w:line="240" w:lineRule="auto"/>
              <w:ind w:left="0" w:right="0"/>
              <w:jc w:val="center"/>
              <w:rPr>
                <w:bCs w:val="0"/>
                <w:szCs w:val="20"/>
              </w:rPr>
            </w:pPr>
          </w:p>
        </w:tc>
        <w:tc>
          <w:tcPr>
            <w:tcW w:w="1134" w:type="dxa"/>
          </w:tcPr>
          <w:p w14:paraId="1AFD79FD" w14:textId="77777777" w:rsidR="004D1DEF" w:rsidRPr="00521DC5" w:rsidRDefault="004D1DEF" w:rsidP="0022152A">
            <w:pPr>
              <w:autoSpaceDE w:val="0"/>
              <w:autoSpaceDN w:val="0"/>
              <w:adjustRightInd w:val="0"/>
              <w:spacing w:after="0" w:line="240" w:lineRule="auto"/>
              <w:ind w:left="0" w:right="0"/>
              <w:jc w:val="center"/>
              <w:rPr>
                <w:bCs w:val="0"/>
                <w:szCs w:val="20"/>
              </w:rPr>
            </w:pPr>
          </w:p>
        </w:tc>
      </w:tr>
    </w:tbl>
    <w:p w14:paraId="156EB668" w14:textId="77777777" w:rsidR="008D024C" w:rsidRDefault="008D024C" w:rsidP="00B418C5">
      <w:pPr>
        <w:autoSpaceDE w:val="0"/>
        <w:autoSpaceDN w:val="0"/>
        <w:spacing w:after="0" w:line="240" w:lineRule="auto"/>
        <w:ind w:left="0" w:right="0"/>
        <w:jc w:val="both"/>
        <w:rPr>
          <w:rFonts w:ascii="Arial" w:hAnsi="Arial"/>
          <w:b/>
          <w:bCs w:val="0"/>
          <w:sz w:val="22"/>
          <w:u w:val="single"/>
        </w:rPr>
      </w:pPr>
    </w:p>
    <w:p w14:paraId="5C7614E5" w14:textId="2F6EF632" w:rsidR="00B418C5" w:rsidRPr="00521DC5" w:rsidRDefault="00B418C5" w:rsidP="00915F4E">
      <w:pPr>
        <w:pStyle w:val="Naslov2"/>
        <w:spacing w:line="288" w:lineRule="auto"/>
        <w:rPr>
          <w:noProof w:val="0"/>
          <w:sz w:val="20"/>
          <w:szCs w:val="20"/>
        </w:rPr>
      </w:pPr>
      <w:r w:rsidRPr="00521DC5">
        <w:rPr>
          <w:noProof w:val="0"/>
          <w:sz w:val="20"/>
          <w:szCs w:val="20"/>
        </w:rPr>
        <w:lastRenderedPageBreak/>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521DC5" w14:paraId="32CDD9F3" w14:textId="77777777" w:rsidTr="000262CD">
        <w:trPr>
          <w:trHeight w:val="663"/>
        </w:trPr>
        <w:tc>
          <w:tcPr>
            <w:tcW w:w="709" w:type="dxa"/>
          </w:tcPr>
          <w:p w14:paraId="390C8B21"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bookmarkStart w:id="1" w:name="_Hlk205193349"/>
            <w:proofErr w:type="spellStart"/>
            <w:r w:rsidRPr="00521DC5">
              <w:rPr>
                <w:bCs w:val="0"/>
                <w:szCs w:val="20"/>
              </w:rPr>
              <w:t>zap</w:t>
            </w:r>
            <w:proofErr w:type="spellEnd"/>
            <w:r w:rsidRPr="00521DC5">
              <w:rPr>
                <w:bCs w:val="0"/>
                <w:szCs w:val="20"/>
              </w:rPr>
              <w:t>.</w:t>
            </w:r>
          </w:p>
          <w:p w14:paraId="31424715"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56ADBF27"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28B22CB"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0EC2A79B" w14:textId="12B88392"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F00A2B" w:rsidRPr="00521DC5">
              <w:rPr>
                <w:bCs w:val="0"/>
                <w:szCs w:val="20"/>
              </w:rPr>
              <w:t>-</w:t>
            </w:r>
            <w:r w:rsidRPr="00521DC5">
              <w:rPr>
                <w:bCs w:val="0"/>
                <w:szCs w:val="20"/>
              </w:rPr>
              <w:t>NJU</w:t>
            </w:r>
          </w:p>
        </w:tc>
        <w:tc>
          <w:tcPr>
            <w:tcW w:w="1134" w:type="dxa"/>
          </w:tcPr>
          <w:p w14:paraId="5CA4A153"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NI IZVRŠEN</w:t>
            </w:r>
          </w:p>
        </w:tc>
      </w:tr>
      <w:bookmarkEnd w:id="1"/>
      <w:tr w:rsidR="00B418C5" w:rsidRPr="00521DC5" w14:paraId="4111BE21" w14:textId="77777777" w:rsidTr="00B018D1">
        <w:tc>
          <w:tcPr>
            <w:tcW w:w="709" w:type="dxa"/>
          </w:tcPr>
          <w:p w14:paraId="1E2F0F3A" w14:textId="77777777" w:rsidR="00B418C5" w:rsidRPr="00521DC5" w:rsidRDefault="00B418C5" w:rsidP="00B018D1">
            <w:pPr>
              <w:autoSpaceDE w:val="0"/>
              <w:autoSpaceDN w:val="0"/>
              <w:spacing w:after="0" w:line="240" w:lineRule="auto"/>
              <w:ind w:left="0" w:right="0"/>
              <w:jc w:val="center"/>
              <w:rPr>
                <w:bCs w:val="0"/>
                <w:szCs w:val="20"/>
              </w:rPr>
            </w:pPr>
            <w:r w:rsidRPr="00521DC5">
              <w:rPr>
                <w:bCs w:val="0"/>
                <w:szCs w:val="20"/>
              </w:rPr>
              <w:t>9.</w:t>
            </w:r>
          </w:p>
        </w:tc>
        <w:tc>
          <w:tcPr>
            <w:tcW w:w="4791" w:type="dxa"/>
          </w:tcPr>
          <w:p w14:paraId="0E67F6A5" w14:textId="77777777" w:rsidR="00B418C5" w:rsidRPr="00521DC5" w:rsidRDefault="00B418C5" w:rsidP="0096766F">
            <w:pPr>
              <w:spacing w:after="0" w:line="240" w:lineRule="auto"/>
              <w:ind w:left="0" w:right="0"/>
              <w:rPr>
                <w:bCs w:val="0"/>
                <w:szCs w:val="20"/>
              </w:rPr>
            </w:pPr>
            <w:r w:rsidRPr="00521DC5">
              <w:rPr>
                <w:bCs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304" w:type="dxa"/>
          </w:tcPr>
          <w:p w14:paraId="2118CE6C"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134" w:type="dxa"/>
          </w:tcPr>
          <w:p w14:paraId="4FB3D57B"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bl>
    <w:p w14:paraId="245B2419" w14:textId="77777777" w:rsidR="000262CD" w:rsidRPr="00521DC5" w:rsidRDefault="000262CD" w:rsidP="00B418C5">
      <w:pPr>
        <w:tabs>
          <w:tab w:val="left" w:pos="935"/>
        </w:tabs>
        <w:autoSpaceDE w:val="0"/>
        <w:autoSpaceDN w:val="0"/>
        <w:spacing w:after="0" w:line="240" w:lineRule="auto"/>
        <w:ind w:left="0" w:right="0"/>
        <w:jc w:val="both"/>
        <w:rPr>
          <w:b/>
          <w:szCs w:val="20"/>
          <w:u w:val="single"/>
        </w:rPr>
      </w:pPr>
    </w:p>
    <w:p w14:paraId="61C4C51D" w14:textId="7972D3E8" w:rsidR="00B418C5" w:rsidRPr="00521DC5" w:rsidRDefault="00B418C5" w:rsidP="00915F4E">
      <w:pPr>
        <w:pStyle w:val="Naslov2"/>
        <w:spacing w:line="288" w:lineRule="auto"/>
        <w:rPr>
          <w:noProof w:val="0"/>
          <w:sz w:val="20"/>
          <w:szCs w:val="20"/>
        </w:rPr>
      </w:pPr>
      <w:r w:rsidRPr="00521DC5">
        <w:rPr>
          <w:noProof w:val="0"/>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1134"/>
        <w:gridCol w:w="1276"/>
        <w:gridCol w:w="1134"/>
      </w:tblGrid>
      <w:tr w:rsidR="00B418C5" w:rsidRPr="00521DC5" w14:paraId="3E7A5085" w14:textId="77777777" w:rsidTr="000262CD">
        <w:trPr>
          <w:trHeight w:val="594"/>
        </w:trPr>
        <w:tc>
          <w:tcPr>
            <w:tcW w:w="709" w:type="dxa"/>
          </w:tcPr>
          <w:p w14:paraId="54CADC8D"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057BE019"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819" w:type="dxa"/>
          </w:tcPr>
          <w:p w14:paraId="7C50CE82"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30F509B" w14:textId="67A80503" w:rsidR="00B418C5" w:rsidRPr="00521DC5" w:rsidRDefault="000262CD" w:rsidP="000262CD">
            <w:pPr>
              <w:tabs>
                <w:tab w:val="left" w:pos="935"/>
              </w:tabs>
              <w:autoSpaceDE w:val="0"/>
              <w:autoSpaceDN w:val="0"/>
              <w:spacing w:after="0" w:line="240" w:lineRule="auto"/>
              <w:ind w:left="0" w:right="0"/>
              <w:rPr>
                <w:bCs w:val="0"/>
                <w:szCs w:val="20"/>
              </w:rPr>
            </w:pPr>
            <w:r w:rsidRPr="00521DC5">
              <w:rPr>
                <w:bCs w:val="0"/>
                <w:szCs w:val="20"/>
              </w:rPr>
              <w:t>IZVRŠEN</w:t>
            </w:r>
          </w:p>
        </w:tc>
        <w:tc>
          <w:tcPr>
            <w:tcW w:w="1276" w:type="dxa"/>
          </w:tcPr>
          <w:p w14:paraId="3D941C0E" w14:textId="3979116F"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w:t>
            </w:r>
            <w:r w:rsidR="00BB4CF1" w:rsidRPr="00521DC5">
              <w:rPr>
                <w:bCs w:val="0"/>
                <w:szCs w:val="20"/>
              </w:rPr>
              <w:t>A-</w:t>
            </w:r>
            <w:r w:rsidRPr="00521DC5">
              <w:rPr>
                <w:bCs w:val="0"/>
                <w:szCs w:val="20"/>
              </w:rPr>
              <w:t>NJU</w:t>
            </w:r>
          </w:p>
        </w:tc>
        <w:tc>
          <w:tcPr>
            <w:tcW w:w="1134" w:type="dxa"/>
          </w:tcPr>
          <w:p w14:paraId="76052571" w14:textId="77777777"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NI IZVRŠEN</w:t>
            </w:r>
          </w:p>
        </w:tc>
      </w:tr>
      <w:tr w:rsidR="00B418C5" w:rsidRPr="00521DC5" w14:paraId="5320E110" w14:textId="77777777" w:rsidTr="000262CD">
        <w:tc>
          <w:tcPr>
            <w:tcW w:w="709" w:type="dxa"/>
          </w:tcPr>
          <w:p w14:paraId="756FCA84" w14:textId="77777777" w:rsidR="00B418C5" w:rsidRPr="00521DC5" w:rsidRDefault="00B418C5" w:rsidP="00B018D1">
            <w:pPr>
              <w:autoSpaceDE w:val="0"/>
              <w:autoSpaceDN w:val="0"/>
              <w:spacing w:after="0" w:line="240" w:lineRule="auto"/>
              <w:ind w:left="-120" w:right="0" w:firstLine="22"/>
              <w:jc w:val="center"/>
              <w:rPr>
                <w:bCs w:val="0"/>
                <w:szCs w:val="20"/>
              </w:rPr>
            </w:pPr>
            <w:r w:rsidRPr="00521DC5">
              <w:rPr>
                <w:bCs w:val="0"/>
                <w:szCs w:val="20"/>
              </w:rPr>
              <w:t>10.</w:t>
            </w:r>
          </w:p>
        </w:tc>
        <w:tc>
          <w:tcPr>
            <w:tcW w:w="4819" w:type="dxa"/>
          </w:tcPr>
          <w:p w14:paraId="5CB91FBD" w14:textId="77777777" w:rsidR="00B418C5" w:rsidRPr="00521DC5" w:rsidRDefault="00B418C5" w:rsidP="00B018D1">
            <w:pPr>
              <w:spacing w:after="0" w:line="240" w:lineRule="auto"/>
              <w:ind w:left="0" w:right="0"/>
              <w:rPr>
                <w:bCs w:val="0"/>
                <w:szCs w:val="20"/>
              </w:rPr>
            </w:pPr>
            <w:hyperlink r:id="rId11" w:tgtFrame="_blank" w:history="1">
              <w:r w:rsidRPr="00521DC5">
                <w:rPr>
                  <w:bCs w:val="0"/>
                  <w:szCs w:val="20"/>
                </w:rPr>
                <w:t>Sklep o začasni vzpostavitvi videonadzora na ekološkem otoku</w:t>
              </w:r>
            </w:hyperlink>
            <w:r w:rsidRPr="00521DC5">
              <w:rPr>
                <w:bCs w:val="0"/>
                <w:szCs w:val="20"/>
              </w:rPr>
              <w:t xml:space="preserve"> na Ulici Gradnikove brigade.</w:t>
            </w:r>
          </w:p>
        </w:tc>
        <w:tc>
          <w:tcPr>
            <w:tcW w:w="1134" w:type="dxa"/>
          </w:tcPr>
          <w:p w14:paraId="4503842E"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c>
          <w:tcPr>
            <w:tcW w:w="1276" w:type="dxa"/>
          </w:tcPr>
          <w:p w14:paraId="32F2AF7B"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r w:rsidRPr="00521DC5">
              <w:rPr>
                <w:bCs w:val="0"/>
                <w:szCs w:val="20"/>
              </w:rPr>
              <w:t>●</w:t>
            </w:r>
          </w:p>
        </w:tc>
        <w:tc>
          <w:tcPr>
            <w:tcW w:w="1134" w:type="dxa"/>
          </w:tcPr>
          <w:p w14:paraId="2342C233"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r>
    </w:tbl>
    <w:p w14:paraId="44887807" w14:textId="77777777" w:rsidR="006034AA" w:rsidRDefault="006034AA" w:rsidP="003479DD">
      <w:pPr>
        <w:pStyle w:val="Naslov2"/>
        <w:ind w:left="708"/>
        <w:rPr>
          <w:noProof w:val="0"/>
          <w:sz w:val="22"/>
          <w:szCs w:val="22"/>
        </w:rPr>
      </w:pPr>
    </w:p>
    <w:p w14:paraId="7E783963" w14:textId="123CE0CB" w:rsidR="00B418C5" w:rsidRPr="00521DC5" w:rsidRDefault="00B418C5" w:rsidP="003479DD">
      <w:pPr>
        <w:pStyle w:val="Naslov2"/>
        <w:ind w:left="708"/>
        <w:rPr>
          <w:noProof w:val="0"/>
          <w:sz w:val="22"/>
          <w:szCs w:val="22"/>
        </w:rPr>
      </w:pPr>
      <w:r w:rsidRPr="00521DC5">
        <w:rPr>
          <w:noProof w:val="0"/>
          <w:sz w:val="22"/>
          <w:szCs w:val="22"/>
        </w:rPr>
        <w:t>Pobude, predlogi, vprašanja in nestrinjanja oziroma nezadovoljstva s prejetimi odgovori ter pripombe in pohvale svetnic ter svetnikov so bili posredovani Županu, Kabinetu župana in Občinski upravi:</w:t>
      </w:r>
    </w:p>
    <w:p w14:paraId="653E7C08" w14:textId="77777777" w:rsidR="00B418C5" w:rsidRPr="00521DC5" w:rsidRDefault="00B418C5" w:rsidP="00B418C5">
      <w:pPr>
        <w:autoSpaceDE w:val="0"/>
        <w:autoSpaceDN w:val="0"/>
        <w:adjustRightInd w:val="0"/>
        <w:spacing w:after="0" w:line="240" w:lineRule="auto"/>
        <w:ind w:left="0" w:right="0"/>
        <w:jc w:val="both"/>
        <w:rPr>
          <w:rFonts w:ascii="Arial" w:hAnsi="Arial"/>
          <w:b/>
          <w:bCs w:val="0"/>
          <w:szCs w:val="20"/>
        </w:rPr>
      </w:pPr>
    </w:p>
    <w:p w14:paraId="29291C7E" w14:textId="618FFB0C" w:rsidR="00B418C5" w:rsidRDefault="00B418C5" w:rsidP="003F66FA">
      <w:pPr>
        <w:pStyle w:val="Odstavekseznama"/>
        <w:numPr>
          <w:ilvl w:val="0"/>
          <w:numId w:val="13"/>
        </w:numPr>
        <w:spacing w:after="0"/>
        <w:ind w:left="709" w:hanging="283"/>
        <w:rPr>
          <w:b/>
          <w:bCs w:val="0"/>
        </w:rPr>
      </w:pPr>
      <w:r w:rsidRPr="00521DC5">
        <w:rPr>
          <w:b/>
          <w:bCs w:val="0"/>
        </w:rPr>
        <w:t>svetni</w:t>
      </w:r>
      <w:r w:rsidR="00156859">
        <w:rPr>
          <w:b/>
          <w:bCs w:val="0"/>
        </w:rPr>
        <w:t>ce</w:t>
      </w:r>
      <w:r w:rsidRPr="00521DC5">
        <w:rPr>
          <w:b/>
          <w:bCs w:val="0"/>
        </w:rPr>
        <w:t xml:space="preserve"> </w:t>
      </w:r>
      <w:r w:rsidR="00156859">
        <w:rPr>
          <w:b/>
          <w:bCs w:val="0"/>
        </w:rPr>
        <w:t>Tanje Gregorič</w:t>
      </w:r>
      <w:r w:rsidRPr="00521DC5">
        <w:rPr>
          <w:b/>
          <w:bCs w:val="0"/>
        </w:rPr>
        <w:t xml:space="preserve"> - </w:t>
      </w:r>
      <w:bookmarkStart w:id="2" w:name="_Hlk209686504"/>
      <w:r w:rsidRPr="00521DC5">
        <w:rPr>
          <w:b/>
          <w:bCs w:val="0"/>
        </w:rPr>
        <w:t>naslednj</w:t>
      </w:r>
      <w:r w:rsidR="00A6443F" w:rsidRPr="00521DC5">
        <w:rPr>
          <w:b/>
          <w:bCs w:val="0"/>
        </w:rPr>
        <w:t>a</w:t>
      </w:r>
      <w:r w:rsidRPr="00521DC5">
        <w:rPr>
          <w:b/>
          <w:bCs w:val="0"/>
        </w:rPr>
        <w:t xml:space="preserve"> pobud</w:t>
      </w:r>
      <w:r w:rsidR="00A6443F" w:rsidRPr="00521DC5">
        <w:rPr>
          <w:b/>
          <w:bCs w:val="0"/>
        </w:rPr>
        <w:t>a</w:t>
      </w:r>
      <w:r w:rsidRPr="00521DC5">
        <w:rPr>
          <w:b/>
          <w:bCs w:val="0"/>
        </w:rPr>
        <w:t>:</w:t>
      </w:r>
      <w:bookmarkEnd w:id="2"/>
    </w:p>
    <w:p w14:paraId="17A62DF8" w14:textId="77777777" w:rsidR="00F06145" w:rsidRDefault="00F06145" w:rsidP="003F66FA">
      <w:pPr>
        <w:pStyle w:val="Odstavekseznama"/>
        <w:spacing w:after="0"/>
        <w:ind w:left="709"/>
        <w:rPr>
          <w:b/>
          <w:bCs w:val="0"/>
        </w:rPr>
      </w:pPr>
    </w:p>
    <w:p w14:paraId="39752044" w14:textId="77777777" w:rsidR="00025713" w:rsidRPr="00025713" w:rsidRDefault="00025713" w:rsidP="003F66FA">
      <w:pPr>
        <w:pStyle w:val="Odstavekseznama"/>
        <w:spacing w:after="0"/>
      </w:pPr>
      <w:r w:rsidRPr="00025713">
        <w:t>Ureditev varne poti v šolo v času gradnje kanalizacije na Gradišču nad Prvačino</w:t>
      </w:r>
    </w:p>
    <w:p w14:paraId="5D63A6F2" w14:textId="77777777" w:rsidR="00025713" w:rsidRPr="00025713" w:rsidRDefault="00025713" w:rsidP="00025713">
      <w:pPr>
        <w:pStyle w:val="Odstavekseznama"/>
      </w:pPr>
      <w:r w:rsidRPr="00025713">
        <w:t xml:space="preserve">Pred tednom dni ste na Facebook MONG objavili obvestilo o začasni zapori ceste na Gradišču nad Prvačino. Vse pohvale za objavo, ki je bila več kot nujna, bi pa le-ta po mojem mnenju in mnenju tamkajšnjih prebivalcev morala biti pripravljena in objavljena tako na FB-ju kot drugod, že dolgo pred pričetkom del.  Začasna in popolna zapora sta v vasi prisotni že od avgusta lani. Razen obvestila, da zapora bo, pa ni bilo kakršnega koli obvestila o tem, kako bo urejen prevoz otrok. Prav slednje pa pogrešam, pogrešamo, pri tem obvestilu. Zapisano je le, da krožni avtobusni promet prek Dornberka ne bo mogoč. Naj poudarim, da avtobus ne vozi že od prvega septembra lanskega leta. Tako da vse breme prevozov v šolo in iz šole nosimo starši sami. Pri vsem tem pa nihče ne razume, da je težava predvsem pri prevozu otrok iz šole. Starši smo v službah in je praktično nemogoče mesece, če ne celo leto, pričakovati, da bomo lahko iz služb odhajali dve do tri ure prej, da bomo lahko otroka prevzeli iz šole. Starih staršev, ki bi nam lahko priskočili na pomoč pa tudi vsi nimamo.  Res je, da je MONG ponudila staršem osnovnošolskih otrok povračilo stroškov prevoza, kar pa težave, ki sem jo navedla pred tem, ne reši. Ker kot je vsem znano se pouk zaključi veliko prej kot starši končajo, končamo delati. Varen prevoz otrok v šolo in iz nje bi moral biti po obvozu urejen že od </w:t>
      </w:r>
      <w:r w:rsidRPr="00025713">
        <w:lastRenderedPageBreak/>
        <w:t xml:space="preserve">prvega šolskega dne. Slednje pa se pa do sedaj žal ni zgodilo. S pomočjo OŠ Renče, smo nekako uspeli skozi te prve mesece prvotne zapore iz smeri Renče, otroke pripeljati varno domov, za kar smo šoli res zelo hvaležni. V kolikor nam šola ne bi ponudila pomoči, bi otroci najbrž velikokrat dolgo čakali na starše pred šolo ali pa bi se vračali peš domov, seveda po nevarni poti. Tudi delavci </w:t>
      </w:r>
      <w:proofErr w:type="spellStart"/>
      <w:r w:rsidRPr="00025713">
        <w:t>Ginex</w:t>
      </w:r>
      <w:proofErr w:type="spellEnd"/>
      <w:r w:rsidRPr="00025713">
        <w:t xml:space="preserve"> so pomagali otrokom prečkati gradbišče skozi vse te mesece. Pozdravljamo njihovo pomoč, ni pa to njihova naloga. Predvsem pa poudarjamo, da se otrokom ne bi smelo dovoliti prečkati gradbišča. Kot vsi vemo so gradbišča nevarna in se lahko mimogrede zgodi huda nesreča, npr. nenadni vdor »stoletne« brežine, padec v kak jašek. Itd.</w:t>
      </w:r>
    </w:p>
    <w:p w14:paraId="53086E60" w14:textId="77777777" w:rsidR="00025713" w:rsidRPr="00025713" w:rsidRDefault="00025713" w:rsidP="00025713">
      <w:pPr>
        <w:pStyle w:val="Odstavekseznama"/>
      </w:pPr>
      <w:r w:rsidRPr="00025713">
        <w:t xml:space="preserve">Poudariti moram, da kljub, raznim prošnjam tamkajšnje KS in staršev otrok, MONG se ni odzvala na ureditev prevoza po obvozni poti. V prvi fazi bi to bilo na Prvačino. Prosili niso le starši osnovnošolskih otrok, ampak tudi starši srednješolcev, ki prav tako že mesece nimajo prevoza iz Gradišča in ne prevoza nasprotno, na Gradišče. Otroci odhajajo na najbližjo postajo v Oševljek in se prav tako na Oševljek vračajo. Do Gradišča pa gredo peš, večina po stranski poti, ki vodi pod Kulturnim domom. Slednjo nekako ureja </w:t>
      </w:r>
      <w:proofErr w:type="spellStart"/>
      <w:r w:rsidRPr="00025713">
        <w:t>Ginex</w:t>
      </w:r>
      <w:proofErr w:type="spellEnd"/>
      <w:r w:rsidRPr="00025713">
        <w:t xml:space="preserve">, ki večina na njihovo pest pomaga nam staršem in otrokom, da pridejo varno domov.  </w:t>
      </w:r>
    </w:p>
    <w:p w14:paraId="44D78474" w14:textId="057F3843" w:rsidR="00025713" w:rsidRPr="00025713" w:rsidRDefault="00025713" w:rsidP="00025713">
      <w:pPr>
        <w:pStyle w:val="Odstavekseznama"/>
        <w:ind w:left="709"/>
      </w:pPr>
      <w:r w:rsidRPr="00025713">
        <w:t>Dela se bodo s prihajajočimi dnevi nadaljevala, zapirali se bodo novi odseki, o kakršnikoli ureditvi prevoza otrok po obvozni poti pa ne duha ne sluha. Vsaj nihče ni o tem bil obveščen. Zato prosimo, oziroma zahtevamo, da se prevoz za vse otroke, osnovnošolske in srednješolske, uredita takoj. Varnost otrok je končno na prvem mestu.</w:t>
      </w:r>
    </w:p>
    <w:p w14:paraId="0E75CFA6" w14:textId="1C9C54EE" w:rsidR="00E05616" w:rsidRPr="00F06145" w:rsidRDefault="00A6443F" w:rsidP="00A6443F">
      <w:pPr>
        <w:numPr>
          <w:ilvl w:val="0"/>
          <w:numId w:val="8"/>
        </w:numPr>
        <w:spacing w:after="0"/>
        <w:jc w:val="both"/>
        <w:rPr>
          <w:szCs w:val="20"/>
        </w:rPr>
      </w:pPr>
      <w:r w:rsidRPr="00521DC5">
        <w:rPr>
          <w:b/>
          <w:szCs w:val="20"/>
        </w:rPr>
        <w:t>svetni</w:t>
      </w:r>
      <w:r w:rsidR="00025713">
        <w:rPr>
          <w:b/>
          <w:szCs w:val="20"/>
        </w:rPr>
        <w:t>ka</w:t>
      </w:r>
      <w:r w:rsidRPr="00521DC5">
        <w:rPr>
          <w:b/>
          <w:szCs w:val="20"/>
        </w:rPr>
        <w:t xml:space="preserve"> </w:t>
      </w:r>
      <w:r w:rsidR="00025713">
        <w:rPr>
          <w:b/>
          <w:szCs w:val="20"/>
        </w:rPr>
        <w:t>Andreja Pelicona</w:t>
      </w:r>
      <w:r w:rsidRPr="00521DC5">
        <w:rPr>
          <w:b/>
          <w:szCs w:val="20"/>
        </w:rPr>
        <w:t xml:space="preserve"> </w:t>
      </w:r>
      <w:r w:rsidRPr="00521DC5">
        <w:rPr>
          <w:b/>
        </w:rPr>
        <w:t xml:space="preserve">- naslednja pobuda: </w:t>
      </w:r>
    </w:p>
    <w:p w14:paraId="4E322379" w14:textId="77777777" w:rsidR="00F06145" w:rsidRPr="00521DC5" w:rsidRDefault="00F06145" w:rsidP="00F06145">
      <w:pPr>
        <w:spacing w:after="0"/>
        <w:ind w:left="720"/>
        <w:jc w:val="both"/>
        <w:rPr>
          <w:szCs w:val="20"/>
        </w:rPr>
      </w:pPr>
    </w:p>
    <w:p w14:paraId="131BA7F5" w14:textId="4DF2F72F" w:rsidR="00025713" w:rsidRPr="00025713" w:rsidRDefault="00025713" w:rsidP="00025713">
      <w:pPr>
        <w:pStyle w:val="Odstavekseznama"/>
        <w:rPr>
          <w:noProof/>
          <w:szCs w:val="20"/>
        </w:rPr>
      </w:pPr>
      <w:r w:rsidRPr="00025713">
        <w:rPr>
          <w:noProof/>
          <w:szCs w:val="20"/>
        </w:rPr>
        <w:t>Prva svetniška pobuda se nanaša na poziv koncesionarju javnega potniškega prometa, da z voznimi redi primerno opremi postajališči mestnega prometa na Delpinovi ulici in drugod kjer jih ni, občinskim organom, da poskrbijo za ustrezno prometno signalizcijo ob teh postajališčih, namreč signalizacija je neustrezna ali pa je ni, medobčinskemu redarstvu pa za nezasedenost postajališč z vozili, še posebno postajališča na Delpinovi ob Eda nebotičniku.</w:t>
      </w:r>
    </w:p>
    <w:p w14:paraId="2707242B" w14:textId="77777777" w:rsidR="00025713" w:rsidRPr="00025713" w:rsidRDefault="00025713" w:rsidP="00025713">
      <w:pPr>
        <w:ind w:left="720"/>
        <w:contextualSpacing/>
        <w:rPr>
          <w:noProof/>
          <w:szCs w:val="20"/>
        </w:rPr>
      </w:pPr>
      <w:r w:rsidRPr="00025713">
        <w:rPr>
          <w:noProof/>
          <w:szCs w:val="20"/>
        </w:rPr>
        <w:t>Druga pobuda pa poziv na prenovo peš poti med glavno avtobusno postajo in Erjavčevo ulico do semaforiziranega prehoda za pešce. Pralne plošče so v razsulu in je hoja že nevarna, poleg tega ob dežju deževnica brizga izpod plošč na pešce.</w:t>
      </w:r>
    </w:p>
    <w:p w14:paraId="77CBF0B0" w14:textId="58034802" w:rsidR="00A6443F" w:rsidRPr="00521DC5" w:rsidRDefault="00A6443F" w:rsidP="00E05616">
      <w:pPr>
        <w:spacing w:after="0"/>
        <w:ind w:left="720"/>
        <w:jc w:val="both"/>
        <w:rPr>
          <w:szCs w:val="20"/>
        </w:rPr>
      </w:pPr>
    </w:p>
    <w:p w14:paraId="4C7DB684" w14:textId="2011F07B" w:rsidR="00E94B94" w:rsidRPr="00F06145" w:rsidRDefault="00E94B94" w:rsidP="003F66FA">
      <w:pPr>
        <w:numPr>
          <w:ilvl w:val="0"/>
          <w:numId w:val="8"/>
        </w:numPr>
        <w:spacing w:after="0"/>
        <w:jc w:val="both"/>
        <w:rPr>
          <w:szCs w:val="20"/>
        </w:rPr>
      </w:pPr>
      <w:r w:rsidRPr="00521DC5">
        <w:rPr>
          <w:b/>
          <w:szCs w:val="20"/>
        </w:rPr>
        <w:t xml:space="preserve">svetnice </w:t>
      </w:r>
      <w:r w:rsidR="00025713">
        <w:rPr>
          <w:b/>
          <w:szCs w:val="20"/>
        </w:rPr>
        <w:t>Tine Krog</w:t>
      </w:r>
      <w:r w:rsidRPr="00521DC5">
        <w:rPr>
          <w:b/>
          <w:szCs w:val="20"/>
        </w:rPr>
        <w:t xml:space="preserve"> </w:t>
      </w:r>
      <w:r w:rsidR="00025713" w:rsidRPr="00521DC5">
        <w:rPr>
          <w:b/>
        </w:rPr>
        <w:t>– naslednje svetniško vprašanje:</w:t>
      </w:r>
    </w:p>
    <w:p w14:paraId="198BD086" w14:textId="77777777" w:rsidR="00F06145" w:rsidRPr="00521DC5" w:rsidRDefault="00F06145" w:rsidP="003F66FA">
      <w:pPr>
        <w:spacing w:after="0"/>
        <w:ind w:left="720"/>
        <w:jc w:val="both"/>
        <w:rPr>
          <w:szCs w:val="20"/>
        </w:rPr>
      </w:pPr>
    </w:p>
    <w:p w14:paraId="48EE622E" w14:textId="77777777" w:rsidR="00025713" w:rsidRPr="000E31E6" w:rsidRDefault="00025713" w:rsidP="003F66FA">
      <w:pPr>
        <w:pStyle w:val="Odstavekseznama"/>
        <w:spacing w:after="0"/>
        <w:rPr>
          <w:b/>
          <w:bCs w:val="0"/>
        </w:rPr>
      </w:pPr>
      <w:r w:rsidRPr="000E31E6">
        <w:rPr>
          <w:b/>
        </w:rPr>
        <w:t>Dostopnost svetnic in svetnikov MONG</w:t>
      </w:r>
    </w:p>
    <w:p w14:paraId="7C3969DB" w14:textId="77777777" w:rsidR="00025713" w:rsidRDefault="00025713" w:rsidP="00025713">
      <w:pPr>
        <w:pStyle w:val="Odstavekseznama"/>
      </w:pPr>
      <w:r>
        <w:t xml:space="preserve">V torek smo lahko v pismih bralcev Primorskih novic brali zanimivo pismo o sumu na prikrito omejevanje komentiranja objav na uradni Facebook strani MONG. Seveda nas zanima kaj več o tem – z avtorico pisma se namreč strinjamo, da je senčno blokiranje nedopustno, saj – ko pravi sama – MONG ni zasebna last vladajoče politične opcije, ampak kot javna platforma uradni kanal za komuniciranje z javnostjo. FB profil ne sme biti le PR oglasna deska, na katerem so dovoljene le hvale, ampak mora biti tudi prostor sprejemanja pripomb in kritik. Kakšen je vaš odgovor? Ali dejansko prikrito omejujete svobodo govora? Po </w:t>
      </w:r>
      <w:r>
        <w:lastRenderedPageBreak/>
        <w:t xml:space="preserve">kakšnih kriterijih? Kje so ti kriteriji vidni in s tem dostopni vsem uporabnikom? Omejevanja komentiranja zagotovo ne bi pričakovali od vas, ki imate v imenu stranke celo besedo »svoboda« in prisegate na svobodo na vseh področjih - tudi na področju izražanja različnih mnenj. Omejevanje se zdi nedopustno in opozorilo občanke zelo potrebno. In – prosim – ne mešajmo v to debato odstranjevanja žaljivih komentarjev in sovražnega govora, saj je jasno, da v tem primeru ne govorimo o tem. Prosim za konkreten odgovor. </w:t>
      </w:r>
    </w:p>
    <w:p w14:paraId="419EED05" w14:textId="77777777" w:rsidR="00025713" w:rsidRDefault="00025713" w:rsidP="00025713">
      <w:pPr>
        <w:pStyle w:val="Odstavekseznama"/>
      </w:pPr>
      <w:r>
        <w:t xml:space="preserve">A to ni osnovna težava, na katero je avtorica pisma opozorila. Neposredno smo namreč lahko prebrali, da je občanka o izvajanju t. i. </w:t>
      </w:r>
      <w:r w:rsidRPr="000E31E6">
        <w:rPr>
          <w:i/>
          <w:iCs/>
        </w:rPr>
        <w:t>»</w:t>
      </w:r>
      <w:proofErr w:type="spellStart"/>
      <w:r w:rsidRPr="000E31E6">
        <w:rPr>
          <w:i/>
          <w:iCs/>
        </w:rPr>
        <w:t>shadowbanninga</w:t>
      </w:r>
      <w:proofErr w:type="spellEnd"/>
      <w:r w:rsidRPr="000E31E6">
        <w:rPr>
          <w:i/>
          <w:iCs/>
        </w:rPr>
        <w:t>«</w:t>
      </w:r>
      <w:r>
        <w:t xml:space="preserve"> obvestila tudi mestne svetnike. A res? Kako pa? Sedaj lahko govorim v imenu štirih svetnikov Goriške.si, ki njenega obvestila nismo prejeli. Kako to? Je njeno pismo, namenjeno nam, morda kje zastalo? Ni bilo dovolj časa, da bi nam ga posredovali ali se je morda posredovanje zavestno ustavilo z željo, da stvar potihne? Zavlačevanje nas privede namreč hitro do tega morda celo krivičnega sklepa. In dvoma, ali res prejmemo vse, kar občanke in občani pošljejo z izrecno željo, da prispe tudi do nas. A to, da tega opozorila nismo prejeli, spet ni osnovni problem. </w:t>
      </w:r>
    </w:p>
    <w:p w14:paraId="08F7B967" w14:textId="77777777" w:rsidR="00025713" w:rsidRDefault="00025713" w:rsidP="00025713">
      <w:pPr>
        <w:pStyle w:val="Odstavekseznama"/>
      </w:pPr>
      <w:r>
        <w:t xml:space="preserve">Pred časom smo govorili o povečanju dostopnosti svetnikov in svetnic, ki je sedaj očitno na zelo nizki ravni. V javnosti se prepogosto sliši, da smo kot mestni svet popolnoma nedostopni. Če se samo spomnimo vaše predvolilne kampanje, je bila ena od največjih obljub »odprimo vrata občinske uprave«. V tem duhu bi pričakovali, da bomo odprli tudi vrata občinskega sveta. Kako lahko občanke in občani dostopajo do nas? Zakaj nimamo omogočenega komunikacijskega kanala, preko katerega bi nas lahko občanke in občani direktno nagovarjali? Mi smo v njihovi službi. Ena od temeljnih funkcij svetnikov in svetnic je prav dostopnost občanom in občankam. Oni so nas izvolili in oni morajo imeti olajšano pot do nas. Pa smo dostopni? </w:t>
      </w:r>
    </w:p>
    <w:p w14:paraId="22905D11" w14:textId="77777777" w:rsidR="00025713" w:rsidRPr="000E31E6" w:rsidRDefault="00025713" w:rsidP="00025713">
      <w:pPr>
        <w:pStyle w:val="Odstavekseznama"/>
        <w:spacing w:after="0"/>
        <w:rPr>
          <w:b/>
          <w:color w:val="EE0000"/>
        </w:rPr>
      </w:pPr>
      <w:r>
        <w:t>Poleg tega pa se je v tem primeru pokazal tudi primer neodzivnosti občinske uprave kot take – ste na vsa zastavljena vprašanja odgovorili? Kako in kdaj? Ste njeno pismo posredovali svetnicam in svetnikom? Zakaj ne? Tudi tukaj pričakujem konkretne odgovore. In izražam željo in pobudo: odprimo vrata mestnega sveta.</w:t>
      </w:r>
    </w:p>
    <w:p w14:paraId="02D69E8E" w14:textId="77777777" w:rsidR="00E05616" w:rsidRPr="00521DC5" w:rsidRDefault="00E05616" w:rsidP="00E05616">
      <w:pPr>
        <w:spacing w:after="0"/>
        <w:ind w:left="720"/>
        <w:jc w:val="both"/>
        <w:rPr>
          <w:szCs w:val="20"/>
        </w:rPr>
      </w:pPr>
    </w:p>
    <w:p w14:paraId="78B061AB" w14:textId="29B3E514" w:rsidR="00FD0380" w:rsidRPr="00521DC5" w:rsidRDefault="00FD0380" w:rsidP="00FD0380">
      <w:pPr>
        <w:pStyle w:val="Odstavekseznama"/>
        <w:numPr>
          <w:ilvl w:val="0"/>
          <w:numId w:val="14"/>
        </w:numPr>
        <w:ind w:left="709" w:hanging="283"/>
        <w:jc w:val="both"/>
        <w:rPr>
          <w:b/>
        </w:rPr>
      </w:pPr>
      <w:r w:rsidRPr="00521DC5">
        <w:rPr>
          <w:b/>
        </w:rPr>
        <w:t xml:space="preserve">svetnika Antona </w:t>
      </w:r>
      <w:proofErr w:type="spellStart"/>
      <w:r w:rsidRPr="00521DC5">
        <w:rPr>
          <w:b/>
        </w:rPr>
        <w:t>Hareja</w:t>
      </w:r>
      <w:proofErr w:type="spellEnd"/>
      <w:r w:rsidRPr="00521DC5">
        <w:rPr>
          <w:b/>
        </w:rPr>
        <w:t xml:space="preserve"> </w:t>
      </w:r>
      <w:r w:rsidR="00A05C3C" w:rsidRPr="00521DC5">
        <w:rPr>
          <w:b/>
        </w:rPr>
        <w:t>– naslednje svetniško vprašanje:</w:t>
      </w:r>
    </w:p>
    <w:p w14:paraId="763D6408" w14:textId="77777777" w:rsidR="00FD0380" w:rsidRPr="00E93FEA" w:rsidRDefault="00FD0380" w:rsidP="00FD0380">
      <w:r w:rsidRPr="00E93FEA">
        <w:t xml:space="preserve">Glede na finančno stanje MONG, kjer smo že zadolženi za 28 mio eur in se načrtuje v letu 2026 prevzeti dodatnih 7 mio eur, in občino samo obresti na leto stanejo skoraj en mio eur, me zanima, koliko nas je v zadnjih dveh tednih lanskega leta stali koncerti na Bevkovem trgu in Kidričevi ulici. Po mojem mnenju, so vsakodnevni koncerti prepogosti in zato </w:t>
      </w:r>
      <w:proofErr w:type="spellStart"/>
      <w:r w:rsidRPr="00E93FEA">
        <w:t>prepotratni</w:t>
      </w:r>
      <w:proofErr w:type="spellEnd"/>
      <w:r w:rsidRPr="00E93FEA">
        <w:t>.</w:t>
      </w:r>
    </w:p>
    <w:p w14:paraId="2C337ABF" w14:textId="77777777" w:rsidR="00FD0380" w:rsidRPr="00E93FEA" w:rsidRDefault="00FD0380" w:rsidP="00FD0380">
      <w:r w:rsidRPr="00E93FEA">
        <w:t>Pri gospodu Kranjcu, ki je martinovo izvedel za 40.000 eur, me zanimajo stroški, kako se je ocenilo tako visok strošek in zanima me poročilo o dejanskih izdatkih.</w:t>
      </w:r>
    </w:p>
    <w:p w14:paraId="7124283F" w14:textId="7C21D173" w:rsidR="00FD0380" w:rsidRPr="00F06145" w:rsidRDefault="00FD0380" w:rsidP="00FD0380">
      <w:pPr>
        <w:numPr>
          <w:ilvl w:val="0"/>
          <w:numId w:val="8"/>
        </w:numPr>
        <w:spacing w:after="0"/>
        <w:jc w:val="both"/>
        <w:rPr>
          <w:b/>
          <w:color w:val="EE0000"/>
          <w:szCs w:val="20"/>
        </w:rPr>
      </w:pPr>
      <w:r w:rsidRPr="00521DC5">
        <w:rPr>
          <w:b/>
          <w:szCs w:val="20"/>
        </w:rPr>
        <w:t xml:space="preserve">svetnika Gabrijela Fišerja </w:t>
      </w:r>
      <w:r w:rsidRPr="00521DC5">
        <w:rPr>
          <w:b/>
        </w:rPr>
        <w:t xml:space="preserve">- </w:t>
      </w:r>
      <w:r w:rsidR="00203F03" w:rsidRPr="00521DC5">
        <w:rPr>
          <w:b/>
        </w:rPr>
        <w:t xml:space="preserve"> naslednja pobuda:  </w:t>
      </w:r>
    </w:p>
    <w:p w14:paraId="5A47B20D" w14:textId="77777777" w:rsidR="00F06145" w:rsidRPr="00521DC5" w:rsidRDefault="00F06145" w:rsidP="00F06145">
      <w:pPr>
        <w:spacing w:after="0"/>
        <w:ind w:left="720"/>
        <w:jc w:val="both"/>
        <w:rPr>
          <w:b/>
          <w:color w:val="EE0000"/>
          <w:szCs w:val="20"/>
        </w:rPr>
      </w:pPr>
    </w:p>
    <w:p w14:paraId="48C99A7F" w14:textId="77777777" w:rsidR="00203F03" w:rsidRPr="00203F03" w:rsidRDefault="00203F03" w:rsidP="00203F03">
      <w:pPr>
        <w:pStyle w:val="Odstavekseznama"/>
        <w:rPr>
          <w:rFonts w:eastAsia="Verdana"/>
        </w:rPr>
      </w:pPr>
      <w:r w:rsidRPr="00203F03">
        <w:rPr>
          <w:rFonts w:eastAsia="Verdana"/>
        </w:rPr>
        <w:t xml:space="preserve">Dajem dodatno pobudo v zvezi z zelo aktualno temo dediščine EPK. Mnenja sem, kot sem že večkrat poudaril, da mora biti pravo sodelovanje med Goricama vzpostavljeno predvsem na formalno politični ravni. Le zavezujoči sklepi mestnih </w:t>
      </w:r>
      <w:r w:rsidRPr="00203F03">
        <w:rPr>
          <w:rFonts w:eastAsia="Verdana"/>
        </w:rPr>
        <w:lastRenderedPageBreak/>
        <w:t>svetov lahko vodijo v postopno združevanje procesov in projektov na nivoju obeh mest in seveda tudi v financiranje le-teh.</w:t>
      </w:r>
    </w:p>
    <w:p w14:paraId="7938E4FB" w14:textId="77777777" w:rsidR="00203F03" w:rsidRPr="00203F03" w:rsidRDefault="00203F03" w:rsidP="00203F03">
      <w:pPr>
        <w:pStyle w:val="Odstavekseznama"/>
        <w:rPr>
          <w:rFonts w:eastAsia="Verdana"/>
        </w:rPr>
      </w:pPr>
      <w:r w:rsidRPr="00203F03">
        <w:rPr>
          <w:rFonts w:eastAsia="Verdana"/>
        </w:rPr>
        <w:t xml:space="preserve">Že na pretekli seji sem predlagal uvedbo vsaj ene skupne seje obeh mest letno, za odgovor se zahvaljujem in pozivam, da se to čim prej udejanji, tokrat pa pobudi dodajam še pobudo za: </w:t>
      </w:r>
    </w:p>
    <w:p w14:paraId="16B57223" w14:textId="77777777" w:rsidR="00203F03" w:rsidRPr="00203F03" w:rsidRDefault="00203F03" w:rsidP="00203F03">
      <w:pPr>
        <w:pStyle w:val="Odstavekseznama"/>
        <w:rPr>
          <w:rFonts w:eastAsia="Verdana"/>
        </w:rPr>
      </w:pPr>
      <w:r w:rsidRPr="00203F03">
        <w:rPr>
          <w:rFonts w:eastAsia="Verdana"/>
        </w:rPr>
        <w:t xml:space="preserve"> </w:t>
      </w:r>
    </w:p>
    <w:p w14:paraId="49E8736B" w14:textId="77777777" w:rsidR="00203F03" w:rsidRPr="00203F03" w:rsidRDefault="00203F03" w:rsidP="00203F03">
      <w:pPr>
        <w:pStyle w:val="Odstavekseznama"/>
        <w:rPr>
          <w:rFonts w:eastAsia="Verdana"/>
        </w:rPr>
      </w:pPr>
      <w:r w:rsidRPr="00203F03">
        <w:rPr>
          <w:rFonts w:eastAsia="Verdana"/>
        </w:rPr>
        <w:t>Oblikovanje formalnega čezmejnega telesa/oddelka, sestavljenega iz</w:t>
      </w:r>
    </w:p>
    <w:p w14:paraId="75A0AD61" w14:textId="77777777" w:rsidR="00203F03" w:rsidRPr="00203F03" w:rsidRDefault="00203F03" w:rsidP="00203F03">
      <w:pPr>
        <w:pStyle w:val="Odstavekseznama"/>
        <w:rPr>
          <w:rFonts w:eastAsia="Verdana"/>
        </w:rPr>
      </w:pPr>
      <w:r w:rsidRPr="00203F03">
        <w:rPr>
          <w:rFonts w:eastAsia="Verdana"/>
        </w:rPr>
        <w:t>predstavnikov obeh občin, ki skupaj vodi in upravlja projekte ter obdobno</w:t>
      </w:r>
    </w:p>
    <w:p w14:paraId="30285674" w14:textId="77777777" w:rsidR="00203F03" w:rsidRPr="00203F03" w:rsidRDefault="00203F03" w:rsidP="00203F03">
      <w:pPr>
        <w:pStyle w:val="Odstavekseznama"/>
        <w:rPr>
          <w:rFonts w:eastAsia="Verdana"/>
        </w:rPr>
      </w:pPr>
      <w:r w:rsidRPr="00203F03">
        <w:rPr>
          <w:rFonts w:eastAsia="Verdana"/>
        </w:rPr>
        <w:t>predstavlja svoje zaključke občinskim svetom. To telo bi konceptualno zapolnilo</w:t>
      </w:r>
    </w:p>
    <w:p w14:paraId="16896F7E" w14:textId="77777777" w:rsidR="00203F03" w:rsidRPr="00203F03" w:rsidRDefault="00203F03" w:rsidP="00203F03">
      <w:pPr>
        <w:pStyle w:val="Odstavekseznama"/>
        <w:rPr>
          <w:rFonts w:eastAsia="Verdana"/>
        </w:rPr>
      </w:pPr>
      <w:r w:rsidRPr="00203F03">
        <w:rPr>
          <w:rFonts w:eastAsia="Verdana"/>
        </w:rPr>
        <w:t>vrzel, ustvarjeno med EZTS GO in občinama. Znano je namreč, da EZTS,</w:t>
      </w:r>
    </w:p>
    <w:p w14:paraId="3186F5F6" w14:textId="77777777" w:rsidR="00203F03" w:rsidRPr="00203F03" w:rsidRDefault="00203F03" w:rsidP="00203F03">
      <w:pPr>
        <w:pStyle w:val="Odstavekseznama"/>
        <w:rPr>
          <w:rFonts w:eastAsia="Verdana"/>
        </w:rPr>
      </w:pPr>
      <w:r w:rsidRPr="00203F03">
        <w:rPr>
          <w:rFonts w:eastAsia="Verdana"/>
        </w:rPr>
        <w:t>čeprav deluje na tem področju, nima politične odgovornosti in nima pravic</w:t>
      </w:r>
    </w:p>
    <w:p w14:paraId="2196B942" w14:textId="77777777" w:rsidR="00203F03" w:rsidRPr="00203F03" w:rsidRDefault="00203F03" w:rsidP="00203F03">
      <w:pPr>
        <w:pStyle w:val="Odstavekseznama"/>
        <w:rPr>
          <w:rFonts w:eastAsia="Verdana"/>
        </w:rPr>
      </w:pPr>
      <w:r w:rsidRPr="00203F03">
        <w:rPr>
          <w:rFonts w:eastAsia="Verdana"/>
        </w:rPr>
        <w:t>odločanja o prioritetah projektov.</w:t>
      </w:r>
    </w:p>
    <w:p w14:paraId="2E4DD91E" w14:textId="77777777" w:rsidR="00203F03" w:rsidRPr="00203F03" w:rsidRDefault="00203F03" w:rsidP="00203F03">
      <w:pPr>
        <w:pStyle w:val="Odstavekseznama"/>
        <w:rPr>
          <w:rFonts w:eastAsia="Verdana"/>
        </w:rPr>
      </w:pPr>
      <w:r w:rsidRPr="00203F03">
        <w:rPr>
          <w:rFonts w:eastAsia="Verdana"/>
        </w:rPr>
        <w:t xml:space="preserve"> </w:t>
      </w:r>
    </w:p>
    <w:p w14:paraId="7B8F19F4" w14:textId="77777777" w:rsidR="00203F03" w:rsidRPr="00203F03" w:rsidRDefault="00203F03" w:rsidP="00203F03">
      <w:pPr>
        <w:pStyle w:val="Odstavekseznama"/>
        <w:rPr>
          <w:rFonts w:eastAsia="Verdana"/>
        </w:rPr>
      </w:pPr>
      <w:r w:rsidRPr="00203F03">
        <w:rPr>
          <w:rFonts w:eastAsia="Verdana"/>
        </w:rPr>
        <w:t xml:space="preserve">Dajem primer projekta, katerega izvedbo bi lahko prevzelo </w:t>
      </w:r>
      <w:proofErr w:type="spellStart"/>
      <w:r w:rsidRPr="00203F03">
        <w:rPr>
          <w:rFonts w:eastAsia="Verdana"/>
        </w:rPr>
        <w:t>novooblikovano</w:t>
      </w:r>
      <w:proofErr w:type="spellEnd"/>
      <w:r w:rsidRPr="00203F03">
        <w:rPr>
          <w:rFonts w:eastAsia="Verdana"/>
        </w:rPr>
        <w:t xml:space="preserve"> čezmejno telo: </w:t>
      </w:r>
    </w:p>
    <w:p w14:paraId="548EAD08" w14:textId="6874AABE" w:rsidR="006801E7" w:rsidRPr="00F06145" w:rsidRDefault="00203F03" w:rsidP="00F06145">
      <w:pPr>
        <w:pStyle w:val="Odstavekseznama"/>
        <w:rPr>
          <w:rFonts w:eastAsia="Verdana"/>
        </w:rPr>
      </w:pPr>
      <w:r w:rsidRPr="00203F03">
        <w:rPr>
          <w:rFonts w:eastAsia="Verdana"/>
        </w:rPr>
        <w:t>formalizacija uvedbe pouka jezikov območja v šolah na obeh straneh meje, ki zajema oblikovanje dodatkov k učnim načrtom s podporo občin in – po potrebi – tudi s sodelovanjem slovenske države in dežele Furlanije Julijske krajine (FJK).</w:t>
      </w:r>
    </w:p>
    <w:p w14:paraId="76CAB7B6" w14:textId="0D964639" w:rsidR="00E941F1" w:rsidRPr="00F06145" w:rsidRDefault="00E941F1" w:rsidP="00E941F1">
      <w:pPr>
        <w:numPr>
          <w:ilvl w:val="0"/>
          <w:numId w:val="8"/>
        </w:numPr>
        <w:spacing w:after="0"/>
        <w:jc w:val="both"/>
        <w:rPr>
          <w:szCs w:val="20"/>
        </w:rPr>
      </w:pPr>
      <w:r w:rsidRPr="00521DC5">
        <w:rPr>
          <w:b/>
          <w:szCs w:val="20"/>
        </w:rPr>
        <w:t xml:space="preserve">svetnice </w:t>
      </w:r>
      <w:r w:rsidR="00963063">
        <w:rPr>
          <w:b/>
          <w:szCs w:val="20"/>
        </w:rPr>
        <w:t>Tanje Vončina</w:t>
      </w:r>
      <w:r w:rsidRPr="00521DC5">
        <w:rPr>
          <w:b/>
          <w:szCs w:val="20"/>
        </w:rPr>
        <w:t xml:space="preserve"> </w:t>
      </w:r>
      <w:r w:rsidRPr="00521DC5">
        <w:rPr>
          <w:b/>
        </w:rPr>
        <w:t xml:space="preserve">- naslednja pobuda:  </w:t>
      </w:r>
    </w:p>
    <w:p w14:paraId="43DABD51" w14:textId="77777777" w:rsidR="00F06145" w:rsidRPr="00521DC5" w:rsidRDefault="00F06145" w:rsidP="00F06145">
      <w:pPr>
        <w:spacing w:after="0"/>
        <w:ind w:left="720"/>
        <w:jc w:val="both"/>
        <w:rPr>
          <w:szCs w:val="20"/>
        </w:rPr>
      </w:pPr>
    </w:p>
    <w:p w14:paraId="512D77B1" w14:textId="77777777" w:rsidR="00963063" w:rsidRDefault="00963063" w:rsidP="00963063">
      <w:pPr>
        <w:pStyle w:val="Odstavekseznama"/>
      </w:pPr>
      <w:r w:rsidRPr="00AD0DF0">
        <w:t>Verjamem, da se že ponavljam</w:t>
      </w:r>
      <w:r>
        <w:t>,</w:t>
      </w:r>
      <w:r w:rsidRPr="00AD0DF0">
        <w:t xml:space="preserve"> in sicer ko gre za cesto Trnovo - Ravnica, vendar je stanje na le tej (del </w:t>
      </w:r>
      <w:proofErr w:type="spellStart"/>
      <w:r w:rsidRPr="00AD0DF0">
        <w:t>parc</w:t>
      </w:r>
      <w:proofErr w:type="spellEnd"/>
      <w:r w:rsidRPr="00AD0DF0">
        <w:t xml:space="preserve">. št. 1046/5 </w:t>
      </w:r>
      <w:proofErr w:type="spellStart"/>
      <w:r w:rsidRPr="00AD0DF0">
        <w:t>k.o</w:t>
      </w:r>
      <w:proofErr w:type="spellEnd"/>
      <w:r w:rsidRPr="00AD0DF0">
        <w:t xml:space="preserve">. Trnovo in 1247/9, 1018/9, 1021/9, 1021/15 in 1247/5 </w:t>
      </w:r>
      <w:proofErr w:type="spellStart"/>
      <w:r w:rsidRPr="00AD0DF0">
        <w:t>k.o</w:t>
      </w:r>
      <w:proofErr w:type="spellEnd"/>
      <w:r w:rsidRPr="00AD0DF0">
        <w:t>. Ravnica) oziroma sama cesta v res katastrofalnem stanju. Zavedam se in ni mi potrebno razlagati, da je to državna cesta, vendar menim, da bi morala občina narediti vse, da se stanje sanira. Gre za cca 5 km dolg odsek, ki je luknjast, na nekaterih mestih tako ozek, da se osebno in tovorno vozilo ne srečata, brez zaščitnih ograj. Skratka, če bi se vozili po makadamski cesti bi verjetno izgledala boljše oziroma bi vsaj vedeli, da ne gre za asfaltirano cesto. Zato ponovno, tokrat zahtevam, da mi mestna uprava poda odgovor, kaj je storila v smeri razrešitve problema. Pa še to – zadnji cm snega in zmrzal so tudi opravili svoje, a je vzdrževalec, to je Kolektor CPG, krpal nastale luknje kar tri tedne in še vedno ni zaključil. Sramotno in ponižujoče do ljudi, ki živimo na tem koncu naše občine. Ob vseh do sedaj danih obljubah smo potrpeli in razumeli. Menim pa, da je čas za izpolnitev že davno potekel in zato g. župan vas in občinsko upravo pozivam, da storite vse, da se stanje normalizira.</w:t>
      </w:r>
    </w:p>
    <w:p w14:paraId="4835B614" w14:textId="22F98AD8" w:rsidR="00963063" w:rsidRPr="005617DA" w:rsidRDefault="00963063" w:rsidP="00963063">
      <w:pPr>
        <w:numPr>
          <w:ilvl w:val="0"/>
          <w:numId w:val="8"/>
        </w:numPr>
        <w:spacing w:after="0"/>
        <w:rPr>
          <w:b/>
          <w:noProof/>
        </w:rPr>
      </w:pPr>
      <w:r w:rsidRPr="00521DC5">
        <w:rPr>
          <w:b/>
          <w:szCs w:val="20"/>
        </w:rPr>
        <w:t xml:space="preserve">svetnice </w:t>
      </w:r>
      <w:r>
        <w:rPr>
          <w:b/>
          <w:szCs w:val="20"/>
        </w:rPr>
        <w:t>Tanje Vončina</w:t>
      </w:r>
      <w:r w:rsidRPr="00521DC5">
        <w:rPr>
          <w:b/>
          <w:szCs w:val="20"/>
        </w:rPr>
        <w:t xml:space="preserve"> </w:t>
      </w:r>
      <w:r w:rsidRPr="00521DC5">
        <w:rPr>
          <w:b/>
        </w:rPr>
        <w:t xml:space="preserve">- </w:t>
      </w:r>
      <w:r w:rsidR="005617DA" w:rsidRPr="00201362">
        <w:rPr>
          <w:b/>
          <w:szCs w:val="20"/>
        </w:rPr>
        <w:t>skladno z 21. členom Poslovnika Mestnega sveta</w:t>
      </w:r>
      <w:r w:rsidR="005617DA" w:rsidRPr="00201362">
        <w:rPr>
          <w:b/>
          <w:bCs w:val="0"/>
          <w:color w:val="000000"/>
          <w:szCs w:val="20"/>
        </w:rPr>
        <w:t xml:space="preserve"> najmanj tri dni pred sejo, naslednje vprašanje:    </w:t>
      </w:r>
    </w:p>
    <w:p w14:paraId="386E28A9" w14:textId="77777777" w:rsidR="005617DA" w:rsidRPr="00963063" w:rsidRDefault="005617DA" w:rsidP="005617DA">
      <w:pPr>
        <w:spacing w:after="0"/>
        <w:ind w:left="720"/>
        <w:rPr>
          <w:b/>
          <w:noProof/>
        </w:rPr>
      </w:pPr>
    </w:p>
    <w:p w14:paraId="2C20AB7A" w14:textId="77777777" w:rsidR="00963063" w:rsidRDefault="00963063" w:rsidP="002C33D6">
      <w:pPr>
        <w:spacing w:after="0"/>
        <w:ind w:left="720"/>
        <w:rPr>
          <w:szCs w:val="20"/>
        </w:rPr>
      </w:pPr>
      <w:r w:rsidRPr="00963063">
        <w:rPr>
          <w:szCs w:val="20"/>
        </w:rPr>
        <w:t xml:space="preserve">Na 24. seji mestnega sveta, ki je bila 27. marca 2025, sem podala naslednjo pobudo: „Že konec decembra, natančneje 31. 12. 2024 so Primorske novice objavile članek z naslovom: „Računsko sodišče ugotovilo neučinkovitost novogoriške občine pri poslovanju z nepremičninami“, iz katerega med drugim izhaja, citiram: „ da je Mestna občina Nova Gorica v letu 2021 vodila pomanjkljive evidence, ni imela dolgoročnega dokumenta poslovanja z nepremičninami, ob koncu leta ni navedla nerealiziranih poslov, tako obvezne kot pomožne evidence so </w:t>
      </w:r>
      <w:r w:rsidRPr="00963063">
        <w:rPr>
          <w:szCs w:val="20"/>
        </w:rPr>
        <w:lastRenderedPageBreak/>
        <w:t xml:space="preserve">bile pomanjkljive, denimo evidenca nepremičnega premoženja za stavbe in dele stavb v pomembnem delu ni bila usklajena z vpisi v zemljiški knjigi. Občina prav tako ni ustrezno poskrbela za določitev odgovornih oseb v zvezi z ravnanjem z nepremičnim premoženjem in ni bila dosledna pri določanju skrbnika posameznih pravnih poslov. Mestni svet o tem ni bil seznanjen, zato v imenu Liste za razvoj predlagam oziroma dajem pobudo, da se revizijsko poročilo računskega sodišča predstavi na eni od naslednjih sej mestnega sveta“ in tudi prejela odgovor: „Povzetek poročila računskega sodišče o učinkovitost poslovanja Mestne občine Nova Gorica z nepremičnim premoženjem v letu 2021 vam bomo predstavili na eni izmed naslednjih sej Mestnega sveta. Do takrat pa si lahko poročilo natančno preberete na naslednji povezavi: </w:t>
      </w:r>
    </w:p>
    <w:p w14:paraId="64D6EB57" w14:textId="77777777" w:rsidR="00F06145" w:rsidRPr="00963063" w:rsidRDefault="00F06145" w:rsidP="002C33D6">
      <w:pPr>
        <w:spacing w:after="0"/>
        <w:ind w:left="720"/>
        <w:rPr>
          <w:szCs w:val="20"/>
        </w:rPr>
      </w:pPr>
    </w:p>
    <w:p w14:paraId="7C5F3DA2" w14:textId="77777777" w:rsidR="00963063" w:rsidRPr="00963063" w:rsidRDefault="00963063" w:rsidP="002C33D6">
      <w:pPr>
        <w:spacing w:after="0"/>
        <w:ind w:left="720"/>
        <w:rPr>
          <w:szCs w:val="20"/>
        </w:rPr>
      </w:pPr>
      <w:r w:rsidRPr="00963063">
        <w:rPr>
          <w:szCs w:val="20"/>
        </w:rPr>
        <w:t>https://www.rsrs.si/fileadmin/user_upload/Datoteke/Revizije/2024/Nepremicno/MONovaGorica/Nepremicno_MONovaGoricaSP21_Revizijsko_P.pdf</w:t>
      </w:r>
    </w:p>
    <w:p w14:paraId="4AD3942F" w14:textId="4048A447" w:rsidR="00BC53B8" w:rsidRPr="00F06145" w:rsidRDefault="00963063" w:rsidP="002C33D6">
      <w:pPr>
        <w:spacing w:after="0"/>
        <w:ind w:left="720"/>
        <w:rPr>
          <w:szCs w:val="20"/>
        </w:rPr>
      </w:pPr>
      <w:r w:rsidRPr="00963063">
        <w:rPr>
          <w:szCs w:val="20"/>
        </w:rPr>
        <w:t xml:space="preserve">Sprašujem se, glede na to, da je od tega skoraj eno leto, kdaj bo „ena izmed naslednjih sej mestnega sveta“, ko bo poročilo predstavljeno. </w:t>
      </w:r>
      <w:bookmarkStart w:id="3" w:name="_Hlk205188085"/>
    </w:p>
    <w:p w14:paraId="0CD2460F" w14:textId="77777777" w:rsidR="00451714" w:rsidRPr="00521DC5" w:rsidRDefault="00451714" w:rsidP="00543AE3">
      <w:pPr>
        <w:spacing w:after="0"/>
      </w:pPr>
    </w:p>
    <w:p w14:paraId="60CBCD87" w14:textId="6A698B1D" w:rsidR="009443E7" w:rsidRDefault="00963063" w:rsidP="00F06145">
      <w:pPr>
        <w:pStyle w:val="Odstavekseznama"/>
        <w:numPr>
          <w:ilvl w:val="0"/>
          <w:numId w:val="14"/>
        </w:numPr>
        <w:ind w:left="709" w:hanging="283"/>
        <w:jc w:val="both"/>
        <w:rPr>
          <w:b/>
        </w:rPr>
      </w:pPr>
      <w:r w:rsidRPr="00521DC5">
        <w:rPr>
          <w:b/>
        </w:rPr>
        <w:t xml:space="preserve">svetnice mag. Elene Zavadlav Ušaj </w:t>
      </w:r>
      <w:r w:rsidR="009443E7" w:rsidRPr="00521DC5">
        <w:rPr>
          <w:b/>
        </w:rPr>
        <w:t>– naslednje nezadovoljstvo s prejetim odgovorom:</w:t>
      </w:r>
    </w:p>
    <w:p w14:paraId="47D0C986" w14:textId="38A2B910" w:rsidR="00A25497" w:rsidRPr="00A25497" w:rsidRDefault="00A25497" w:rsidP="00F06145">
      <w:r w:rsidRPr="00A25497">
        <w:t>Preden začnem z odgovorom, ki bi prosila dopolnitev zanj, bi samo vprašala župana glede na tisti odgovor občinske uprave, ki se nanaša na Javni zavod za šport in ste kot občinska uprava tudi pozvali, pač so dali odgovor in vi ste potem na sami seji tudi povedali, da bo enkrat v naslednji seji povabljen direktor za pojasniti, pa me zanima kdaj bomo svetniki imeli možnost, da se lahko tudi z direktorjem pogovorimo na seji, preden začnem z drugim delom.</w:t>
      </w:r>
    </w:p>
    <w:p w14:paraId="6D901407" w14:textId="2FCFE416" w:rsidR="00A25497" w:rsidRPr="00A25497" w:rsidRDefault="00A25497" w:rsidP="00291D13">
      <w:r w:rsidRPr="00A25497">
        <w:t xml:space="preserve">Zdaj bi pa se na odgovor, ki se nanaša na </w:t>
      </w:r>
      <w:proofErr w:type="spellStart"/>
      <w:r w:rsidRPr="00A25497">
        <w:t>Kenog</w:t>
      </w:r>
      <w:proofErr w:type="spellEnd"/>
      <w:r w:rsidRPr="00A25497">
        <w:t xml:space="preserve">, in sicer, nisem v celoti prejela vseh odgovorov, zato v odgovoru občinske uprave nisem prejela odgovora na bistveno vprašanje, saj celotna analiza sloni na pogoju, ki je namreč omejitev, ki je bila podana s strani mestne občine in jo je navedla izdelovalka analize gospa Mira Šetina na 24. seji Mestnega sveta MONG, v kateri je poudarila, da je naročnik analize za njeno izdelavo postavil pogoj, da se sme analiza izdelati samo z javno dostopnimi podatki, ki vključujejo letna poročila, javno dostopne podatke in z internetnih strani, podatkovne baze in pa podatki, ki so posredovani s strani naročnika. Se pravi, ne smejo in niso smeli povprašati po drugih podatkih. Zato me zanima, ker je to precej omejevalen pogoj in tudi vpliva na samo strokovnost in ustreznost izdelave in izsledkov analize, me zanima, kdo je naročil take omejitvene pogoje s strani občinske uprave? Potem pa bi še vprašala glede na to, da ste podali odgovor, ko sem spraševala po bilancah in po </w:t>
      </w:r>
      <w:proofErr w:type="spellStart"/>
      <w:r w:rsidRPr="00A25497">
        <w:t>po</w:t>
      </w:r>
      <w:proofErr w:type="spellEnd"/>
      <w:r w:rsidRPr="00A25497">
        <w:t xml:space="preserve"> postavkah, po prometu na postavkah poslovanja garažne hiše, glede na to, da je naslednja seja že v tistem mesecu, ko se bilance morajo oddati na AJPES, bi prosila, če so svetniki seznanjeni, če smo seznanjeni s temi bilancami in hkrati bi prosila tudi izpis prometa na postavkah poslovanja garažne hiše. To mislim, da je samo en klik in nič več.</w:t>
      </w:r>
    </w:p>
    <w:p w14:paraId="565F9C2A" w14:textId="77777777" w:rsidR="00A25497" w:rsidRPr="001C61D2" w:rsidRDefault="00A25497" w:rsidP="001C61D2">
      <w:pPr>
        <w:ind w:left="0"/>
        <w:jc w:val="both"/>
        <w:rPr>
          <w:b/>
        </w:rPr>
      </w:pPr>
    </w:p>
    <w:p w14:paraId="41176A4C" w14:textId="77777777" w:rsidR="00291D13" w:rsidRDefault="00291D13" w:rsidP="00ED20C9">
      <w:pPr>
        <w:pStyle w:val="Odstavekseznama"/>
        <w:numPr>
          <w:ilvl w:val="0"/>
          <w:numId w:val="14"/>
        </w:numPr>
        <w:ind w:left="426" w:firstLine="0"/>
        <w:jc w:val="both"/>
        <w:rPr>
          <w:b/>
        </w:rPr>
      </w:pPr>
      <w:r w:rsidRPr="00291D13">
        <w:rPr>
          <w:b/>
        </w:rPr>
        <w:lastRenderedPageBreak/>
        <w:t>s</w:t>
      </w:r>
      <w:r w:rsidR="00543AE3" w:rsidRPr="00291D13">
        <w:rPr>
          <w:b/>
        </w:rPr>
        <w:t>vetni</w:t>
      </w:r>
      <w:r w:rsidR="00A25497" w:rsidRPr="00291D13">
        <w:rPr>
          <w:b/>
        </w:rPr>
        <w:t>ce Damjane Pavlic</w:t>
      </w:r>
      <w:r w:rsidRPr="00291D13">
        <w:rPr>
          <w:b/>
        </w:rPr>
        <w:t xml:space="preserve">a </w:t>
      </w:r>
      <w:r w:rsidR="00543AE3" w:rsidRPr="00291D13">
        <w:rPr>
          <w:b/>
        </w:rPr>
        <w:t>– naslednje nezadovoljstvo s prejetim</w:t>
      </w:r>
      <w:r w:rsidR="00202EEB" w:rsidRPr="00291D13">
        <w:rPr>
          <w:b/>
        </w:rPr>
        <w:t xml:space="preserve"> </w:t>
      </w:r>
      <w:r w:rsidR="00543AE3" w:rsidRPr="00291D13">
        <w:rPr>
          <w:b/>
        </w:rPr>
        <w:t>odgovorom:</w:t>
      </w:r>
      <w:bookmarkEnd w:id="3"/>
    </w:p>
    <w:p w14:paraId="049627DC" w14:textId="4E20AED9" w:rsidR="00291D13" w:rsidRDefault="00291D13" w:rsidP="00291D13">
      <w:r w:rsidRPr="00291D13">
        <w:t>Zadnjič sem predlagala, da se pozove direktorja Hita, da pač predstavi poslovanje Hita in odgovor sem dobila, da se ga bo povabilo na eno iz naslednjih sej, s čimer sem zadovoljna. Še nekaj bi pa rada dala, še en predlog, glede na to, da sem slišala, da se pripravljajo kar veliki seznami za odpuščanje delavcev, bi predlagala, če se lahko povabi še predsednika sveta delavcev.</w:t>
      </w:r>
    </w:p>
    <w:p w14:paraId="1597F943" w14:textId="5956EB72" w:rsidR="00ED20C9" w:rsidRDefault="00ED20C9" w:rsidP="00ED20C9">
      <w:pPr>
        <w:pStyle w:val="Odstavekseznama"/>
        <w:numPr>
          <w:ilvl w:val="0"/>
          <w:numId w:val="14"/>
        </w:numPr>
        <w:ind w:left="426" w:firstLine="0"/>
        <w:jc w:val="both"/>
        <w:rPr>
          <w:b/>
        </w:rPr>
      </w:pPr>
      <w:r w:rsidRPr="00291D13">
        <w:rPr>
          <w:b/>
        </w:rPr>
        <w:t xml:space="preserve">svetnika </w:t>
      </w:r>
      <w:proofErr w:type="spellStart"/>
      <w:r w:rsidR="00291D13">
        <w:rPr>
          <w:b/>
        </w:rPr>
        <w:t>Neđata</w:t>
      </w:r>
      <w:proofErr w:type="spellEnd"/>
      <w:r w:rsidR="00291D13">
        <w:rPr>
          <w:b/>
        </w:rPr>
        <w:t xml:space="preserve"> </w:t>
      </w:r>
      <w:proofErr w:type="spellStart"/>
      <w:r w:rsidR="00291D13">
        <w:rPr>
          <w:b/>
        </w:rPr>
        <w:t>Šalje</w:t>
      </w:r>
      <w:proofErr w:type="spellEnd"/>
      <w:r w:rsidRPr="00291D13">
        <w:rPr>
          <w:b/>
        </w:rPr>
        <w:t xml:space="preserve"> – naslednj</w:t>
      </w:r>
      <w:r w:rsidR="00E05616" w:rsidRPr="00291D13">
        <w:rPr>
          <w:b/>
        </w:rPr>
        <w:t>e</w:t>
      </w:r>
      <w:r w:rsidRPr="00291D13">
        <w:rPr>
          <w:b/>
        </w:rPr>
        <w:t xml:space="preserve"> nezadovoljstv</w:t>
      </w:r>
      <w:r w:rsidR="00E05616" w:rsidRPr="00291D13">
        <w:rPr>
          <w:b/>
        </w:rPr>
        <w:t>o</w:t>
      </w:r>
      <w:r w:rsidRPr="00291D13">
        <w:rPr>
          <w:b/>
        </w:rPr>
        <w:t xml:space="preserve"> s prejetim odgovor</w:t>
      </w:r>
      <w:r w:rsidR="00E05616" w:rsidRPr="00291D13">
        <w:rPr>
          <w:b/>
        </w:rPr>
        <w:t>om</w:t>
      </w:r>
      <w:r w:rsidRPr="00291D13">
        <w:rPr>
          <w:b/>
        </w:rPr>
        <w:t>:</w:t>
      </w:r>
    </w:p>
    <w:p w14:paraId="2F7C4768" w14:textId="77777777" w:rsidR="00291D13" w:rsidRPr="00291D13" w:rsidRDefault="00291D13" w:rsidP="00291D13">
      <w:pPr>
        <w:rPr>
          <w:noProof/>
          <w:szCs w:val="20"/>
        </w:rPr>
      </w:pPr>
      <w:r w:rsidRPr="00291D13">
        <w:rPr>
          <w:noProof/>
          <w:szCs w:val="20"/>
        </w:rPr>
        <w:t>Zahvaljujem se Mestni upravi za obširen odgovor, vendar moram poudariti, da ta ne odgovarja na bistvo postavljenega vprašanja, ki se je nanašalo na konkretno pomoč pri stroških ogrevanja v času že potekajoče kurilne sezone.</w:t>
      </w:r>
    </w:p>
    <w:p w14:paraId="4DCC3CF1" w14:textId="77777777" w:rsidR="00291D13" w:rsidRPr="00291D13" w:rsidRDefault="00291D13" w:rsidP="002C33D6">
      <w:pPr>
        <w:rPr>
          <w:noProof/>
          <w:szCs w:val="20"/>
        </w:rPr>
      </w:pPr>
      <w:r w:rsidRPr="00291D13">
        <w:rPr>
          <w:noProof/>
          <w:szCs w:val="20"/>
        </w:rPr>
        <w:t>V svojem vprašanju sem izpostavil dejstvo, da so visoki stroški ogrevanja za številne občanke in občane že danes realna in takojšnja finančna obremenitev, ne zgolj potencialna socialna stiska v prihodnosti. Odgovor Mestne uprave pa se v večini nanaša na splošne in že obstoječe oblike socialnih pomoči, ki veljajo ne glede na letni čas in ne predstavljajo ciljnega odziva na energetsko draginjo in zimske razmere.</w:t>
      </w:r>
    </w:p>
    <w:p w14:paraId="2F4AD36D" w14:textId="77777777" w:rsidR="00291D13" w:rsidRPr="00291D13" w:rsidRDefault="00291D13" w:rsidP="002C33D6">
      <w:pPr>
        <w:spacing w:after="0"/>
        <w:rPr>
          <w:noProof/>
          <w:szCs w:val="20"/>
        </w:rPr>
      </w:pPr>
      <w:r w:rsidRPr="00291D13">
        <w:rPr>
          <w:noProof/>
          <w:szCs w:val="20"/>
        </w:rPr>
        <w:t>Čeprav je ogrevanje omenjeno kot ena izmed možnih postavk pri dodeljevanju občinske denarne socialne pomoči, občina:</w:t>
      </w:r>
    </w:p>
    <w:p w14:paraId="649DC953" w14:textId="77777777" w:rsidR="00291D13" w:rsidRPr="00291D13" w:rsidRDefault="00291D13" w:rsidP="002C33D6">
      <w:pPr>
        <w:numPr>
          <w:ilvl w:val="0"/>
          <w:numId w:val="27"/>
        </w:numPr>
        <w:spacing w:after="0"/>
        <w:contextualSpacing/>
        <w:rPr>
          <w:noProof/>
          <w:szCs w:val="20"/>
        </w:rPr>
      </w:pPr>
      <w:r w:rsidRPr="00291D13">
        <w:rPr>
          <w:noProof/>
          <w:szCs w:val="20"/>
        </w:rPr>
        <w:t>nima posebej opredeljenih ali časovno omejenih ukrepov za kurilno sezono,</w:t>
      </w:r>
    </w:p>
    <w:p w14:paraId="14414EFF" w14:textId="77777777" w:rsidR="00291D13" w:rsidRPr="00291D13" w:rsidRDefault="00291D13" w:rsidP="002C33D6">
      <w:pPr>
        <w:numPr>
          <w:ilvl w:val="0"/>
          <w:numId w:val="27"/>
        </w:numPr>
        <w:contextualSpacing/>
        <w:rPr>
          <w:noProof/>
          <w:szCs w:val="20"/>
        </w:rPr>
      </w:pPr>
      <w:r w:rsidRPr="00291D13">
        <w:rPr>
          <w:noProof/>
          <w:szCs w:val="20"/>
        </w:rPr>
        <w:t>ne vodi ločenih evidenc o pomoči, namenjeni izključno stroškom ogrevanja,</w:t>
      </w:r>
    </w:p>
    <w:p w14:paraId="288037F2" w14:textId="77777777" w:rsidR="00291D13" w:rsidRPr="00291D13" w:rsidRDefault="00291D13" w:rsidP="002C33D6">
      <w:pPr>
        <w:numPr>
          <w:ilvl w:val="0"/>
          <w:numId w:val="27"/>
        </w:numPr>
        <w:contextualSpacing/>
        <w:rPr>
          <w:noProof/>
          <w:szCs w:val="20"/>
        </w:rPr>
      </w:pPr>
      <w:r w:rsidRPr="00291D13">
        <w:rPr>
          <w:noProof/>
          <w:szCs w:val="20"/>
        </w:rPr>
        <w:t>ni predstavila strategije, kako bo preprečila, da bi se socialne stiske zaradi dragih energentov v zimskih mesecih še poglobile.</w:t>
      </w:r>
    </w:p>
    <w:p w14:paraId="59EF184D" w14:textId="77777777" w:rsidR="00291D13" w:rsidRPr="00291D13" w:rsidRDefault="00291D13" w:rsidP="002C33D6">
      <w:pPr>
        <w:rPr>
          <w:noProof/>
          <w:szCs w:val="20"/>
        </w:rPr>
      </w:pPr>
      <w:r w:rsidRPr="00291D13">
        <w:rPr>
          <w:noProof/>
          <w:szCs w:val="20"/>
        </w:rPr>
        <w:t>Ob tem poudarjam, da je osnovni znesek občinske denarne socialne pomoči (250–500 EUR letno) pri današnjih cenah energentov pogosto nezadosten že za poravnavo ene ali dveh položnic, kaj šele za celotno ogrevalno sezono.</w:t>
      </w:r>
    </w:p>
    <w:p w14:paraId="44843690" w14:textId="77777777" w:rsidR="00291D13" w:rsidRPr="00291D13" w:rsidRDefault="00291D13" w:rsidP="002C33D6">
      <w:pPr>
        <w:spacing w:after="0"/>
        <w:rPr>
          <w:noProof/>
          <w:szCs w:val="20"/>
        </w:rPr>
      </w:pPr>
      <w:r w:rsidRPr="00291D13">
        <w:rPr>
          <w:noProof/>
          <w:szCs w:val="20"/>
        </w:rPr>
        <w:t>Zato ponovno pozivam, da Mestna občina Nova Gorica:</w:t>
      </w:r>
    </w:p>
    <w:p w14:paraId="1F2DFE11" w14:textId="77777777" w:rsidR="00291D13" w:rsidRPr="00291D13" w:rsidRDefault="00291D13" w:rsidP="002C33D6">
      <w:pPr>
        <w:numPr>
          <w:ilvl w:val="0"/>
          <w:numId w:val="28"/>
        </w:numPr>
        <w:spacing w:after="0"/>
        <w:contextualSpacing/>
        <w:rPr>
          <w:noProof/>
          <w:szCs w:val="20"/>
        </w:rPr>
      </w:pPr>
      <w:r w:rsidRPr="00291D13">
        <w:rPr>
          <w:noProof/>
          <w:szCs w:val="20"/>
        </w:rPr>
        <w:t>jasno in javno predstavi, ali načrtuje posebne ali izredne ukrepe za pomoč pri ogrevanju v tej kurilni sezoni,</w:t>
      </w:r>
    </w:p>
    <w:p w14:paraId="42789E27" w14:textId="77777777" w:rsidR="00291D13" w:rsidRPr="00291D13" w:rsidRDefault="00291D13" w:rsidP="002C33D6">
      <w:pPr>
        <w:numPr>
          <w:ilvl w:val="0"/>
          <w:numId w:val="28"/>
        </w:numPr>
        <w:contextualSpacing/>
        <w:rPr>
          <w:noProof/>
          <w:szCs w:val="20"/>
        </w:rPr>
      </w:pPr>
      <w:r w:rsidRPr="00291D13">
        <w:rPr>
          <w:noProof/>
          <w:szCs w:val="20"/>
        </w:rPr>
        <w:t>pojasni, kako bo zagotovila, da pomoč pravočasno doseže tudi starejše, socialno šibkejše in tiste, ki se sami težko znajdejo v postopkih,</w:t>
      </w:r>
    </w:p>
    <w:p w14:paraId="28581F0D" w14:textId="77777777" w:rsidR="00291D13" w:rsidRPr="00291D13" w:rsidRDefault="00291D13" w:rsidP="002C33D6">
      <w:pPr>
        <w:numPr>
          <w:ilvl w:val="0"/>
          <w:numId w:val="28"/>
        </w:numPr>
        <w:contextualSpacing/>
        <w:rPr>
          <w:noProof/>
          <w:szCs w:val="20"/>
        </w:rPr>
      </w:pPr>
      <w:r w:rsidRPr="00291D13">
        <w:rPr>
          <w:noProof/>
          <w:szCs w:val="20"/>
        </w:rPr>
        <w:t>razmisli o ciljno usmerjenih rešitvah, kot so začasne subvencije energentov, pomoč pri že izdanih položnicah ter aktivno energetsko svetovanje.</w:t>
      </w:r>
    </w:p>
    <w:p w14:paraId="57AC0A3E" w14:textId="77777777" w:rsidR="00291D13" w:rsidRPr="00291D13" w:rsidRDefault="00291D13" w:rsidP="002C33D6">
      <w:pPr>
        <w:rPr>
          <w:noProof/>
          <w:szCs w:val="20"/>
        </w:rPr>
      </w:pPr>
      <w:r w:rsidRPr="00291D13">
        <w:rPr>
          <w:noProof/>
          <w:szCs w:val="20"/>
        </w:rPr>
        <w:t>Menim, da je prav, da se Mestni svet do tega vprašanja opredeli jasno in odgovorno, saj gre za dostojanstvo, zdravje in osnovno varnost naših občank in občanov v zimskem času.</w:t>
      </w:r>
    </w:p>
    <w:p w14:paraId="22E7DF92" w14:textId="77777777" w:rsidR="00291D13" w:rsidRPr="00291D13" w:rsidRDefault="00291D13" w:rsidP="00291D13">
      <w:pPr>
        <w:pStyle w:val="Odstavekseznama"/>
        <w:ind w:left="426"/>
        <w:jc w:val="both"/>
        <w:rPr>
          <w:b/>
        </w:rPr>
      </w:pPr>
    </w:p>
    <w:p w14:paraId="09F95FE9" w14:textId="77777777" w:rsidR="00B418C5" w:rsidRPr="00521DC5" w:rsidRDefault="00B418C5" w:rsidP="0068364D">
      <w:pPr>
        <w:pStyle w:val="Podpisoseba"/>
        <w:spacing w:before="0" w:after="0" w:line="288" w:lineRule="auto"/>
        <w:ind w:firstLine="5528"/>
        <w:rPr>
          <w:b/>
          <w:bCs w:val="0"/>
        </w:rPr>
      </w:pPr>
      <w:r w:rsidRPr="00521DC5">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521DC5">
        <w:t xml:space="preserve">                           </w:t>
      </w:r>
      <w:r w:rsidRPr="00521DC5">
        <w:tab/>
        <w:t xml:space="preserve">                  vodja Službe za </w:t>
      </w:r>
      <w:r w:rsidR="0068364D" w:rsidRPr="00521DC5">
        <w:t>MS</w:t>
      </w:r>
      <w:r w:rsidRPr="00521DC5">
        <w:t xml:space="preserve"> in </w:t>
      </w:r>
      <w:r w:rsidR="0068364D" w:rsidRPr="00521DC5">
        <w:t>KS</w:t>
      </w:r>
      <w:r w:rsidRPr="00521DC5">
        <w:t xml:space="preserve">                                                                                                </w:t>
      </w:r>
    </w:p>
    <w:sectPr w:rsidR="00A95A58" w:rsidRPr="0068364D" w:rsidSect="00A65609">
      <w:headerReference w:type="default"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7C2D" w14:textId="77777777" w:rsidR="00DB3FA3" w:rsidRPr="00521DC5" w:rsidRDefault="00DB3FA3" w:rsidP="003F3284">
      <w:r w:rsidRPr="00521DC5">
        <w:separator/>
      </w:r>
    </w:p>
  </w:endnote>
  <w:endnote w:type="continuationSeparator" w:id="0">
    <w:p w14:paraId="1EDFBD73" w14:textId="77777777" w:rsidR="00DB3FA3" w:rsidRPr="00521DC5" w:rsidRDefault="00DB3FA3" w:rsidP="003F3284">
      <w:r w:rsidRPr="0052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EndPr/>
    <w:sdtContent>
      <w:p w14:paraId="049A7E40" w14:textId="577E52AF" w:rsidR="005C54A0" w:rsidRPr="00521DC5" w:rsidRDefault="005C54A0">
        <w:pPr>
          <w:pStyle w:val="Noga"/>
          <w:jc w:val="right"/>
        </w:pPr>
        <w:r w:rsidRPr="00521DC5">
          <w:fldChar w:fldCharType="begin"/>
        </w:r>
        <w:r w:rsidRPr="00521DC5">
          <w:instrText>PAGE   \* MERGEFORMAT</w:instrText>
        </w:r>
        <w:r w:rsidRPr="00521DC5">
          <w:fldChar w:fldCharType="separate"/>
        </w:r>
        <w:r w:rsidRPr="00521DC5">
          <w:t>2</w:t>
        </w:r>
        <w:r w:rsidRPr="00521DC5">
          <w:fldChar w:fldCharType="end"/>
        </w:r>
      </w:p>
    </w:sdtContent>
  </w:sdt>
  <w:p w14:paraId="17B11A4C" w14:textId="22E349FF" w:rsidR="00F811AF" w:rsidRPr="00521DC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1DC5" w:rsidRDefault="00145A3D" w:rsidP="00722FAC">
    <w:pPr>
      <w:pStyle w:val="MONGnoga"/>
    </w:pPr>
    <w:r w:rsidRPr="00521DC5">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1DC5">
      <w:t xml:space="preserve">E: </w:t>
    </w:r>
    <w:r w:rsidR="00366240" w:rsidRPr="00521DC5">
      <w:rPr>
        <w:u w:val="single"/>
      </w:rPr>
      <w:t>mestna</w:t>
    </w:r>
    <w:r w:rsidR="002B08B0" w:rsidRPr="00521DC5">
      <w:rPr>
        <w:u w:val="single"/>
      </w:rPr>
      <w:t>.</w:t>
    </w:r>
    <w:hyperlink r:id="rId2" w:history="1">
      <w:r w:rsidR="00734A18" w:rsidRPr="00521DC5">
        <w:rPr>
          <w:u w:val="single"/>
        </w:rPr>
        <w:t>obcina@nova-gorica.si</w:t>
      </w:r>
    </w:hyperlink>
    <w:r w:rsidR="00366240" w:rsidRPr="00521DC5">
      <w:t>,</w:t>
    </w:r>
    <w:r w:rsidR="002B08B0" w:rsidRPr="00521DC5">
      <w:t xml:space="preserve"> T: +386 (0)5 335 01 </w:t>
    </w:r>
    <w:r w:rsidR="00C072E2" w:rsidRPr="00521DC5">
      <w:t>1</w:t>
    </w:r>
    <w:r w:rsidR="002B08B0" w:rsidRPr="00521DC5">
      <w:t>1,</w:t>
    </w:r>
    <w:r w:rsidR="00192B9A" w:rsidRPr="00521DC5">
      <w:t xml:space="preserve"> </w:t>
    </w:r>
    <w:r w:rsidR="00192B9A" w:rsidRPr="00521DC5">
      <w:rPr>
        <w:u w:val="single"/>
      </w:rPr>
      <w:t>www.nova-gorica.si</w:t>
    </w:r>
  </w:p>
  <w:p w14:paraId="272550D5" w14:textId="00D786AD" w:rsidR="00734A18" w:rsidRPr="00521DC5" w:rsidRDefault="00734A18" w:rsidP="00722FAC">
    <w:pPr>
      <w:pStyle w:val="MONGnoga"/>
    </w:pPr>
    <w:r w:rsidRPr="00521DC5">
      <w:t>ID za DDV: SI53055730, matična številka: 5881773</w:t>
    </w:r>
  </w:p>
  <w:p w14:paraId="3D03C244" w14:textId="44ECADA2" w:rsidR="00083CA2" w:rsidRPr="00521DC5"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2FEC" w14:textId="77777777" w:rsidR="00DB3FA3" w:rsidRPr="00521DC5" w:rsidRDefault="00DB3FA3" w:rsidP="003F3284">
      <w:r w:rsidRPr="00521DC5">
        <w:separator/>
      </w:r>
    </w:p>
  </w:footnote>
  <w:footnote w:type="continuationSeparator" w:id="0">
    <w:p w14:paraId="7796AA59" w14:textId="77777777" w:rsidR="00DB3FA3" w:rsidRPr="00521DC5" w:rsidRDefault="00DB3FA3" w:rsidP="003F3284">
      <w:r w:rsidRPr="0052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1DC5" w:rsidRDefault="00145A3D" w:rsidP="003F3284">
    <w:r w:rsidRPr="00521DC5">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1DC5" w:rsidRDefault="00366240" w:rsidP="003F3284">
    <w:r w:rsidRPr="00521DC5">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4E2530B"/>
    <w:multiLevelType w:val="hybridMultilevel"/>
    <w:tmpl w:val="4FA27B30"/>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952E0E"/>
    <w:multiLevelType w:val="hybridMultilevel"/>
    <w:tmpl w:val="905234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73537E9A"/>
    <w:multiLevelType w:val="hybridMultilevel"/>
    <w:tmpl w:val="75607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18"/>
  </w:num>
  <w:num w:numId="2" w16cid:durableId="1564440524">
    <w:abstractNumId w:val="22"/>
  </w:num>
  <w:num w:numId="3" w16cid:durableId="1989281952">
    <w:abstractNumId w:val="1"/>
  </w:num>
  <w:num w:numId="4" w16cid:durableId="457340087">
    <w:abstractNumId w:val="13"/>
  </w:num>
  <w:num w:numId="5" w16cid:durableId="2029018289">
    <w:abstractNumId w:val="21"/>
  </w:num>
  <w:num w:numId="6" w16cid:durableId="1927811028">
    <w:abstractNumId w:val="23"/>
  </w:num>
  <w:num w:numId="7" w16cid:durableId="1159418049">
    <w:abstractNumId w:val="7"/>
  </w:num>
  <w:num w:numId="8" w16cid:durableId="1562598849">
    <w:abstractNumId w:val="0"/>
  </w:num>
  <w:num w:numId="9" w16cid:durableId="1435321631">
    <w:abstractNumId w:val="15"/>
  </w:num>
  <w:num w:numId="10" w16cid:durableId="1884361595">
    <w:abstractNumId w:val="17"/>
  </w:num>
  <w:num w:numId="11" w16cid:durableId="858927552">
    <w:abstractNumId w:val="20"/>
  </w:num>
  <w:num w:numId="12" w16cid:durableId="556166317">
    <w:abstractNumId w:val="2"/>
  </w:num>
  <w:num w:numId="13" w16cid:durableId="620115359">
    <w:abstractNumId w:val="19"/>
  </w:num>
  <w:num w:numId="14" w16cid:durableId="354968145">
    <w:abstractNumId w:val="8"/>
  </w:num>
  <w:num w:numId="15" w16cid:durableId="378211931">
    <w:abstractNumId w:val="24"/>
  </w:num>
  <w:num w:numId="16" w16cid:durableId="1879463144">
    <w:abstractNumId w:val="6"/>
  </w:num>
  <w:num w:numId="17" w16cid:durableId="2008053018">
    <w:abstractNumId w:val="16"/>
  </w:num>
  <w:num w:numId="18" w16cid:durableId="1350331136">
    <w:abstractNumId w:val="4"/>
  </w:num>
  <w:num w:numId="19" w16cid:durableId="470825267">
    <w:abstractNumId w:val="5"/>
  </w:num>
  <w:num w:numId="20" w16cid:durableId="1179730644">
    <w:abstractNumId w:val="26"/>
  </w:num>
  <w:num w:numId="21" w16cid:durableId="110128108">
    <w:abstractNumId w:val="10"/>
  </w:num>
  <w:num w:numId="22" w16cid:durableId="1134787119">
    <w:abstractNumId w:val="28"/>
  </w:num>
  <w:num w:numId="23" w16cid:durableId="909734637">
    <w:abstractNumId w:val="27"/>
  </w:num>
  <w:num w:numId="24" w16cid:durableId="1032800748">
    <w:abstractNumId w:val="14"/>
  </w:num>
  <w:num w:numId="25" w16cid:durableId="1548373440">
    <w:abstractNumId w:val="11"/>
  </w:num>
  <w:num w:numId="26" w16cid:durableId="2003657131">
    <w:abstractNumId w:val="9"/>
  </w:num>
  <w:num w:numId="27" w16cid:durableId="1485732041">
    <w:abstractNumId w:val="3"/>
  </w:num>
  <w:num w:numId="28" w16cid:durableId="1153907085">
    <w:abstractNumId w:val="12"/>
  </w:num>
  <w:num w:numId="29" w16cid:durableId="16593092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1FD8"/>
    <w:rsid w:val="00022A29"/>
    <w:rsid w:val="00025713"/>
    <w:rsid w:val="000262CD"/>
    <w:rsid w:val="000276AB"/>
    <w:rsid w:val="00030838"/>
    <w:rsid w:val="00035268"/>
    <w:rsid w:val="00035611"/>
    <w:rsid w:val="000373D0"/>
    <w:rsid w:val="00042078"/>
    <w:rsid w:val="0005678C"/>
    <w:rsid w:val="0006446E"/>
    <w:rsid w:val="00071908"/>
    <w:rsid w:val="000800F8"/>
    <w:rsid w:val="00083CA2"/>
    <w:rsid w:val="00086C64"/>
    <w:rsid w:val="000C5EDC"/>
    <w:rsid w:val="000D4820"/>
    <w:rsid w:val="000D6C77"/>
    <w:rsid w:val="000E0327"/>
    <w:rsid w:val="000E1DA1"/>
    <w:rsid w:val="000E39E6"/>
    <w:rsid w:val="000E481F"/>
    <w:rsid w:val="000E58AD"/>
    <w:rsid w:val="000E68DF"/>
    <w:rsid w:val="00101B99"/>
    <w:rsid w:val="00101CC0"/>
    <w:rsid w:val="00102F14"/>
    <w:rsid w:val="00110838"/>
    <w:rsid w:val="00111BF4"/>
    <w:rsid w:val="00113285"/>
    <w:rsid w:val="001137D1"/>
    <w:rsid w:val="001205E3"/>
    <w:rsid w:val="0013259F"/>
    <w:rsid w:val="001430B5"/>
    <w:rsid w:val="00145A3D"/>
    <w:rsid w:val="00156859"/>
    <w:rsid w:val="00166889"/>
    <w:rsid w:val="001776A5"/>
    <w:rsid w:val="00184E64"/>
    <w:rsid w:val="00192B9A"/>
    <w:rsid w:val="00193C5D"/>
    <w:rsid w:val="00195867"/>
    <w:rsid w:val="001A072D"/>
    <w:rsid w:val="001B21C9"/>
    <w:rsid w:val="001B2389"/>
    <w:rsid w:val="001C61D2"/>
    <w:rsid w:val="001C6438"/>
    <w:rsid w:val="001D7013"/>
    <w:rsid w:val="001E1A71"/>
    <w:rsid w:val="001E368B"/>
    <w:rsid w:val="001E7A09"/>
    <w:rsid w:val="001F4732"/>
    <w:rsid w:val="00200741"/>
    <w:rsid w:val="00201362"/>
    <w:rsid w:val="00202EEB"/>
    <w:rsid w:val="00203F03"/>
    <w:rsid w:val="00211ECA"/>
    <w:rsid w:val="0021216C"/>
    <w:rsid w:val="0021309D"/>
    <w:rsid w:val="00214473"/>
    <w:rsid w:val="00217DF8"/>
    <w:rsid w:val="0022273D"/>
    <w:rsid w:val="0022510F"/>
    <w:rsid w:val="00226E0E"/>
    <w:rsid w:val="00255F0F"/>
    <w:rsid w:val="00266B15"/>
    <w:rsid w:val="00273337"/>
    <w:rsid w:val="0028430E"/>
    <w:rsid w:val="00287D4F"/>
    <w:rsid w:val="00291509"/>
    <w:rsid w:val="00291D13"/>
    <w:rsid w:val="002948F9"/>
    <w:rsid w:val="002A0D68"/>
    <w:rsid w:val="002B08B0"/>
    <w:rsid w:val="002C31CD"/>
    <w:rsid w:val="002C33D6"/>
    <w:rsid w:val="002C7DD8"/>
    <w:rsid w:val="002D1AC3"/>
    <w:rsid w:val="002D7E1C"/>
    <w:rsid w:val="002F26F0"/>
    <w:rsid w:val="003017DC"/>
    <w:rsid w:val="00304B23"/>
    <w:rsid w:val="00305974"/>
    <w:rsid w:val="00310A02"/>
    <w:rsid w:val="003148CF"/>
    <w:rsid w:val="0032004F"/>
    <w:rsid w:val="00326CFC"/>
    <w:rsid w:val="00337E69"/>
    <w:rsid w:val="00345529"/>
    <w:rsid w:val="00345FDC"/>
    <w:rsid w:val="003479DD"/>
    <w:rsid w:val="00351CDF"/>
    <w:rsid w:val="00366240"/>
    <w:rsid w:val="0037061C"/>
    <w:rsid w:val="00381D6C"/>
    <w:rsid w:val="003941C2"/>
    <w:rsid w:val="0039457F"/>
    <w:rsid w:val="003A0AE4"/>
    <w:rsid w:val="003A2C22"/>
    <w:rsid w:val="003B11F7"/>
    <w:rsid w:val="003B1A0B"/>
    <w:rsid w:val="003B646E"/>
    <w:rsid w:val="003D2D67"/>
    <w:rsid w:val="003D7D8C"/>
    <w:rsid w:val="003E36FB"/>
    <w:rsid w:val="003E3BB5"/>
    <w:rsid w:val="003F3284"/>
    <w:rsid w:val="003F66FA"/>
    <w:rsid w:val="00404823"/>
    <w:rsid w:val="004129EE"/>
    <w:rsid w:val="004172F8"/>
    <w:rsid w:val="004306F7"/>
    <w:rsid w:val="00434078"/>
    <w:rsid w:val="00444BFF"/>
    <w:rsid w:val="00446D8D"/>
    <w:rsid w:val="00451714"/>
    <w:rsid w:val="00454265"/>
    <w:rsid w:val="00462E1F"/>
    <w:rsid w:val="00463FA4"/>
    <w:rsid w:val="00477C98"/>
    <w:rsid w:val="004839D1"/>
    <w:rsid w:val="00486063"/>
    <w:rsid w:val="004953C5"/>
    <w:rsid w:val="004A19CD"/>
    <w:rsid w:val="004A325F"/>
    <w:rsid w:val="004A535E"/>
    <w:rsid w:val="004A6BB2"/>
    <w:rsid w:val="004A6E5C"/>
    <w:rsid w:val="004C4D19"/>
    <w:rsid w:val="004D020E"/>
    <w:rsid w:val="004D1DEF"/>
    <w:rsid w:val="004D389E"/>
    <w:rsid w:val="004D7EF3"/>
    <w:rsid w:val="004E242E"/>
    <w:rsid w:val="004E33D0"/>
    <w:rsid w:val="00501EB2"/>
    <w:rsid w:val="005124FD"/>
    <w:rsid w:val="0051580C"/>
    <w:rsid w:val="00520CA6"/>
    <w:rsid w:val="005210F0"/>
    <w:rsid w:val="00521884"/>
    <w:rsid w:val="00521DC5"/>
    <w:rsid w:val="00530011"/>
    <w:rsid w:val="005361AF"/>
    <w:rsid w:val="0053704E"/>
    <w:rsid w:val="00543AE3"/>
    <w:rsid w:val="005617DA"/>
    <w:rsid w:val="00563CF3"/>
    <w:rsid w:val="00581BE7"/>
    <w:rsid w:val="0058227B"/>
    <w:rsid w:val="00582DA7"/>
    <w:rsid w:val="00592C6E"/>
    <w:rsid w:val="00592FB1"/>
    <w:rsid w:val="0059353A"/>
    <w:rsid w:val="005A7F54"/>
    <w:rsid w:val="005B7D09"/>
    <w:rsid w:val="005C0E3E"/>
    <w:rsid w:val="005C4702"/>
    <w:rsid w:val="005C49B9"/>
    <w:rsid w:val="005C54A0"/>
    <w:rsid w:val="005D3F71"/>
    <w:rsid w:val="005D55D7"/>
    <w:rsid w:val="005D72AA"/>
    <w:rsid w:val="005E321E"/>
    <w:rsid w:val="005E4250"/>
    <w:rsid w:val="005F6982"/>
    <w:rsid w:val="006034AA"/>
    <w:rsid w:val="00610C0B"/>
    <w:rsid w:val="00611F95"/>
    <w:rsid w:val="00615EB2"/>
    <w:rsid w:val="006166D7"/>
    <w:rsid w:val="006417C5"/>
    <w:rsid w:val="00651058"/>
    <w:rsid w:val="006620F0"/>
    <w:rsid w:val="00662DC5"/>
    <w:rsid w:val="0067197E"/>
    <w:rsid w:val="006752A2"/>
    <w:rsid w:val="00676748"/>
    <w:rsid w:val="00677E5F"/>
    <w:rsid w:val="006801E7"/>
    <w:rsid w:val="006803AD"/>
    <w:rsid w:val="0068364D"/>
    <w:rsid w:val="006909A4"/>
    <w:rsid w:val="00697B50"/>
    <w:rsid w:val="006B42F9"/>
    <w:rsid w:val="006D78FD"/>
    <w:rsid w:val="006E4655"/>
    <w:rsid w:val="006E6BC2"/>
    <w:rsid w:val="006F6570"/>
    <w:rsid w:val="00701EDA"/>
    <w:rsid w:val="007063A4"/>
    <w:rsid w:val="00706CEE"/>
    <w:rsid w:val="0072050F"/>
    <w:rsid w:val="00721A30"/>
    <w:rsid w:val="00722FAC"/>
    <w:rsid w:val="00734A18"/>
    <w:rsid w:val="0073557E"/>
    <w:rsid w:val="0074692A"/>
    <w:rsid w:val="00747D74"/>
    <w:rsid w:val="007542DA"/>
    <w:rsid w:val="00756141"/>
    <w:rsid w:val="00761D1F"/>
    <w:rsid w:val="007633DF"/>
    <w:rsid w:val="007719A2"/>
    <w:rsid w:val="00773340"/>
    <w:rsid w:val="0079172C"/>
    <w:rsid w:val="00791DB2"/>
    <w:rsid w:val="00793022"/>
    <w:rsid w:val="00793FCD"/>
    <w:rsid w:val="00796075"/>
    <w:rsid w:val="007B366F"/>
    <w:rsid w:val="007C0DEA"/>
    <w:rsid w:val="007C3F17"/>
    <w:rsid w:val="007C6E0B"/>
    <w:rsid w:val="007D3693"/>
    <w:rsid w:val="007D3BE8"/>
    <w:rsid w:val="007D46F0"/>
    <w:rsid w:val="007E04A2"/>
    <w:rsid w:val="007E73F9"/>
    <w:rsid w:val="007F001E"/>
    <w:rsid w:val="007F5DC8"/>
    <w:rsid w:val="007F68BF"/>
    <w:rsid w:val="00803728"/>
    <w:rsid w:val="00810854"/>
    <w:rsid w:val="00822CB7"/>
    <w:rsid w:val="00825B99"/>
    <w:rsid w:val="0083144F"/>
    <w:rsid w:val="00845B5B"/>
    <w:rsid w:val="008515CD"/>
    <w:rsid w:val="00855D51"/>
    <w:rsid w:val="00864316"/>
    <w:rsid w:val="00873CAB"/>
    <w:rsid w:val="008759F5"/>
    <w:rsid w:val="008802E3"/>
    <w:rsid w:val="008821D4"/>
    <w:rsid w:val="00891DFA"/>
    <w:rsid w:val="008A5F4D"/>
    <w:rsid w:val="008C36D2"/>
    <w:rsid w:val="008D024C"/>
    <w:rsid w:val="008D0DFA"/>
    <w:rsid w:val="008E7826"/>
    <w:rsid w:val="008F47AC"/>
    <w:rsid w:val="008F6A27"/>
    <w:rsid w:val="00905F98"/>
    <w:rsid w:val="0091594D"/>
    <w:rsid w:val="00915F4E"/>
    <w:rsid w:val="00923A6E"/>
    <w:rsid w:val="00941206"/>
    <w:rsid w:val="00942356"/>
    <w:rsid w:val="009443E7"/>
    <w:rsid w:val="009567F5"/>
    <w:rsid w:val="00956AAD"/>
    <w:rsid w:val="00963063"/>
    <w:rsid w:val="0096397E"/>
    <w:rsid w:val="0096766F"/>
    <w:rsid w:val="009805C0"/>
    <w:rsid w:val="009A2FCF"/>
    <w:rsid w:val="009A4940"/>
    <w:rsid w:val="009C1A91"/>
    <w:rsid w:val="009C2149"/>
    <w:rsid w:val="009C2449"/>
    <w:rsid w:val="009C525D"/>
    <w:rsid w:val="009D0293"/>
    <w:rsid w:val="009D3904"/>
    <w:rsid w:val="009E4563"/>
    <w:rsid w:val="009F7308"/>
    <w:rsid w:val="009F7649"/>
    <w:rsid w:val="00A05C3C"/>
    <w:rsid w:val="00A07540"/>
    <w:rsid w:val="00A21AF4"/>
    <w:rsid w:val="00A25497"/>
    <w:rsid w:val="00A34582"/>
    <w:rsid w:val="00A5752F"/>
    <w:rsid w:val="00A63D7C"/>
    <w:rsid w:val="00A6443F"/>
    <w:rsid w:val="00A65609"/>
    <w:rsid w:val="00A72C96"/>
    <w:rsid w:val="00A8136C"/>
    <w:rsid w:val="00A8186A"/>
    <w:rsid w:val="00A87869"/>
    <w:rsid w:val="00A9127C"/>
    <w:rsid w:val="00A95A58"/>
    <w:rsid w:val="00AA0BCB"/>
    <w:rsid w:val="00AA16FE"/>
    <w:rsid w:val="00AA4BFD"/>
    <w:rsid w:val="00AB25D3"/>
    <w:rsid w:val="00AC0E7C"/>
    <w:rsid w:val="00AC7EB4"/>
    <w:rsid w:val="00AD4FBA"/>
    <w:rsid w:val="00AE16CA"/>
    <w:rsid w:val="00AE4013"/>
    <w:rsid w:val="00B018D1"/>
    <w:rsid w:val="00B11C01"/>
    <w:rsid w:val="00B20B3C"/>
    <w:rsid w:val="00B2192C"/>
    <w:rsid w:val="00B418C5"/>
    <w:rsid w:val="00B43628"/>
    <w:rsid w:val="00B754E3"/>
    <w:rsid w:val="00B84570"/>
    <w:rsid w:val="00B9374E"/>
    <w:rsid w:val="00B977F9"/>
    <w:rsid w:val="00BA0B88"/>
    <w:rsid w:val="00BA46CD"/>
    <w:rsid w:val="00BA5623"/>
    <w:rsid w:val="00BB4CF1"/>
    <w:rsid w:val="00BB6A20"/>
    <w:rsid w:val="00BC53B8"/>
    <w:rsid w:val="00BD6039"/>
    <w:rsid w:val="00BF0226"/>
    <w:rsid w:val="00BF27CB"/>
    <w:rsid w:val="00BF4AEA"/>
    <w:rsid w:val="00BF7B56"/>
    <w:rsid w:val="00C072E2"/>
    <w:rsid w:val="00C078E7"/>
    <w:rsid w:val="00C10614"/>
    <w:rsid w:val="00C11481"/>
    <w:rsid w:val="00C12CF5"/>
    <w:rsid w:val="00C12D30"/>
    <w:rsid w:val="00C14CB5"/>
    <w:rsid w:val="00C15A60"/>
    <w:rsid w:val="00C22A7D"/>
    <w:rsid w:val="00C235D5"/>
    <w:rsid w:val="00C328F8"/>
    <w:rsid w:val="00C3312A"/>
    <w:rsid w:val="00C36277"/>
    <w:rsid w:val="00C52249"/>
    <w:rsid w:val="00C7627D"/>
    <w:rsid w:val="00C762F1"/>
    <w:rsid w:val="00C973E8"/>
    <w:rsid w:val="00CA6A21"/>
    <w:rsid w:val="00CB5FF7"/>
    <w:rsid w:val="00CC5E51"/>
    <w:rsid w:val="00CD0869"/>
    <w:rsid w:val="00CD1C81"/>
    <w:rsid w:val="00CD3186"/>
    <w:rsid w:val="00CD3D3F"/>
    <w:rsid w:val="00CD4737"/>
    <w:rsid w:val="00CE01CB"/>
    <w:rsid w:val="00CF37AF"/>
    <w:rsid w:val="00CF3955"/>
    <w:rsid w:val="00CF5197"/>
    <w:rsid w:val="00D321DD"/>
    <w:rsid w:val="00D32794"/>
    <w:rsid w:val="00D40594"/>
    <w:rsid w:val="00D56B86"/>
    <w:rsid w:val="00D601AC"/>
    <w:rsid w:val="00D61FB5"/>
    <w:rsid w:val="00D626B1"/>
    <w:rsid w:val="00D731FF"/>
    <w:rsid w:val="00D81991"/>
    <w:rsid w:val="00D859BB"/>
    <w:rsid w:val="00D90306"/>
    <w:rsid w:val="00DA082A"/>
    <w:rsid w:val="00DA0E14"/>
    <w:rsid w:val="00DA69BC"/>
    <w:rsid w:val="00DA74FF"/>
    <w:rsid w:val="00DB324B"/>
    <w:rsid w:val="00DB3FA3"/>
    <w:rsid w:val="00DB5E8E"/>
    <w:rsid w:val="00DD1372"/>
    <w:rsid w:val="00DE0766"/>
    <w:rsid w:val="00DE7B81"/>
    <w:rsid w:val="00DF0631"/>
    <w:rsid w:val="00DF0BD1"/>
    <w:rsid w:val="00DF4A45"/>
    <w:rsid w:val="00E05616"/>
    <w:rsid w:val="00E21F40"/>
    <w:rsid w:val="00E279E1"/>
    <w:rsid w:val="00E36185"/>
    <w:rsid w:val="00E372BC"/>
    <w:rsid w:val="00E40EBF"/>
    <w:rsid w:val="00E47E7D"/>
    <w:rsid w:val="00E57102"/>
    <w:rsid w:val="00E819BB"/>
    <w:rsid w:val="00E8286B"/>
    <w:rsid w:val="00E876FD"/>
    <w:rsid w:val="00E926F6"/>
    <w:rsid w:val="00E92C24"/>
    <w:rsid w:val="00E941F1"/>
    <w:rsid w:val="00E94B94"/>
    <w:rsid w:val="00EA55A4"/>
    <w:rsid w:val="00EB4A9C"/>
    <w:rsid w:val="00EB51D2"/>
    <w:rsid w:val="00EB57A0"/>
    <w:rsid w:val="00EB5C42"/>
    <w:rsid w:val="00EB674A"/>
    <w:rsid w:val="00EC5BF6"/>
    <w:rsid w:val="00ED1566"/>
    <w:rsid w:val="00ED202B"/>
    <w:rsid w:val="00ED20C9"/>
    <w:rsid w:val="00EE5DDF"/>
    <w:rsid w:val="00EE7008"/>
    <w:rsid w:val="00EF0214"/>
    <w:rsid w:val="00F00A2B"/>
    <w:rsid w:val="00F0285F"/>
    <w:rsid w:val="00F05E16"/>
    <w:rsid w:val="00F06145"/>
    <w:rsid w:val="00F105BD"/>
    <w:rsid w:val="00F12361"/>
    <w:rsid w:val="00F216E4"/>
    <w:rsid w:val="00F24C66"/>
    <w:rsid w:val="00F27F42"/>
    <w:rsid w:val="00F31570"/>
    <w:rsid w:val="00F34638"/>
    <w:rsid w:val="00F40810"/>
    <w:rsid w:val="00F4231E"/>
    <w:rsid w:val="00F433AC"/>
    <w:rsid w:val="00F476F8"/>
    <w:rsid w:val="00F56C0B"/>
    <w:rsid w:val="00F66755"/>
    <w:rsid w:val="00F66A00"/>
    <w:rsid w:val="00F70D76"/>
    <w:rsid w:val="00F811AF"/>
    <w:rsid w:val="00F82385"/>
    <w:rsid w:val="00FA5CDD"/>
    <w:rsid w:val="00FB470D"/>
    <w:rsid w:val="00FC5D75"/>
    <w:rsid w:val="00FC6B8E"/>
    <w:rsid w:val="00FD0380"/>
    <w:rsid w:val="00FE268F"/>
    <w:rsid w:val="00FE6289"/>
    <w:rsid w:val="00FF33E1"/>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 w:type="paragraph" w:customStyle="1" w:styleId="gmail-msolistparagraph">
    <w:name w:val="gmail-msolistparagraph"/>
    <w:basedOn w:val="Navaden"/>
    <w:rsid w:val="00FD0380"/>
    <w:pPr>
      <w:spacing w:before="100" w:beforeAutospacing="1" w:after="100" w:afterAutospacing="1" w:line="240" w:lineRule="auto"/>
      <w:ind w:left="0" w:right="0"/>
    </w:pPr>
    <w:rPr>
      <w:rFonts w:ascii="Aptos" w:eastAsiaTheme="minorHAnsi"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gorica.si/file/18627323430347064_maj-9ndodatni.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26DB8B45-E4B3-4759-AB2B-72EBB0452F31}">
  <ds:schemaRefs>
    <ds:schemaRef ds:uri="http://schemas.openxmlformats.org/officeDocument/2006/bibliography"/>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3052</Words>
  <Characters>17402</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50</cp:revision>
  <cp:lastPrinted>2025-12-04T08:13:00Z</cp:lastPrinted>
  <dcterms:created xsi:type="dcterms:W3CDTF">2026-02-11T09:00:00Z</dcterms:created>
  <dcterms:modified xsi:type="dcterms:W3CDTF">2026-02-12T14:31:00Z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