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FC2D6" wp14:editId="20183175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C4E90" id="Pravokotnik 18" o:spid="_x0000_s1026" alt="&quot;&quot;" style="position:absolute;margin-left:442pt;margin-top:8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2C8D1DB" w:rsidR="00445A64" w:rsidRPr="000E5815" w:rsidRDefault="00445A64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72C8D1DB" w:rsidR="00445A64" w:rsidRPr="000E5815" w:rsidRDefault="00445A64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C079E32" w14:textId="77777777" w:rsidR="007E3757" w:rsidRPr="007E3757" w:rsidRDefault="007E3757" w:rsidP="007E3757">
      <w:pPr>
        <w:spacing w:after="160" w:line="259" w:lineRule="auto"/>
        <w:ind w:right="0"/>
        <w:jc w:val="left"/>
        <w:rPr>
          <w:noProof/>
        </w:rPr>
      </w:pPr>
      <w:r w:rsidRPr="007E3757">
        <w:rPr>
          <w:noProof/>
        </w:rPr>
        <w:t>Številka: 041-0002/2026-1</w:t>
      </w:r>
      <w:r w:rsidRPr="007E3757">
        <w:rPr>
          <w:noProof/>
        </w:rPr>
        <w:br/>
        <w:t>Nova Gorica, dne 4. februarja 2026</w:t>
      </w:r>
    </w:p>
    <w:p w14:paraId="2B4CC486" w14:textId="77777777" w:rsidR="007E3757" w:rsidRPr="007E3757" w:rsidRDefault="007E3757" w:rsidP="007E3757">
      <w:pPr>
        <w:spacing w:after="160" w:line="259" w:lineRule="auto"/>
        <w:ind w:right="0"/>
        <w:jc w:val="left"/>
        <w:rPr>
          <w:noProof/>
        </w:rPr>
      </w:pPr>
    </w:p>
    <w:p w14:paraId="3B1C12C9" w14:textId="77777777" w:rsidR="007E3757" w:rsidRPr="007E3757" w:rsidRDefault="007E3757" w:rsidP="007E3757">
      <w:pPr>
        <w:spacing w:before="480" w:after="480" w:line="240" w:lineRule="exact"/>
        <w:ind w:right="0"/>
        <w:jc w:val="left"/>
        <w:rPr>
          <w:b/>
          <w:bCs w:val="0"/>
          <w:noProof/>
        </w:rPr>
      </w:pPr>
      <w:r w:rsidRPr="007E3757">
        <w:rPr>
          <w:b/>
          <w:bCs w:val="0"/>
          <w:noProof/>
        </w:rPr>
        <w:t>MESTNI SVET MESTNE OBČINE NOVA GORICA</w:t>
      </w:r>
    </w:p>
    <w:p w14:paraId="3F097526" w14:textId="77777777" w:rsidR="007E3757" w:rsidRPr="007E3757" w:rsidRDefault="007E3757" w:rsidP="007E3757">
      <w:pPr>
        <w:ind w:left="4395" w:hanging="3686"/>
        <w:rPr>
          <w:noProof/>
        </w:rPr>
      </w:pPr>
      <w:r w:rsidRPr="007E3757">
        <w:rPr>
          <w:b/>
          <w:bCs w:val="0"/>
          <w:noProof/>
        </w:rPr>
        <w:t>ZADEVA</w:t>
      </w:r>
      <w:r w:rsidRPr="007E3757">
        <w:rPr>
          <w:noProof/>
        </w:rPr>
        <w:t>:</w:t>
      </w:r>
      <w:r w:rsidRPr="007E3757">
        <w:rPr>
          <w:noProof/>
        </w:rPr>
        <w:tab/>
        <w:t>PREDLOG ZA OBRAVNAVO NA SEJI MESTNEGA SVETA MESTNE OBČINE NOVA GORICA</w:t>
      </w:r>
    </w:p>
    <w:p w14:paraId="68DFFB42" w14:textId="77777777" w:rsidR="007E3757" w:rsidRPr="007E3757" w:rsidRDefault="007E3757" w:rsidP="007E3757">
      <w:pPr>
        <w:keepNext/>
        <w:keepLines/>
        <w:spacing w:before="240" w:line="320" w:lineRule="exact"/>
        <w:ind w:left="4395" w:right="0" w:hanging="3686"/>
        <w:jc w:val="left"/>
        <w:outlineLvl w:val="0"/>
        <w:rPr>
          <w:rFonts w:eastAsiaTheme="majorEastAsia" w:cstheme="majorBidi"/>
          <w:b/>
          <w:noProof/>
          <w:color w:val="2F5496" w:themeColor="accent1" w:themeShade="BF"/>
          <w:sz w:val="22"/>
          <w:szCs w:val="28"/>
        </w:rPr>
      </w:pPr>
      <w:r w:rsidRPr="007E3757">
        <w:rPr>
          <w:rFonts w:eastAsiaTheme="majorEastAsia" w:cstheme="majorBidi"/>
          <w:b/>
          <w:noProof/>
          <w:color w:val="2F5496" w:themeColor="accent1" w:themeShade="BF"/>
        </w:rPr>
        <w:t>NASLOV:</w:t>
      </w:r>
      <w:r w:rsidRPr="007E3757">
        <w:rPr>
          <w:rFonts w:eastAsiaTheme="majorEastAsia" w:cstheme="majorBidi"/>
          <w:b/>
          <w:noProof/>
          <w:color w:val="2F5496" w:themeColor="accent1" w:themeShade="BF"/>
          <w:sz w:val="22"/>
          <w:szCs w:val="28"/>
        </w:rPr>
        <w:tab/>
      </w:r>
      <w:r w:rsidRPr="007E3757">
        <w:rPr>
          <w:rFonts w:eastAsiaTheme="majorEastAsia" w:cstheme="majorBidi"/>
          <w:b/>
          <w:noProof/>
          <w:color w:val="2F5496" w:themeColor="accent1" w:themeShade="BF"/>
        </w:rPr>
        <w:t>Predlog Sklepa o določitvi volilnih enot in števila članov svetov krajevnih skupnosti v Mestni občini Nova Gorica</w:t>
      </w:r>
    </w:p>
    <w:p w14:paraId="73B7059D" w14:textId="46AC80EA" w:rsidR="007E3757" w:rsidRPr="007E3757" w:rsidRDefault="007E3757" w:rsidP="007E3757">
      <w:pPr>
        <w:ind w:left="4395" w:hanging="3686"/>
        <w:jc w:val="left"/>
        <w:rPr>
          <w:noProof/>
        </w:rPr>
      </w:pPr>
      <w:r w:rsidRPr="007E3757">
        <w:rPr>
          <w:b/>
          <w:bCs w:val="0"/>
          <w:noProof/>
        </w:rPr>
        <w:t>GRADIVO PRIPRAVIL</w:t>
      </w:r>
      <w:r w:rsidRPr="007E3757">
        <w:rPr>
          <w:noProof/>
        </w:rPr>
        <w:t>:</w:t>
      </w:r>
      <w:r w:rsidRPr="007E3757">
        <w:rPr>
          <w:noProof/>
        </w:rPr>
        <w:tab/>
      </w:r>
      <w:r w:rsidRPr="007E3757">
        <w:rPr>
          <w:bCs w:val="0"/>
          <w:noProof/>
        </w:rPr>
        <w:t>Mestna občina Nova Gorica, Urad direktorja občinske uprave</w:t>
      </w:r>
      <w:r w:rsidR="00EB763E">
        <w:rPr>
          <w:bCs w:val="0"/>
          <w:noProof/>
        </w:rPr>
        <w:t>,</w:t>
      </w:r>
      <w:r w:rsidR="00EB763E" w:rsidRPr="00EB763E">
        <w:rPr>
          <w:noProof/>
        </w:rPr>
        <w:t xml:space="preserve"> </w:t>
      </w:r>
      <w:r w:rsidR="00EB763E" w:rsidRPr="007E3757">
        <w:rPr>
          <w:noProof/>
        </w:rPr>
        <w:t>Služba za mestni svet in krajevne skupnosti</w:t>
      </w:r>
    </w:p>
    <w:p w14:paraId="4F5F54CA" w14:textId="62DA60E1" w:rsidR="007E3757" w:rsidRPr="007E3757" w:rsidRDefault="007E3757" w:rsidP="007E3757">
      <w:pPr>
        <w:ind w:left="4395" w:hanging="3686"/>
        <w:rPr>
          <w:noProof/>
        </w:rPr>
      </w:pPr>
      <w:r w:rsidRPr="007E3757">
        <w:rPr>
          <w:b/>
          <w:bCs w:val="0"/>
          <w:noProof/>
        </w:rPr>
        <w:t>IZDELOVALEC GRADIVA:</w:t>
      </w:r>
      <w:r w:rsidRPr="007E3757">
        <w:rPr>
          <w:noProof/>
        </w:rPr>
        <w:tab/>
      </w:r>
      <w:r w:rsidR="00EB763E">
        <w:rPr>
          <w:noProof/>
        </w:rPr>
        <w:t>/</w:t>
      </w:r>
    </w:p>
    <w:p w14:paraId="1744B3DC" w14:textId="65452231" w:rsidR="007E3757" w:rsidRPr="007E3757" w:rsidRDefault="007E3757" w:rsidP="007E3757">
      <w:pPr>
        <w:ind w:left="4395" w:hanging="3686"/>
        <w:rPr>
          <w:b/>
          <w:bCs w:val="0"/>
          <w:noProof/>
        </w:rPr>
      </w:pPr>
      <w:r w:rsidRPr="007E3757">
        <w:rPr>
          <w:b/>
          <w:bCs w:val="0"/>
          <w:noProof/>
        </w:rPr>
        <w:t>POROČEVALEC:</w:t>
      </w:r>
      <w:r w:rsidRPr="007E3757">
        <w:rPr>
          <w:noProof/>
        </w:rPr>
        <w:t xml:space="preserve"> </w:t>
      </w:r>
      <w:r w:rsidRPr="007E3757">
        <w:rPr>
          <w:noProof/>
        </w:rPr>
        <w:tab/>
        <w:t xml:space="preserve">Miran Ljucovič, vodja </w:t>
      </w:r>
      <w:r w:rsidR="00D97295">
        <w:rPr>
          <w:noProof/>
        </w:rPr>
        <w:t>S</w:t>
      </w:r>
      <w:r w:rsidRPr="007E3757">
        <w:rPr>
          <w:noProof/>
        </w:rPr>
        <w:t>lužbe za mestni svet in krajevne skupnosti</w:t>
      </w:r>
    </w:p>
    <w:p w14:paraId="41B4B6AB" w14:textId="77777777" w:rsidR="007E3757" w:rsidRPr="007E3757" w:rsidRDefault="007E3757" w:rsidP="007E3757">
      <w:pPr>
        <w:ind w:left="4395" w:hanging="3686"/>
        <w:rPr>
          <w:noProof/>
        </w:rPr>
      </w:pPr>
      <w:r w:rsidRPr="007E3757">
        <w:rPr>
          <w:b/>
          <w:bCs w:val="0"/>
          <w:noProof/>
        </w:rPr>
        <w:t>PRISTOJNO DELOVNO TELO</w:t>
      </w:r>
      <w:r w:rsidRPr="007E3757">
        <w:rPr>
          <w:noProof/>
        </w:rPr>
        <w:t xml:space="preserve">: </w:t>
      </w:r>
      <w:r w:rsidRPr="007E3757">
        <w:rPr>
          <w:noProof/>
        </w:rPr>
        <w:tab/>
        <w:t>Odbor za krajevne skupnosti</w:t>
      </w:r>
    </w:p>
    <w:p w14:paraId="4CD09D5B" w14:textId="77777777" w:rsidR="007E3757" w:rsidRPr="007E3757" w:rsidRDefault="007E3757" w:rsidP="007E3757">
      <w:pPr>
        <w:rPr>
          <w:b/>
          <w:bCs w:val="0"/>
          <w:noProof/>
        </w:rPr>
      </w:pPr>
      <w:r w:rsidRPr="007E3757">
        <w:rPr>
          <w:b/>
          <w:bCs w:val="0"/>
          <w:noProof/>
        </w:rPr>
        <w:t xml:space="preserve">PREDLOG SKLEPA: </w:t>
      </w:r>
    </w:p>
    <w:p w14:paraId="7A3180B9" w14:textId="77777777" w:rsidR="007E3757" w:rsidRPr="007E3757" w:rsidRDefault="007E3757" w:rsidP="007E3757">
      <w:pPr>
        <w:jc w:val="left"/>
        <w:rPr>
          <w:noProof/>
        </w:rPr>
      </w:pPr>
      <w:r w:rsidRPr="007E3757">
        <w:rPr>
          <w:noProof/>
        </w:rPr>
        <w:t xml:space="preserve">Mestni svet Mestne občine Nova Gorica sprejme Sklep </w:t>
      </w:r>
      <w:bookmarkStart w:id="0" w:name="_Hlk195615944"/>
      <w:r w:rsidRPr="007E3757">
        <w:rPr>
          <w:noProof/>
        </w:rPr>
        <w:t>o določitvi števila volilnih enot in števila članov svetov krajevnih skupnosti v Mestni občini Nova Gorica.</w:t>
      </w:r>
    </w:p>
    <w:p w14:paraId="58244326" w14:textId="77777777" w:rsidR="007E3757" w:rsidRPr="007E3757" w:rsidRDefault="007E3757" w:rsidP="007E3757">
      <w:pPr>
        <w:ind w:left="0"/>
        <w:rPr>
          <w:noProof/>
        </w:rPr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E3757" w:rsidRPr="007E3757" w14:paraId="2AC3CAF9" w14:textId="77777777" w:rsidTr="00BE22DB">
        <w:tc>
          <w:tcPr>
            <w:tcW w:w="3549" w:type="dxa"/>
          </w:tcPr>
          <w:p w14:paraId="0230F215" w14:textId="77777777" w:rsidR="007E3757" w:rsidRPr="007E3757" w:rsidRDefault="007E3757" w:rsidP="007E3757">
            <w:pPr>
              <w:spacing w:after="0" w:line="240" w:lineRule="exact"/>
              <w:ind w:left="0" w:right="0"/>
              <w:jc w:val="left"/>
              <w:rPr>
                <w:b/>
                <w:noProof/>
                <w:color w:val="FFFFFF" w:themeColor="background1"/>
              </w:rPr>
            </w:pPr>
            <w:r w:rsidRPr="007E3757">
              <w:rPr>
                <w:b/>
                <w:noProof/>
                <w:color w:val="FFFFFF" w:themeColor="background1"/>
              </w:rPr>
              <w:t>Desnik podpisnik</w:t>
            </w:r>
          </w:p>
        </w:tc>
      </w:tr>
      <w:tr w:rsidR="007E3757" w:rsidRPr="007E3757" w14:paraId="439A3199" w14:textId="77777777" w:rsidTr="00BE22DB">
        <w:tc>
          <w:tcPr>
            <w:tcW w:w="3549" w:type="dxa"/>
          </w:tcPr>
          <w:p w14:paraId="344E86E8" w14:textId="77777777" w:rsidR="007E3757" w:rsidRPr="007E3757" w:rsidRDefault="007E3757" w:rsidP="007E3757">
            <w:pPr>
              <w:spacing w:after="0" w:line="240" w:lineRule="exact"/>
              <w:ind w:left="0" w:right="0"/>
              <w:jc w:val="left"/>
              <w:rPr>
                <w:bCs w:val="0"/>
                <w:noProof/>
                <w:color w:val="002F87"/>
              </w:rPr>
            </w:pPr>
            <w:r w:rsidRPr="007E3757">
              <w:rPr>
                <w:b/>
                <w:noProof/>
                <w:color w:val="002F87"/>
              </w:rPr>
              <w:t>Samo Turel</w:t>
            </w:r>
          </w:p>
        </w:tc>
      </w:tr>
      <w:tr w:rsidR="007E3757" w:rsidRPr="007E3757" w14:paraId="3CEFC6EB" w14:textId="77777777" w:rsidTr="00BE22DB">
        <w:trPr>
          <w:trHeight w:val="530"/>
        </w:trPr>
        <w:tc>
          <w:tcPr>
            <w:tcW w:w="3549" w:type="dxa"/>
          </w:tcPr>
          <w:p w14:paraId="0D6D80B8" w14:textId="77777777" w:rsidR="007E3757" w:rsidRPr="007E3757" w:rsidRDefault="007E3757" w:rsidP="007E3757">
            <w:pPr>
              <w:spacing w:after="0" w:line="240" w:lineRule="exact"/>
              <w:ind w:left="0" w:right="0"/>
              <w:jc w:val="left"/>
              <w:rPr>
                <w:bCs w:val="0"/>
                <w:noProof/>
                <w:color w:val="002F87"/>
              </w:rPr>
            </w:pPr>
            <w:r w:rsidRPr="007E3757">
              <w:rPr>
                <w:noProof/>
                <w:color w:val="002F87"/>
              </w:rPr>
              <w:t>Župan</w:t>
            </w:r>
          </w:p>
        </w:tc>
      </w:tr>
      <w:bookmarkEnd w:id="0"/>
    </w:tbl>
    <w:p w14:paraId="55AF086D" w14:textId="77777777" w:rsidR="007E3757" w:rsidRPr="007E3757" w:rsidRDefault="007E3757" w:rsidP="007E3757">
      <w:pPr>
        <w:rPr>
          <w:noProof/>
        </w:rPr>
      </w:pPr>
    </w:p>
    <w:p w14:paraId="36E31C62" w14:textId="77777777" w:rsidR="007E3757" w:rsidRPr="007E3757" w:rsidRDefault="007E3757" w:rsidP="007E3757">
      <w:pPr>
        <w:spacing w:after="0" w:line="240" w:lineRule="exact"/>
        <w:ind w:right="0"/>
        <w:jc w:val="left"/>
        <w:rPr>
          <w:noProof/>
        </w:rPr>
      </w:pPr>
      <w:r w:rsidRPr="007E3757">
        <w:rPr>
          <w:noProof/>
        </w:rPr>
        <w:t>Gradivo:</w:t>
      </w:r>
    </w:p>
    <w:p w14:paraId="41C4ACD3" w14:textId="77777777" w:rsidR="007E3757" w:rsidRPr="007E3757" w:rsidRDefault="007E3757" w:rsidP="007E3757">
      <w:pPr>
        <w:numPr>
          <w:ilvl w:val="0"/>
          <w:numId w:val="10"/>
        </w:numPr>
        <w:spacing w:after="0" w:line="240" w:lineRule="exact"/>
        <w:ind w:right="0"/>
        <w:jc w:val="left"/>
        <w:rPr>
          <w:noProof/>
        </w:rPr>
      </w:pPr>
      <w:r w:rsidRPr="007E3757">
        <w:rPr>
          <w:noProof/>
        </w:rPr>
        <w:t>Gradivo 1: predlog sklepa</w:t>
      </w:r>
    </w:p>
    <w:p w14:paraId="3126F099" w14:textId="77777777" w:rsidR="007E3757" w:rsidRPr="007E3757" w:rsidRDefault="007E3757" w:rsidP="007E3757">
      <w:pPr>
        <w:spacing w:after="0" w:line="240" w:lineRule="exact"/>
        <w:ind w:left="1069" w:right="0"/>
        <w:jc w:val="left"/>
        <w:rPr>
          <w:noProof/>
        </w:rPr>
      </w:pPr>
      <w:r w:rsidRPr="007E3757">
        <w:rPr>
          <w:noProof/>
        </w:rPr>
        <w:t xml:space="preserve">     z obrazložitvijo</w:t>
      </w:r>
    </w:p>
    <w:p w14:paraId="3DE8DE2C" w14:textId="77777777" w:rsidR="007E3757" w:rsidRPr="007E3757" w:rsidRDefault="007E3757" w:rsidP="007E3757">
      <w:pPr>
        <w:ind w:left="720"/>
        <w:contextualSpacing/>
        <w:rPr>
          <w:noProof/>
        </w:rPr>
      </w:pPr>
    </w:p>
    <w:p w14:paraId="29A0077E" w14:textId="77777777" w:rsidR="007E3757" w:rsidRPr="007E3757" w:rsidRDefault="007E3757" w:rsidP="007E3757">
      <w:pPr>
        <w:rPr>
          <w:noProof/>
        </w:rPr>
        <w:sectPr w:rsidR="007E3757" w:rsidRPr="007E3757" w:rsidSect="007E375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7B4C2784" w14:textId="77777777" w:rsidR="007E3757" w:rsidRPr="007E3757" w:rsidRDefault="007E3757" w:rsidP="007E3757">
      <w:pPr>
        <w:spacing w:after="160" w:line="259" w:lineRule="auto"/>
        <w:ind w:right="0"/>
        <w:jc w:val="left"/>
        <w:rPr>
          <w:noProof/>
          <w:color w:val="002F87"/>
          <w:sz w:val="14"/>
          <w:szCs w:val="14"/>
        </w:rPr>
      </w:pPr>
      <w:r w:rsidRPr="007E3757">
        <w:rPr>
          <w:b/>
          <w:bCs w:val="0"/>
          <w:noProof/>
          <w:color w:val="002F87"/>
          <w:sz w:val="14"/>
          <w:szCs w:val="14"/>
        </w:rPr>
        <w:lastRenderedPageBreak/>
        <w:t>Mestni Svet</w:t>
      </w:r>
      <w:r w:rsidRPr="007E3757">
        <w:rPr>
          <w:b/>
          <w:bCs w:val="0"/>
          <w:noProof/>
          <w:color w:val="002F87"/>
          <w:sz w:val="14"/>
          <w:szCs w:val="14"/>
        </w:rPr>
        <w:br/>
      </w:r>
      <w:r w:rsidRPr="007E3757">
        <w:rPr>
          <w:noProof/>
          <w:color w:val="002F87"/>
          <w:sz w:val="14"/>
          <w:szCs w:val="14"/>
        </w:rPr>
        <w:t>Trg Edvarda Kardelja 1, 5000 Nova Gorica</w:t>
      </w:r>
    </w:p>
    <w:p w14:paraId="0C892065" w14:textId="77777777" w:rsidR="007E3757" w:rsidRPr="007E3757" w:rsidRDefault="007E3757" w:rsidP="008333EA">
      <w:pPr>
        <w:shd w:val="clear" w:color="auto" w:fill="FFFFFF"/>
        <w:spacing w:after="0" w:line="240" w:lineRule="auto"/>
        <w:ind w:left="0"/>
        <w:rPr>
          <w:noProof/>
        </w:rPr>
      </w:pPr>
    </w:p>
    <w:p w14:paraId="03AC67C9" w14:textId="6D9E8793" w:rsidR="007E3757" w:rsidRPr="007E3757" w:rsidRDefault="007E3757" w:rsidP="007E3757">
      <w:pPr>
        <w:shd w:val="clear" w:color="auto" w:fill="FFFFFF"/>
        <w:spacing w:after="0" w:line="240" w:lineRule="auto"/>
        <w:jc w:val="left"/>
        <w:rPr>
          <w:bCs w:val="0"/>
          <w:noProof/>
        </w:rPr>
      </w:pPr>
      <w:r w:rsidRPr="007E3757">
        <w:rPr>
          <w:bCs w:val="0"/>
          <w:noProof/>
        </w:rPr>
        <w:t xml:space="preserve">Na podlagi 19a. člena Zakona o lokalni samoupravi </w:t>
      </w:r>
      <w:r w:rsidRPr="007E3757">
        <w:rPr>
          <w:noProof/>
        </w:rPr>
        <w:t>(Uradni list RS, št. 94/07 - uradno prečiščeno besedilo, 27/08 - odl. US, 76/08, 79/09, 51/10, 84/10 - odl. US, 40/12 - ZUJF, 14/15 - ZUUJFO, 76/16 - odl. US, 11/18 - ZSPDSLS-1, 30/18, 61/20 - ZIUZEOP-A, 80/20 - ZIUOOPE, 62/24 - odl. US, 102/24 - ZLV-K),</w:t>
      </w:r>
      <w:r w:rsidRPr="007E3757">
        <w:rPr>
          <w:bCs w:val="0"/>
          <w:noProof/>
        </w:rPr>
        <w:t xml:space="preserve"> 109. člena Zakona o lokalnih volitvah (Uradni list RS, št. 94/07 – uradno prečiščeno besedilo, 45/08, 83/12, 68/17, 93/20 – odl. US in 102/24), 54. in 19. člena Statuta Mestne občine Nova Gorica (Uradni list RS, št. 13/12, 18/17 in 18/19) je Mestni svet Mestne občine Nova Gorica na seji dne ______ sprejel</w:t>
      </w:r>
    </w:p>
    <w:p w14:paraId="08163A21" w14:textId="77777777" w:rsidR="007E3757" w:rsidRPr="007E3757" w:rsidRDefault="007E3757" w:rsidP="007E3757">
      <w:pPr>
        <w:keepNext/>
        <w:keepLines/>
        <w:spacing w:before="480" w:after="480" w:line="320" w:lineRule="exact"/>
        <w:ind w:right="0"/>
        <w:jc w:val="center"/>
        <w:outlineLvl w:val="0"/>
        <w:rPr>
          <w:rFonts w:eastAsiaTheme="majorEastAsia" w:cstheme="majorBidi"/>
          <w:b/>
          <w:noProof/>
          <w:color w:val="2F5496" w:themeColor="accent1" w:themeShade="BF"/>
          <w:sz w:val="22"/>
          <w:szCs w:val="28"/>
        </w:rPr>
      </w:pPr>
      <w:r w:rsidRPr="007E3757">
        <w:rPr>
          <w:rFonts w:eastAsiaTheme="majorEastAsia" w:cstheme="majorBidi"/>
          <w:b/>
          <w:noProof/>
          <w:color w:val="2F5496" w:themeColor="accent1" w:themeShade="BF"/>
          <w:sz w:val="22"/>
          <w:szCs w:val="28"/>
        </w:rPr>
        <w:t>SKLEP</w:t>
      </w:r>
      <w:r w:rsidRPr="007E3757">
        <w:rPr>
          <w:rFonts w:eastAsiaTheme="majorEastAsia" w:cstheme="majorBidi"/>
          <w:b/>
          <w:noProof/>
          <w:color w:val="2F5496" w:themeColor="accent1" w:themeShade="BF"/>
          <w:sz w:val="22"/>
          <w:szCs w:val="28"/>
        </w:rPr>
        <w:br/>
        <w:t>o določitvi volilnih enot in števila članov svetov krajevnih skupnosti v Mestni občini Nova Gorica</w:t>
      </w:r>
    </w:p>
    <w:p w14:paraId="57C0A8A1" w14:textId="77777777" w:rsidR="007E3757" w:rsidRPr="007E3757" w:rsidRDefault="007E3757" w:rsidP="007E3757">
      <w:pPr>
        <w:keepNext/>
        <w:keepLines/>
        <w:spacing w:before="480" w:after="480" w:line="320" w:lineRule="exact"/>
        <w:ind w:right="0"/>
        <w:jc w:val="left"/>
        <w:outlineLvl w:val="0"/>
        <w:rPr>
          <w:rFonts w:eastAsiaTheme="majorEastAsia" w:cstheme="majorBidi"/>
          <w:b/>
          <w:noProof/>
          <w:color w:val="2F5496" w:themeColor="accent1" w:themeShade="BF"/>
          <w:sz w:val="22"/>
          <w:szCs w:val="28"/>
        </w:rPr>
      </w:pPr>
      <w:r w:rsidRPr="007E3757">
        <w:rPr>
          <w:rFonts w:eastAsiaTheme="majorEastAsia" w:cstheme="majorBidi"/>
          <w:b/>
          <w:noProof/>
          <w:color w:val="2F5496" w:themeColor="accent1" w:themeShade="BF"/>
          <w:sz w:val="22"/>
          <w:szCs w:val="28"/>
        </w:rPr>
        <w:t>SPLOŠNE DOLOČBE</w:t>
      </w:r>
    </w:p>
    <w:p w14:paraId="1511FB83" w14:textId="77777777" w:rsidR="007E3757" w:rsidRPr="007E3757" w:rsidRDefault="007E3757" w:rsidP="007E3757">
      <w:pPr>
        <w:numPr>
          <w:ilvl w:val="0"/>
          <w:numId w:val="12"/>
        </w:numPr>
        <w:contextualSpacing/>
        <w:jc w:val="center"/>
        <w:rPr>
          <w:noProof/>
        </w:rPr>
      </w:pPr>
    </w:p>
    <w:p w14:paraId="6DEA8DF4" w14:textId="77777777" w:rsidR="007E3757" w:rsidRPr="007E3757" w:rsidRDefault="007E3757" w:rsidP="007E3757">
      <w:pPr>
        <w:spacing w:line="240" w:lineRule="exact"/>
        <w:jc w:val="left"/>
        <w:rPr>
          <w:bCs w:val="0"/>
          <w:noProof/>
        </w:rPr>
      </w:pPr>
      <w:r w:rsidRPr="007E3757">
        <w:rPr>
          <w:bCs w:val="0"/>
          <w:noProof/>
        </w:rPr>
        <w:t xml:space="preserve">S tem sklepom se določi volilne enote in število članov svetov krajevnih skupnosti na območju Mestne občine Nova Gorica. </w:t>
      </w:r>
    </w:p>
    <w:p w14:paraId="5A54C0C6" w14:textId="77777777" w:rsidR="007E3757" w:rsidRPr="007E3757" w:rsidRDefault="007E3757" w:rsidP="007E3757">
      <w:pPr>
        <w:numPr>
          <w:ilvl w:val="0"/>
          <w:numId w:val="12"/>
        </w:numPr>
        <w:contextualSpacing/>
        <w:jc w:val="center"/>
        <w:rPr>
          <w:noProof/>
        </w:rPr>
      </w:pPr>
    </w:p>
    <w:p w14:paraId="007464F1" w14:textId="77777777" w:rsidR="007E3757" w:rsidRPr="007E3757" w:rsidRDefault="007E3757" w:rsidP="007E3757">
      <w:pPr>
        <w:spacing w:line="240" w:lineRule="exact"/>
        <w:jc w:val="left"/>
        <w:rPr>
          <w:bCs w:val="0"/>
          <w:noProof/>
        </w:rPr>
      </w:pPr>
      <w:r w:rsidRPr="007E3757">
        <w:rPr>
          <w:bCs w:val="0"/>
          <w:noProof/>
        </w:rPr>
        <w:t xml:space="preserve">Volilna enota za volitve članov v svet krajevne skupnosti je območje krajevne skupnosti, določeno v Statutu Mestne občine Nova Gorica. </w:t>
      </w:r>
    </w:p>
    <w:p w14:paraId="0C513271" w14:textId="77777777" w:rsidR="007E3757" w:rsidRPr="007E3757" w:rsidRDefault="007E3757" w:rsidP="007E3757">
      <w:pPr>
        <w:numPr>
          <w:ilvl w:val="0"/>
          <w:numId w:val="12"/>
        </w:numPr>
        <w:contextualSpacing/>
        <w:jc w:val="center"/>
        <w:rPr>
          <w:noProof/>
        </w:rPr>
      </w:pPr>
    </w:p>
    <w:p w14:paraId="2208D812" w14:textId="77777777" w:rsidR="007E3757" w:rsidRPr="007E3757" w:rsidRDefault="007E3757" w:rsidP="007E3757">
      <w:pPr>
        <w:spacing w:line="240" w:lineRule="exact"/>
        <w:jc w:val="left"/>
        <w:rPr>
          <w:bCs w:val="0"/>
          <w:noProof/>
        </w:rPr>
      </w:pPr>
      <w:r w:rsidRPr="007E3757">
        <w:rPr>
          <w:bCs w:val="0"/>
          <w:noProof/>
        </w:rPr>
        <w:t>Svet posamezne krajevne skupnosti šteje naslednje število članov:</w:t>
      </w:r>
    </w:p>
    <w:p w14:paraId="4855E04D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noProof/>
        </w:rPr>
        <w:t>v Krajevni skupnosti Banjšice sedem (7),</w:t>
      </w:r>
    </w:p>
    <w:p w14:paraId="218ABD2F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Branik devet (9),</w:t>
      </w:r>
    </w:p>
    <w:p w14:paraId="62886FB7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Čepovan sedem (7),</w:t>
      </w:r>
    </w:p>
    <w:p w14:paraId="2732AFCD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Dornberk sedem (7),</w:t>
      </w:r>
    </w:p>
    <w:p w14:paraId="5E8F09A9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Gradišče sedem (7),</w:t>
      </w:r>
    </w:p>
    <w:p w14:paraId="30728F75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Grgar sedem (7),</w:t>
      </w:r>
    </w:p>
    <w:p w14:paraId="35F64708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Grgarske Ravne-Bate sedem (7),</w:t>
      </w:r>
    </w:p>
    <w:p w14:paraId="440FDB58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Kromberk-Loke devet (9),</w:t>
      </w:r>
    </w:p>
    <w:p w14:paraId="2F5E85DA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Lokovec sedem (7),</w:t>
      </w:r>
    </w:p>
    <w:p w14:paraId="5841CF97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Lokve-Lazna sedem (7),</w:t>
      </w:r>
    </w:p>
    <w:p w14:paraId="6FC5B410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Nova Gorica trinajst (13),</w:t>
      </w:r>
    </w:p>
    <w:p w14:paraId="0E99AC59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Osek-Vitovlje sedem (7),</w:t>
      </w:r>
    </w:p>
    <w:p w14:paraId="3875806A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Ozeljan-Šmihel sedem (7),</w:t>
      </w:r>
    </w:p>
    <w:p w14:paraId="0ECC3130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Prvačina sedem (7),</w:t>
      </w:r>
    </w:p>
    <w:p w14:paraId="4A87A746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Ravnica sedem (7),</w:t>
      </w:r>
    </w:p>
    <w:p w14:paraId="5129020B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Rožna Dolina devet (9),</w:t>
      </w:r>
    </w:p>
    <w:p w14:paraId="2D404321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Solkan enajst (11),</w:t>
      </w:r>
    </w:p>
    <w:p w14:paraId="155C0861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Šempas sedem (7),</w:t>
      </w:r>
    </w:p>
    <w:p w14:paraId="06BA3E58" w14:textId="77777777" w:rsidR="007E3757" w:rsidRPr="007E3757" w:rsidRDefault="007E3757" w:rsidP="007E3757">
      <w:pPr>
        <w:numPr>
          <w:ilvl w:val="0"/>
          <w:numId w:val="11"/>
        </w:numPr>
        <w:shd w:val="clear" w:color="auto" w:fill="FFFFFF"/>
        <w:spacing w:after="0" w:line="240" w:lineRule="auto"/>
        <w:ind w:right="0" w:hanging="5"/>
        <w:contextualSpacing/>
        <w:jc w:val="left"/>
        <w:rPr>
          <w:bCs w:val="0"/>
        </w:rPr>
      </w:pPr>
      <w:r w:rsidRPr="007E3757">
        <w:rPr>
          <w:bCs w:val="0"/>
        </w:rPr>
        <w:t>v Krajevni skupnosti Trnovo sedem (7).</w:t>
      </w:r>
    </w:p>
    <w:p w14:paraId="31F665ED" w14:textId="77777777" w:rsidR="007E3757" w:rsidRPr="007E3757" w:rsidRDefault="007E3757" w:rsidP="007E3757">
      <w:pPr>
        <w:keepNext/>
        <w:keepLines/>
        <w:spacing w:before="480" w:after="480" w:line="320" w:lineRule="exact"/>
        <w:ind w:right="0"/>
        <w:jc w:val="left"/>
        <w:outlineLvl w:val="0"/>
        <w:rPr>
          <w:rFonts w:eastAsiaTheme="majorEastAsia" w:cstheme="majorBidi"/>
          <w:b/>
          <w:noProof/>
          <w:color w:val="2F5496" w:themeColor="accent1" w:themeShade="BF"/>
          <w:sz w:val="22"/>
          <w:szCs w:val="28"/>
        </w:rPr>
      </w:pPr>
      <w:r w:rsidRPr="007E3757">
        <w:rPr>
          <w:rFonts w:eastAsiaTheme="majorEastAsia" w:cstheme="majorBidi"/>
          <w:b/>
          <w:noProof/>
          <w:color w:val="2F5496" w:themeColor="accent1" w:themeShade="BF"/>
          <w:sz w:val="22"/>
          <w:szCs w:val="28"/>
        </w:rPr>
        <w:lastRenderedPageBreak/>
        <w:t>KONČNI DOLOČBI</w:t>
      </w:r>
    </w:p>
    <w:p w14:paraId="54B0F22A" w14:textId="77777777" w:rsidR="007E3757" w:rsidRPr="007E3757" w:rsidRDefault="007E3757" w:rsidP="007E3757">
      <w:pPr>
        <w:numPr>
          <w:ilvl w:val="0"/>
          <w:numId w:val="12"/>
        </w:numPr>
        <w:contextualSpacing/>
        <w:jc w:val="center"/>
        <w:rPr>
          <w:noProof/>
        </w:rPr>
      </w:pPr>
    </w:p>
    <w:p w14:paraId="23471086" w14:textId="77777777" w:rsidR="007E3757" w:rsidRPr="007E3757" w:rsidRDefault="007E3757" w:rsidP="007E3757">
      <w:pPr>
        <w:spacing w:line="240" w:lineRule="exact"/>
        <w:jc w:val="left"/>
        <w:rPr>
          <w:noProof/>
        </w:rPr>
      </w:pPr>
      <w:r w:rsidRPr="007E3757">
        <w:rPr>
          <w:noProof/>
        </w:rPr>
        <w:t>Z dnem uveljavitve tega sklepa preneha veljati Sklep o določitvi števila članov svetov krajevnih skupnosti in volilnih enot za volitve v svete krajevnih skupnosti v Mestni občini Nova Gorica (Uradni list RS, št. 70/22), ki pa se uporablja do začetka uporabe tega sklepa.</w:t>
      </w:r>
    </w:p>
    <w:p w14:paraId="7851A14B" w14:textId="77777777" w:rsidR="007E3757" w:rsidRPr="007E3757" w:rsidRDefault="007E3757" w:rsidP="007E3757">
      <w:pPr>
        <w:numPr>
          <w:ilvl w:val="0"/>
          <w:numId w:val="12"/>
        </w:numPr>
        <w:contextualSpacing/>
        <w:jc w:val="center"/>
        <w:rPr>
          <w:noProof/>
        </w:rPr>
      </w:pPr>
    </w:p>
    <w:p w14:paraId="6EA5B86C" w14:textId="77777777" w:rsidR="007E3757" w:rsidRPr="007E3757" w:rsidRDefault="007E3757" w:rsidP="007E3757">
      <w:pPr>
        <w:spacing w:line="240" w:lineRule="exact"/>
        <w:jc w:val="left"/>
        <w:rPr>
          <w:bCs w:val="0"/>
          <w:iCs/>
          <w:noProof/>
        </w:rPr>
      </w:pPr>
      <w:r w:rsidRPr="007E3757">
        <w:rPr>
          <w:bCs w:val="0"/>
          <w:iCs/>
          <w:noProof/>
        </w:rPr>
        <w:t>Ta sklep začne veljati petnajsti dan po objavi v Uradnem listu Republike Slovenije, uporabljati pa se začne za prve redne lokalne volitve, razpisane po uveljavitvi tega sklepa.</w:t>
      </w:r>
    </w:p>
    <w:p w14:paraId="66A102F0" w14:textId="77777777" w:rsidR="007E3757" w:rsidRPr="007E3757" w:rsidRDefault="007E3757" w:rsidP="007E3757">
      <w:pPr>
        <w:spacing w:line="240" w:lineRule="exact"/>
        <w:ind w:left="0"/>
        <w:jc w:val="left"/>
        <w:rPr>
          <w:bCs w:val="0"/>
          <w:iCs/>
          <w:noProof/>
        </w:rPr>
      </w:pPr>
    </w:p>
    <w:p w14:paraId="49FAAD32" w14:textId="77777777" w:rsidR="007E3757" w:rsidRPr="007E3757" w:rsidRDefault="007E3757" w:rsidP="007E3757">
      <w:pPr>
        <w:spacing w:line="240" w:lineRule="exact"/>
        <w:jc w:val="left"/>
        <w:rPr>
          <w:bCs w:val="0"/>
          <w:iCs/>
          <w:noProof/>
        </w:rPr>
      </w:pPr>
      <w:r w:rsidRPr="007E3757">
        <w:rPr>
          <w:bCs w:val="0"/>
          <w:iCs/>
          <w:noProof/>
        </w:rPr>
        <w:t>Številka: 041-0002/2026</w:t>
      </w:r>
      <w:r w:rsidRPr="007E3757">
        <w:rPr>
          <w:bCs w:val="0"/>
          <w:iCs/>
          <w:noProof/>
        </w:rPr>
        <w:br/>
        <w:t>Nova Gorica, dne</w:t>
      </w:r>
      <w:r w:rsidRPr="007E3757">
        <w:rPr>
          <w:bCs w:val="0"/>
          <w:noProof/>
        </w:rPr>
        <w:tab/>
      </w:r>
      <w:r w:rsidRPr="007E3757">
        <w:rPr>
          <w:bCs w:val="0"/>
          <w:noProof/>
        </w:rPr>
        <w:tab/>
      </w:r>
    </w:p>
    <w:p w14:paraId="30D3223E" w14:textId="77777777" w:rsidR="007E3757" w:rsidRPr="007E3757" w:rsidRDefault="007E3757" w:rsidP="007E3757">
      <w:pPr>
        <w:spacing w:after="160" w:line="259" w:lineRule="auto"/>
        <w:ind w:left="0" w:right="0"/>
        <w:jc w:val="left"/>
        <w:rPr>
          <w:bCs w:val="0"/>
          <w:noProof/>
        </w:rPr>
      </w:pPr>
      <w:r w:rsidRPr="007E3757">
        <w:rPr>
          <w:bCs w:val="0"/>
          <w:noProof/>
        </w:rPr>
        <w:tab/>
      </w:r>
      <w:r w:rsidRPr="007E3757">
        <w:rPr>
          <w:bCs w:val="0"/>
          <w:noProof/>
        </w:rPr>
        <w:tab/>
      </w:r>
      <w:r w:rsidRPr="007E3757">
        <w:rPr>
          <w:bCs w:val="0"/>
          <w:noProof/>
        </w:rPr>
        <w:tab/>
      </w:r>
      <w:r w:rsidRPr="007E3757">
        <w:rPr>
          <w:bCs w:val="0"/>
          <w:noProof/>
        </w:rPr>
        <w:tab/>
      </w:r>
      <w:r w:rsidRPr="007E3757">
        <w:rPr>
          <w:bCs w:val="0"/>
          <w:noProof/>
        </w:rPr>
        <w:tab/>
      </w:r>
      <w:r w:rsidRPr="007E3757">
        <w:rPr>
          <w:bCs w:val="0"/>
          <w:noProof/>
        </w:rPr>
        <w:tab/>
      </w:r>
      <w:r w:rsidRPr="007E3757">
        <w:rPr>
          <w:bCs w:val="0"/>
          <w:noProof/>
        </w:rPr>
        <w:tab/>
      </w:r>
      <w:r w:rsidRPr="007E3757">
        <w:rPr>
          <w:bCs w:val="0"/>
          <w:noProof/>
        </w:rPr>
        <w:tab/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E3757" w:rsidRPr="007E3757" w14:paraId="4F634733" w14:textId="77777777" w:rsidTr="00BE22DB">
        <w:tc>
          <w:tcPr>
            <w:tcW w:w="3549" w:type="dxa"/>
          </w:tcPr>
          <w:p w14:paraId="2ED57E84" w14:textId="77777777" w:rsidR="007E3757" w:rsidRPr="007E3757" w:rsidRDefault="007E3757" w:rsidP="007E3757">
            <w:pPr>
              <w:spacing w:after="0" w:line="240" w:lineRule="exact"/>
              <w:ind w:left="0" w:right="0"/>
              <w:jc w:val="left"/>
              <w:rPr>
                <w:bCs w:val="0"/>
                <w:noProof/>
                <w:color w:val="002F87"/>
              </w:rPr>
            </w:pPr>
            <w:r w:rsidRPr="007E3757">
              <w:rPr>
                <w:b/>
                <w:noProof/>
                <w:color w:val="002F87"/>
              </w:rPr>
              <w:t>Samo Turel</w:t>
            </w:r>
          </w:p>
        </w:tc>
      </w:tr>
      <w:tr w:rsidR="007E3757" w:rsidRPr="007E3757" w14:paraId="1450FBD3" w14:textId="77777777" w:rsidTr="00BE22DB">
        <w:trPr>
          <w:trHeight w:val="530"/>
        </w:trPr>
        <w:tc>
          <w:tcPr>
            <w:tcW w:w="3549" w:type="dxa"/>
          </w:tcPr>
          <w:p w14:paraId="2EAF40AD" w14:textId="77777777" w:rsidR="007E3757" w:rsidRPr="007E3757" w:rsidRDefault="007E3757" w:rsidP="007E3757">
            <w:pPr>
              <w:spacing w:after="0" w:line="240" w:lineRule="exact"/>
              <w:ind w:left="0" w:right="0"/>
              <w:jc w:val="left"/>
              <w:rPr>
                <w:bCs w:val="0"/>
                <w:noProof/>
                <w:color w:val="002F87"/>
              </w:rPr>
            </w:pPr>
            <w:r w:rsidRPr="007E3757">
              <w:rPr>
                <w:noProof/>
                <w:color w:val="002F87"/>
              </w:rPr>
              <w:t>Župan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34419550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0CACD777" w14:textId="77777777" w:rsidR="007E3757" w:rsidRPr="007E3757" w:rsidRDefault="007E3757" w:rsidP="007E3757">
      <w:pPr>
        <w:keepNext/>
        <w:keepLines/>
        <w:spacing w:before="240" w:line="259" w:lineRule="auto"/>
        <w:ind w:right="0"/>
        <w:jc w:val="left"/>
        <w:outlineLvl w:val="1"/>
        <w:rPr>
          <w:rFonts w:eastAsiaTheme="majorEastAsia" w:cstheme="majorBidi"/>
          <w:b/>
          <w:noProof/>
          <w:color w:val="2F5496" w:themeColor="accent1" w:themeShade="BF"/>
          <w:sz w:val="24"/>
          <w:szCs w:val="26"/>
        </w:rPr>
      </w:pPr>
      <w:r w:rsidRPr="007E3757">
        <w:rPr>
          <w:rFonts w:eastAsiaTheme="majorEastAsia" w:cstheme="majorBidi"/>
          <w:b/>
          <w:noProof/>
          <w:color w:val="2F5496" w:themeColor="accent1" w:themeShade="BF"/>
          <w:sz w:val="24"/>
          <w:szCs w:val="26"/>
        </w:rPr>
        <w:t>Obrazložitev</w:t>
      </w:r>
    </w:p>
    <w:p w14:paraId="5DD2AABF" w14:textId="77777777" w:rsidR="007E3757" w:rsidRPr="007E3757" w:rsidRDefault="007E3757" w:rsidP="007E3757">
      <w:pPr>
        <w:keepNext/>
        <w:keepLines/>
        <w:numPr>
          <w:ilvl w:val="0"/>
          <w:numId w:val="13"/>
        </w:numPr>
        <w:spacing w:after="0"/>
        <w:ind w:left="1066" w:right="0" w:hanging="357"/>
        <w:jc w:val="left"/>
        <w:outlineLvl w:val="0"/>
        <w:rPr>
          <w:rFonts w:eastAsiaTheme="majorEastAsia" w:cstheme="majorBidi"/>
          <w:b/>
          <w:noProof/>
          <w:color w:val="2F5496" w:themeColor="accent1" w:themeShade="BF"/>
        </w:rPr>
      </w:pPr>
      <w:r w:rsidRPr="007E3757">
        <w:rPr>
          <w:rFonts w:eastAsiaTheme="majorEastAsia" w:cstheme="majorBidi"/>
          <w:b/>
          <w:noProof/>
          <w:color w:val="2F5496" w:themeColor="accent1" w:themeShade="BF"/>
        </w:rPr>
        <w:t>Razlogi, ki utemeljujejo potrebo po sprejetju Sklepa o določitvi volilnih enot in števila članov svetov krajevnih skupnosti v Mestni občini Nova Gorica (v nadaljevanju: Sklep):</w:t>
      </w:r>
    </w:p>
    <w:p w14:paraId="75ED5C44" w14:textId="77777777" w:rsidR="007E3757" w:rsidRPr="007E3757" w:rsidRDefault="007E3757" w:rsidP="007E3757">
      <w:pPr>
        <w:spacing w:after="0"/>
        <w:rPr>
          <w:noProof/>
        </w:rPr>
      </w:pPr>
    </w:p>
    <w:p w14:paraId="2DF998B6" w14:textId="77777777" w:rsidR="007E3757" w:rsidRPr="007E3757" w:rsidRDefault="007E3757" w:rsidP="007E3757">
      <w:pPr>
        <w:spacing w:after="0"/>
        <w:ind w:left="851"/>
        <w:jc w:val="left"/>
        <w:rPr>
          <w:noProof/>
        </w:rPr>
      </w:pPr>
      <w:r w:rsidRPr="007E3757">
        <w:rPr>
          <w:noProof/>
        </w:rPr>
        <w:t xml:space="preserve">Državni zbor Republike Slovenije je dne 22. 11. 2024 sprejel Zakon o spremembah in dopolnitvah Zakona o lokalnih volitvah (v nadaljevanju: ZLV-K), ki je objavljen v Uradnem listu Republike Slovenije št. 102/24. ZLV-K v 30. členu določa, da morajo občine uskladiti splošne akte s spremenjenim zakonom v šestih mesecih po njegovi uveljavitvi, tj. do 18. 6. 2025. ZLV-K sicer v pretežni meri spreminja in dopolnjuje Zakon o lokalnih volitvah, z nekaj določbami pa posega tudi v Zakon o lokalni samoupravi. Zaradi teh sprememb je potrebno poleg statuta občine in poslovnika občinskega sveta uskladiti tudi akt, ki določa volilne enote za volitve v svete krajevnih skupnosti. Glede na spremenjeni peti odstavek 109. člena Zakona o lokalnih volitvah je volilna enota za volitve članov sveta krajevne skupnosti območje krajevne skupnosti. To pomeni, da bo po novem določena zgolj ena volilna enota, v kateri se bodo volili vsi člani sveta posamezne krajevne skupnosti. S tem želi zakonodajalec  poenostaviti postopke volitev članov svetov krajevnih skupnosti.  S predlaganim sklepom se število članov svetov krajevnih skupnosti ne spreminja, spreminjajo se le volilne enote za volitve v svete krajevnih skupnosti, kot to določa 109. člena Zakona o lokalnih volitvah. Vsebina sklepa je usklajena s sveti krajevnih skupnosti. </w:t>
      </w:r>
    </w:p>
    <w:p w14:paraId="5B644945" w14:textId="77777777" w:rsidR="007E3757" w:rsidRPr="007E3757" w:rsidRDefault="007E3757" w:rsidP="007E3757">
      <w:pPr>
        <w:spacing w:after="0"/>
        <w:ind w:left="851"/>
        <w:jc w:val="left"/>
        <w:rPr>
          <w:noProof/>
        </w:rPr>
      </w:pPr>
    </w:p>
    <w:p w14:paraId="315BBD06" w14:textId="77777777" w:rsidR="007E3757" w:rsidRPr="007E3757" w:rsidRDefault="007E3757" w:rsidP="007E3757">
      <w:pPr>
        <w:keepNext/>
        <w:keepLines/>
        <w:numPr>
          <w:ilvl w:val="0"/>
          <w:numId w:val="13"/>
        </w:numPr>
        <w:spacing w:after="0"/>
        <w:ind w:left="1066" w:right="0" w:hanging="357"/>
        <w:jc w:val="left"/>
        <w:outlineLvl w:val="0"/>
        <w:rPr>
          <w:rFonts w:eastAsiaTheme="majorEastAsia" w:cstheme="majorBidi"/>
          <w:b/>
          <w:noProof/>
          <w:color w:val="2F5496" w:themeColor="accent1" w:themeShade="BF"/>
        </w:rPr>
      </w:pPr>
      <w:r w:rsidRPr="007E3757">
        <w:rPr>
          <w:rFonts w:eastAsiaTheme="majorEastAsia" w:cstheme="majorBidi"/>
          <w:b/>
          <w:noProof/>
          <w:color w:val="2F5496" w:themeColor="accent1" w:themeShade="BF"/>
        </w:rPr>
        <w:t>Cilji, ki se želijo doseči s sprejemom sklepa:</w:t>
      </w:r>
    </w:p>
    <w:p w14:paraId="276F6AAB" w14:textId="77777777" w:rsidR="007E3757" w:rsidRPr="007E3757" w:rsidRDefault="007E3757" w:rsidP="007E3757">
      <w:pPr>
        <w:spacing w:after="0"/>
        <w:ind w:left="851"/>
        <w:jc w:val="left"/>
        <w:rPr>
          <w:bCs w:val="0"/>
          <w:noProof/>
        </w:rPr>
      </w:pPr>
    </w:p>
    <w:p w14:paraId="785BF3A4" w14:textId="77777777" w:rsidR="007E3757" w:rsidRPr="007E3757" w:rsidRDefault="007E3757" w:rsidP="007E3757">
      <w:pPr>
        <w:spacing w:after="0"/>
        <w:ind w:left="851"/>
        <w:jc w:val="left"/>
        <w:rPr>
          <w:bCs w:val="0"/>
          <w:noProof/>
        </w:rPr>
      </w:pPr>
      <w:r w:rsidRPr="007E3757">
        <w:rPr>
          <w:bCs w:val="0"/>
          <w:noProof/>
        </w:rPr>
        <w:t>Predlagani sklep zasleduje spremembe Zakona o lokalnih volitvah.</w:t>
      </w:r>
    </w:p>
    <w:p w14:paraId="7A9ECC64" w14:textId="77777777" w:rsidR="007E3757" w:rsidRPr="007E3757" w:rsidRDefault="007E3757" w:rsidP="007E3757">
      <w:pPr>
        <w:spacing w:after="0"/>
        <w:ind w:left="851"/>
        <w:jc w:val="left"/>
        <w:rPr>
          <w:bCs w:val="0"/>
          <w:noProof/>
        </w:rPr>
      </w:pPr>
    </w:p>
    <w:p w14:paraId="3914153C" w14:textId="77777777" w:rsidR="007E3757" w:rsidRPr="007E3757" w:rsidRDefault="007E3757" w:rsidP="007E3757">
      <w:pPr>
        <w:keepNext/>
        <w:keepLines/>
        <w:numPr>
          <w:ilvl w:val="0"/>
          <w:numId w:val="13"/>
        </w:numPr>
        <w:spacing w:after="0"/>
        <w:ind w:right="0"/>
        <w:jc w:val="left"/>
        <w:outlineLvl w:val="0"/>
        <w:rPr>
          <w:rFonts w:eastAsiaTheme="majorEastAsia" w:cstheme="majorBidi"/>
          <w:b/>
          <w:noProof/>
          <w:color w:val="2F5496" w:themeColor="accent1" w:themeShade="BF"/>
        </w:rPr>
      </w:pPr>
      <w:r w:rsidRPr="007E3757">
        <w:rPr>
          <w:rFonts w:eastAsiaTheme="majorEastAsia" w:cstheme="majorBidi"/>
          <w:b/>
          <w:noProof/>
          <w:color w:val="2F5496" w:themeColor="accent1" w:themeShade="BF"/>
        </w:rPr>
        <w:t>Pravne podlage in načela, po katerih naj se uredijo razmerja na tem področju:</w:t>
      </w:r>
    </w:p>
    <w:p w14:paraId="527F70D8" w14:textId="77777777" w:rsidR="007E3757" w:rsidRPr="007E3757" w:rsidRDefault="007E3757" w:rsidP="007E3757">
      <w:pPr>
        <w:spacing w:after="0"/>
        <w:rPr>
          <w:noProof/>
        </w:rPr>
      </w:pPr>
    </w:p>
    <w:p w14:paraId="7E18E455" w14:textId="77777777" w:rsidR="007E3757" w:rsidRPr="007E3757" w:rsidRDefault="007E3757" w:rsidP="007E3757">
      <w:pPr>
        <w:spacing w:after="0"/>
        <w:ind w:left="851"/>
        <w:jc w:val="left"/>
        <w:rPr>
          <w:noProof/>
        </w:rPr>
      </w:pPr>
      <w:r w:rsidRPr="007E3757">
        <w:rPr>
          <w:noProof/>
        </w:rPr>
        <w:t xml:space="preserve">Pravna podlaga za sprejem Sklepa o določitvi volilnih enot in števila članov svetov krajevnih skupnosti v Mestni občini Nova Gorica je 109. člen Zakona o lokalnih volitvah (Uradni list RS, št. 94/07 – uradno prečiščeno besedilo, 45/08, 83/12, 68/17, 93/20 – odl. US in 102/24), ki v petem odstavku določa, da je volilna enota za volitve članov sveta krajevne območje krajevne skupnosti; </w:t>
      </w:r>
    </w:p>
    <w:p w14:paraId="1BFC973A" w14:textId="77777777" w:rsidR="007E3757" w:rsidRPr="007E3757" w:rsidRDefault="007E3757" w:rsidP="007E3757">
      <w:pPr>
        <w:ind w:left="851"/>
        <w:jc w:val="left"/>
        <w:rPr>
          <w:noProof/>
        </w:rPr>
      </w:pPr>
      <w:r w:rsidRPr="007E3757">
        <w:rPr>
          <w:noProof/>
        </w:rPr>
        <w:t>Statut Mestne občine Nova Gorica v 54. členu določa, da število članov sveta krajevne skupnosti in volilne enote določi mestni svet s sklepom.</w:t>
      </w:r>
    </w:p>
    <w:p w14:paraId="444259C5" w14:textId="77777777" w:rsidR="007E3757" w:rsidRPr="007E3757" w:rsidRDefault="007E3757" w:rsidP="007E3757">
      <w:pPr>
        <w:keepNext/>
        <w:keepLines/>
        <w:numPr>
          <w:ilvl w:val="0"/>
          <w:numId w:val="13"/>
        </w:numPr>
        <w:spacing w:after="0"/>
        <w:ind w:right="0"/>
        <w:jc w:val="left"/>
        <w:outlineLvl w:val="0"/>
        <w:rPr>
          <w:rFonts w:eastAsiaTheme="majorEastAsia" w:cstheme="majorBidi"/>
          <w:b/>
          <w:noProof/>
          <w:color w:val="2F5496" w:themeColor="accent1" w:themeShade="BF"/>
        </w:rPr>
      </w:pPr>
      <w:r w:rsidRPr="007E3757">
        <w:rPr>
          <w:rFonts w:eastAsiaTheme="majorEastAsia" w:cstheme="majorBidi"/>
          <w:b/>
          <w:noProof/>
          <w:color w:val="2F5496" w:themeColor="accent1" w:themeShade="BF"/>
        </w:rPr>
        <w:t>Rešitve in posledice, ki bodo nastale s sprejemom predlaganega sklepa:</w:t>
      </w:r>
    </w:p>
    <w:p w14:paraId="407AC244" w14:textId="77777777" w:rsidR="007E3757" w:rsidRPr="007E3757" w:rsidRDefault="007E3757" w:rsidP="007E3757">
      <w:pPr>
        <w:spacing w:after="0"/>
        <w:rPr>
          <w:noProof/>
        </w:rPr>
      </w:pPr>
    </w:p>
    <w:p w14:paraId="407B9387" w14:textId="77777777" w:rsidR="007E3757" w:rsidRPr="007E3757" w:rsidRDefault="007E3757" w:rsidP="007E3757">
      <w:pPr>
        <w:spacing w:after="0"/>
        <w:ind w:left="851"/>
        <w:jc w:val="left"/>
        <w:rPr>
          <w:bCs w:val="0"/>
          <w:noProof/>
        </w:rPr>
      </w:pPr>
      <w:r w:rsidRPr="007E3757">
        <w:rPr>
          <w:bCs w:val="0"/>
          <w:noProof/>
        </w:rPr>
        <w:lastRenderedPageBreak/>
        <w:t>S sprejemom predlaganega sklepa se doseže uskladitev s spremembo zakonodaje in ustvari pogoje za boljše delo svetov krajevnih skupnosti.</w:t>
      </w:r>
    </w:p>
    <w:p w14:paraId="5FD7804D" w14:textId="77777777" w:rsidR="007E3757" w:rsidRPr="007E3757" w:rsidRDefault="007E3757" w:rsidP="007E3757">
      <w:pPr>
        <w:spacing w:after="0"/>
        <w:ind w:left="851"/>
        <w:jc w:val="left"/>
        <w:rPr>
          <w:bCs w:val="0"/>
          <w:noProof/>
        </w:rPr>
      </w:pPr>
    </w:p>
    <w:p w14:paraId="6961F724" w14:textId="77777777" w:rsidR="007E3757" w:rsidRPr="007E3757" w:rsidRDefault="007E3757" w:rsidP="007E3757">
      <w:pPr>
        <w:keepNext/>
        <w:keepLines/>
        <w:numPr>
          <w:ilvl w:val="0"/>
          <w:numId w:val="13"/>
        </w:numPr>
        <w:spacing w:after="0"/>
        <w:ind w:right="0"/>
        <w:jc w:val="left"/>
        <w:outlineLvl w:val="0"/>
        <w:rPr>
          <w:rFonts w:eastAsiaTheme="majorEastAsia" w:cstheme="majorBidi"/>
          <w:b/>
          <w:noProof/>
          <w:color w:val="2F5496" w:themeColor="accent1" w:themeShade="BF"/>
        </w:rPr>
      </w:pPr>
      <w:r w:rsidRPr="007E3757">
        <w:rPr>
          <w:rFonts w:eastAsiaTheme="majorEastAsia" w:cstheme="majorBidi"/>
          <w:b/>
          <w:noProof/>
          <w:color w:val="2F5496" w:themeColor="accent1" w:themeShade="BF"/>
        </w:rPr>
        <w:t>Materialne obveznosti, ki bodo nastale s sprejemom predlaganega sklepa:</w:t>
      </w:r>
    </w:p>
    <w:p w14:paraId="6E5312DE" w14:textId="77777777" w:rsidR="007E3757" w:rsidRPr="007E3757" w:rsidRDefault="007E3757" w:rsidP="007E3757">
      <w:pPr>
        <w:spacing w:after="0"/>
        <w:rPr>
          <w:noProof/>
        </w:rPr>
      </w:pPr>
    </w:p>
    <w:p w14:paraId="0407B2FB" w14:textId="77777777" w:rsidR="007E3757" w:rsidRPr="007E3757" w:rsidRDefault="007E3757" w:rsidP="007E3757">
      <w:pPr>
        <w:spacing w:after="0"/>
        <w:ind w:left="851"/>
        <w:jc w:val="left"/>
        <w:rPr>
          <w:bCs w:val="0"/>
          <w:noProof/>
        </w:rPr>
      </w:pPr>
      <w:r w:rsidRPr="007E3757">
        <w:rPr>
          <w:bCs w:val="0"/>
          <w:noProof/>
        </w:rPr>
        <w:t>Ni predvideno, da bi zaradi sprejema sklepa nastale dodatne materialne obveznosti.</w:t>
      </w:r>
    </w:p>
    <w:p w14:paraId="366A030D" w14:textId="77777777" w:rsidR="007E3757" w:rsidRPr="007E3757" w:rsidRDefault="007E3757" w:rsidP="007E3757">
      <w:pPr>
        <w:spacing w:after="0"/>
        <w:ind w:left="851"/>
        <w:jc w:val="left"/>
        <w:rPr>
          <w:bCs w:val="0"/>
          <w:noProof/>
        </w:rPr>
      </w:pPr>
    </w:p>
    <w:p w14:paraId="1C03E896" w14:textId="77777777" w:rsidR="007E3757" w:rsidRPr="007E3757" w:rsidRDefault="007E3757" w:rsidP="007E3757">
      <w:pPr>
        <w:keepNext/>
        <w:keepLines/>
        <w:numPr>
          <w:ilvl w:val="0"/>
          <w:numId w:val="13"/>
        </w:numPr>
        <w:spacing w:after="0"/>
        <w:ind w:right="0"/>
        <w:jc w:val="left"/>
        <w:outlineLvl w:val="0"/>
        <w:rPr>
          <w:rFonts w:eastAsiaTheme="majorEastAsia" w:cstheme="majorBidi"/>
          <w:b/>
          <w:noProof/>
          <w:color w:val="2F5496" w:themeColor="accent1" w:themeShade="BF"/>
        </w:rPr>
      </w:pPr>
      <w:r w:rsidRPr="007E3757">
        <w:rPr>
          <w:rFonts w:eastAsiaTheme="majorEastAsia" w:cstheme="majorBidi"/>
          <w:b/>
          <w:noProof/>
          <w:color w:val="2F5496" w:themeColor="accent1" w:themeShade="BF"/>
        </w:rPr>
        <w:t>Druge pomembne okoliščine, glede vprašanj, ki jih ureja predlagani sklep:</w:t>
      </w:r>
    </w:p>
    <w:p w14:paraId="5CFE7451" w14:textId="77777777" w:rsidR="007E3757" w:rsidRPr="007E3757" w:rsidRDefault="007E3757" w:rsidP="007E3757">
      <w:pPr>
        <w:spacing w:after="0"/>
        <w:rPr>
          <w:noProof/>
        </w:rPr>
      </w:pPr>
    </w:p>
    <w:p w14:paraId="28C13F9D" w14:textId="77777777" w:rsidR="007E3757" w:rsidRPr="007E3757" w:rsidRDefault="007E3757" w:rsidP="007E3757">
      <w:pPr>
        <w:spacing w:after="0"/>
        <w:ind w:left="851"/>
        <w:jc w:val="left"/>
        <w:rPr>
          <w:bCs w:val="0"/>
          <w:noProof/>
        </w:rPr>
      </w:pPr>
      <w:r w:rsidRPr="007E3757">
        <w:rPr>
          <w:bCs w:val="0"/>
          <w:noProof/>
        </w:rPr>
        <w:t>Takšnih okoliščin ni. Mestnemu svetu Mestne občine Nova Gorica se predlaga, da predlagani sklep sprejme.</w:t>
      </w:r>
    </w:p>
    <w:p w14:paraId="18B22B00" w14:textId="77777777" w:rsidR="007E3757" w:rsidRPr="007E3757" w:rsidRDefault="007E3757" w:rsidP="007E3757">
      <w:pPr>
        <w:spacing w:line="240" w:lineRule="exact"/>
        <w:ind w:left="851"/>
        <w:jc w:val="left"/>
        <w:rPr>
          <w:bCs w:val="0"/>
          <w:noProof/>
        </w:rPr>
      </w:pPr>
    </w:p>
    <w:p w14:paraId="062864FD" w14:textId="77777777" w:rsidR="007E3757" w:rsidRPr="007E3757" w:rsidRDefault="007E3757" w:rsidP="007E3757">
      <w:pPr>
        <w:spacing w:before="600" w:after="600" w:line="240" w:lineRule="exact"/>
        <w:ind w:right="0"/>
        <w:jc w:val="left"/>
        <w:rPr>
          <w:noProof/>
          <w:color w:val="002F87"/>
        </w:rPr>
      </w:pPr>
      <w:r w:rsidRPr="007E3757">
        <w:rPr>
          <w:noProof/>
          <w:color w:val="002F87"/>
        </w:rPr>
        <w:t xml:space="preserve">PRIPRAVIL: </w:t>
      </w:r>
      <w:r w:rsidRPr="007E3757">
        <w:rPr>
          <w:noProof/>
          <w:color w:val="002F87"/>
        </w:rPr>
        <w:tab/>
      </w:r>
      <w:r w:rsidRPr="007E3757">
        <w:rPr>
          <w:noProof/>
          <w:color w:val="002F87"/>
        </w:rPr>
        <w:tab/>
      </w:r>
      <w:r w:rsidRPr="007E3757">
        <w:rPr>
          <w:noProof/>
          <w:color w:val="002F87"/>
        </w:rPr>
        <w:tab/>
      </w:r>
      <w:r w:rsidRPr="007E3757">
        <w:rPr>
          <w:noProof/>
          <w:color w:val="002F87"/>
        </w:rPr>
        <w:tab/>
      </w:r>
      <w:r w:rsidRPr="007E3757">
        <w:rPr>
          <w:noProof/>
          <w:color w:val="002F87"/>
        </w:rPr>
        <w:tab/>
      </w:r>
      <w:r w:rsidRPr="007E3757">
        <w:rPr>
          <w:noProof/>
          <w:color w:val="002F87"/>
        </w:rPr>
        <w:tab/>
      </w:r>
      <w:r w:rsidRPr="007E3757">
        <w:rPr>
          <w:noProof/>
          <w:color w:val="002F87"/>
        </w:rPr>
        <w:tab/>
        <w:t xml:space="preserve">  </w:t>
      </w:r>
      <w:r w:rsidRPr="007E3757">
        <w:rPr>
          <w:b/>
          <w:noProof/>
          <w:color w:val="002F87"/>
        </w:rPr>
        <w:t>Aleš Markočič</w:t>
      </w:r>
      <w:r w:rsidRPr="007E3757">
        <w:rPr>
          <w:noProof/>
          <w:color w:val="002F87"/>
        </w:rPr>
        <w:br/>
      </w:r>
      <w:r w:rsidRPr="007E3757">
        <w:rPr>
          <w:b/>
          <w:noProof/>
          <w:color w:val="002F87"/>
        </w:rPr>
        <w:t>Miran Ljucovič</w:t>
      </w:r>
      <w:r w:rsidRPr="007E3757">
        <w:rPr>
          <w:b/>
          <w:noProof/>
          <w:color w:val="002F87"/>
        </w:rPr>
        <w:tab/>
      </w:r>
      <w:r w:rsidRPr="007E3757">
        <w:rPr>
          <w:b/>
          <w:noProof/>
          <w:color w:val="002F87"/>
        </w:rPr>
        <w:tab/>
      </w:r>
      <w:r w:rsidRPr="007E3757">
        <w:rPr>
          <w:b/>
          <w:noProof/>
          <w:color w:val="002F87"/>
        </w:rPr>
        <w:tab/>
      </w:r>
      <w:r w:rsidRPr="007E3757">
        <w:rPr>
          <w:b/>
          <w:noProof/>
          <w:color w:val="002F87"/>
        </w:rPr>
        <w:tab/>
      </w:r>
      <w:r w:rsidRPr="007E3757">
        <w:rPr>
          <w:b/>
          <w:noProof/>
          <w:color w:val="002F87"/>
        </w:rPr>
        <w:tab/>
      </w:r>
      <w:r w:rsidRPr="007E3757">
        <w:rPr>
          <w:b/>
          <w:noProof/>
          <w:color w:val="002F87"/>
        </w:rPr>
        <w:tab/>
        <w:t xml:space="preserve">  </w:t>
      </w:r>
      <w:r w:rsidRPr="007E3757">
        <w:rPr>
          <w:noProof/>
          <w:color w:val="002F87"/>
        </w:rPr>
        <w:t xml:space="preserve">Direktor </w:t>
      </w:r>
      <w:r w:rsidRPr="007E3757">
        <w:rPr>
          <w:noProof/>
          <w:color w:val="002F87"/>
        </w:rPr>
        <w:br/>
        <w:t>Vodja Službe za mestni svet</w:t>
      </w:r>
      <w:r w:rsidRPr="007E3757">
        <w:rPr>
          <w:noProof/>
          <w:color w:val="002F87"/>
        </w:rPr>
        <w:br/>
        <w:t>in krajevne skupnosti</w:t>
      </w:r>
    </w:p>
    <w:sectPr w:rsidR="007E3757" w:rsidRPr="007E3757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733B" w14:textId="77777777" w:rsidR="004B30A0" w:rsidRDefault="004B30A0" w:rsidP="00352A82">
      <w:r>
        <w:separator/>
      </w:r>
    </w:p>
  </w:endnote>
  <w:endnote w:type="continuationSeparator" w:id="0">
    <w:p w14:paraId="5AB97D75" w14:textId="77777777" w:rsidR="004B30A0" w:rsidRDefault="004B30A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F8E1" w14:textId="77777777" w:rsidR="007E3757" w:rsidRPr="008759F5" w:rsidRDefault="007E3757" w:rsidP="00352A82">
    <w:pPr>
      <w:pStyle w:val="MONGnoga"/>
    </w:pPr>
    <w:r w:rsidRPr="008759F5">
      <w:drawing>
        <wp:anchor distT="0" distB="0" distL="114300" distR="114300" simplePos="0" relativeHeight="251661312" behindDoc="1" locked="0" layoutInCell="1" allowOverlap="1" wp14:anchorId="6C8FB022" wp14:editId="1C455CC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859534166" name="Slika 18595341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7E36" w14:textId="77777777" w:rsidR="007E3757" w:rsidRPr="00722FAC" w:rsidRDefault="007E3757" w:rsidP="00352A82">
    <w:pPr>
      <w:pStyle w:val="MONGnoga"/>
    </w:pPr>
    <w:r w:rsidRPr="00722FAC">
      <w:drawing>
        <wp:anchor distT="0" distB="0" distL="114300" distR="114300" simplePos="0" relativeHeight="251660288" behindDoc="1" locked="0" layoutInCell="1" allowOverlap="1" wp14:anchorId="7259FC25" wp14:editId="3404192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1676325552" name="Slika 16763255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r w:rsidRPr="001732D3">
      <w:rPr>
        <w:u w:val="single"/>
      </w:rPr>
      <w:t>mestna.obcina@nova-gorica.si</w:t>
    </w:r>
    <w:r w:rsidRPr="00722FAC">
      <w:t xml:space="preserve">, T: +386 (0)5 335 01 </w:t>
    </w:r>
    <w:r>
      <w:t>1</w:t>
    </w:r>
    <w:r w:rsidRPr="00722FAC">
      <w:t xml:space="preserve">1, </w:t>
    </w:r>
    <w:r w:rsidRPr="001732D3">
      <w:rPr>
        <w:u w:val="single"/>
      </w:rPr>
      <w:t>www.nova-gorica.si</w:t>
    </w:r>
  </w:p>
  <w:p w14:paraId="5ED1BE93" w14:textId="77777777" w:rsidR="007E3757" w:rsidRPr="00722FAC" w:rsidRDefault="007E3757" w:rsidP="00352A82">
    <w:pPr>
      <w:pStyle w:val="MONGnoga"/>
    </w:pPr>
    <w:r w:rsidRPr="00722FAC">
      <w:t>ID za DDV: SI53055730, matična številka: 5881773</w:t>
    </w:r>
    <w:r>
      <w:tab/>
    </w:r>
  </w:p>
  <w:p w14:paraId="2F88E8E4" w14:textId="77777777" w:rsidR="007E3757" w:rsidRPr="00083CA2" w:rsidRDefault="007E3757" w:rsidP="00352A82">
    <w:pPr>
      <w:pStyle w:val="MONG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rPr>
        <w:noProof/>
      </w:rPr>
      <w:drawing>
        <wp:anchor distT="0" distB="0" distL="114300" distR="114300" simplePos="0" relativeHeight="251657216" behindDoc="1" locked="0" layoutInCell="1" allowOverlap="1" wp14:anchorId="386229F1" wp14:editId="076C3D3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rPr>
        <w:noProof/>
      </w:rPr>
      <w:drawing>
        <wp:anchor distT="0" distB="0" distL="114300" distR="114300" simplePos="0" relativeHeight="251655168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CEEE" w14:textId="77777777" w:rsidR="004B30A0" w:rsidRDefault="004B30A0" w:rsidP="00352A82">
      <w:r>
        <w:separator/>
      </w:r>
    </w:p>
  </w:footnote>
  <w:footnote w:type="continuationSeparator" w:id="0">
    <w:p w14:paraId="5EB45A51" w14:textId="77777777" w:rsidR="004B30A0" w:rsidRDefault="004B30A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925E" w14:textId="77777777" w:rsidR="007E3757" w:rsidRPr="00083CA2" w:rsidRDefault="007E3757" w:rsidP="00352A82">
    <w:r>
      <w:drawing>
        <wp:anchor distT="0" distB="0" distL="114300" distR="114300" simplePos="0" relativeHeight="251658240" behindDoc="1" locked="0" layoutInCell="1" allowOverlap="1" wp14:anchorId="6DD26FA3" wp14:editId="5E7649C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456509181" name="Slika 456509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5B7A" w14:textId="77777777" w:rsidR="007E3757" w:rsidRDefault="007E3757" w:rsidP="00352A82">
    <w:r>
      <w:drawing>
        <wp:anchor distT="0" distB="0" distL="114300" distR="114300" simplePos="0" relativeHeight="251659264" behindDoc="1" locked="0" layoutInCell="1" allowOverlap="1" wp14:anchorId="6A937F1C" wp14:editId="7AF8C0A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416057013" name="Slika 141605701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rPr>
        <w:noProof/>
      </w:rPr>
      <w:drawing>
        <wp:anchor distT="0" distB="0" distL="114300" distR="114300" simplePos="0" relativeHeight="25165619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rPr>
        <w:noProof/>
      </w:rPr>
      <w:drawing>
        <wp:anchor distT="0" distB="0" distL="114300" distR="114300" simplePos="0" relativeHeight="25165414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78208F"/>
    <w:multiLevelType w:val="hybridMultilevel"/>
    <w:tmpl w:val="25966656"/>
    <w:lvl w:ilvl="0" w:tplc="55B09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493159"/>
    <w:multiLevelType w:val="hybridMultilevel"/>
    <w:tmpl w:val="4420D922"/>
    <w:lvl w:ilvl="0" w:tplc="7952AC2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735DDC"/>
    <w:multiLevelType w:val="hybridMultilevel"/>
    <w:tmpl w:val="4C1081F2"/>
    <w:lvl w:ilvl="0" w:tplc="46406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1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10"/>
  </w:num>
  <w:num w:numId="6" w16cid:durableId="1657220828">
    <w:abstractNumId w:val="12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6"/>
  </w:num>
  <w:num w:numId="10" w16cid:durableId="767116328">
    <w:abstractNumId w:val="9"/>
  </w:num>
  <w:num w:numId="11" w16cid:durableId="169562668">
    <w:abstractNumId w:val="5"/>
  </w:num>
  <w:num w:numId="12" w16cid:durableId="1929076652">
    <w:abstractNumId w:val="7"/>
  </w:num>
  <w:num w:numId="13" w16cid:durableId="201637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807CE"/>
    <w:rsid w:val="00083CA2"/>
    <w:rsid w:val="000C0FAA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579A6"/>
    <w:rsid w:val="00283E83"/>
    <w:rsid w:val="0028430E"/>
    <w:rsid w:val="0028622D"/>
    <w:rsid w:val="002B08B0"/>
    <w:rsid w:val="00352A82"/>
    <w:rsid w:val="00355F3A"/>
    <w:rsid w:val="00366240"/>
    <w:rsid w:val="003815F8"/>
    <w:rsid w:val="00393E6F"/>
    <w:rsid w:val="0039457F"/>
    <w:rsid w:val="003A0AE4"/>
    <w:rsid w:val="003B11F7"/>
    <w:rsid w:val="003E2C39"/>
    <w:rsid w:val="003F3284"/>
    <w:rsid w:val="004129EE"/>
    <w:rsid w:val="00445A64"/>
    <w:rsid w:val="00463FA4"/>
    <w:rsid w:val="00486063"/>
    <w:rsid w:val="004953C5"/>
    <w:rsid w:val="004B30A0"/>
    <w:rsid w:val="004E242E"/>
    <w:rsid w:val="005210F0"/>
    <w:rsid w:val="00530051"/>
    <w:rsid w:val="005546D6"/>
    <w:rsid w:val="00581BE7"/>
    <w:rsid w:val="005D78B5"/>
    <w:rsid w:val="005E41CA"/>
    <w:rsid w:val="006024A4"/>
    <w:rsid w:val="0066085E"/>
    <w:rsid w:val="006620F0"/>
    <w:rsid w:val="006B201F"/>
    <w:rsid w:val="00714788"/>
    <w:rsid w:val="00722FAC"/>
    <w:rsid w:val="00731380"/>
    <w:rsid w:val="00734A18"/>
    <w:rsid w:val="00737529"/>
    <w:rsid w:val="00774DD1"/>
    <w:rsid w:val="0079172C"/>
    <w:rsid w:val="00791DB2"/>
    <w:rsid w:val="00793022"/>
    <w:rsid w:val="00796028"/>
    <w:rsid w:val="007A53EF"/>
    <w:rsid w:val="007E3757"/>
    <w:rsid w:val="00810854"/>
    <w:rsid w:val="008333EA"/>
    <w:rsid w:val="00873CAB"/>
    <w:rsid w:val="008759F5"/>
    <w:rsid w:val="008802E3"/>
    <w:rsid w:val="008821D4"/>
    <w:rsid w:val="00882400"/>
    <w:rsid w:val="008F21D2"/>
    <w:rsid w:val="008F5DCA"/>
    <w:rsid w:val="009060A3"/>
    <w:rsid w:val="00923A6E"/>
    <w:rsid w:val="00964AD4"/>
    <w:rsid w:val="009914DB"/>
    <w:rsid w:val="009B227A"/>
    <w:rsid w:val="00A03315"/>
    <w:rsid w:val="00A047D0"/>
    <w:rsid w:val="00A7398A"/>
    <w:rsid w:val="00A9127C"/>
    <w:rsid w:val="00A9136F"/>
    <w:rsid w:val="00A95A58"/>
    <w:rsid w:val="00AA4BFD"/>
    <w:rsid w:val="00BE5B70"/>
    <w:rsid w:val="00C10614"/>
    <w:rsid w:val="00C7627D"/>
    <w:rsid w:val="00C84353"/>
    <w:rsid w:val="00C973E8"/>
    <w:rsid w:val="00CC3F17"/>
    <w:rsid w:val="00CD0869"/>
    <w:rsid w:val="00CF0B4F"/>
    <w:rsid w:val="00CF2AFF"/>
    <w:rsid w:val="00D15483"/>
    <w:rsid w:val="00D51EE1"/>
    <w:rsid w:val="00D81991"/>
    <w:rsid w:val="00D97295"/>
    <w:rsid w:val="00DA69BC"/>
    <w:rsid w:val="00DD550C"/>
    <w:rsid w:val="00DE7B81"/>
    <w:rsid w:val="00E16371"/>
    <w:rsid w:val="00E217AD"/>
    <w:rsid w:val="00E40EAA"/>
    <w:rsid w:val="00E57102"/>
    <w:rsid w:val="00E639CC"/>
    <w:rsid w:val="00E876FD"/>
    <w:rsid w:val="00EB763E"/>
    <w:rsid w:val="00ED7977"/>
    <w:rsid w:val="00EE5DDF"/>
    <w:rsid w:val="00F00FC5"/>
    <w:rsid w:val="00F12361"/>
    <w:rsid w:val="00F24C66"/>
    <w:rsid w:val="00F27F42"/>
    <w:rsid w:val="00F40810"/>
    <w:rsid w:val="00F4231E"/>
    <w:rsid w:val="00F811AF"/>
    <w:rsid w:val="00F85E9E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D885C-C4A0-424F-A921-94E8D385D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</cp:revision>
  <cp:lastPrinted>2025-02-19T07:16:00Z</cp:lastPrinted>
  <dcterms:created xsi:type="dcterms:W3CDTF">2026-02-12T15:11:00Z</dcterms:created>
  <dcterms:modified xsi:type="dcterms:W3CDTF">2026-02-12T15:11:00Z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  <property fmtid="{D5CDD505-2E9C-101B-9397-08002B2CF9AE}" pid="4" name="docLang">
    <vt:lpwstr>sl</vt:lpwstr>
  </property>
</Properties>
</file>