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5727313A" w:rsidR="0066085E" w:rsidRDefault="00BA4540" w:rsidP="0066085E">
      <w:pPr>
        <w:pStyle w:val="Nazivenote"/>
        <w:rPr>
          <w:b w:val="0"/>
          <w:bCs/>
        </w:rPr>
      </w:pPr>
      <w:r>
        <mc:AlternateContent>
          <mc:Choice Requires="wps">
            <w:drawing>
              <wp:anchor distT="45720" distB="45720" distL="114300" distR="114300" simplePos="0" relativeHeight="251661312" behindDoc="1" locked="0" layoutInCell="1" allowOverlap="1" wp14:anchorId="18D38E96" wp14:editId="64D59460">
                <wp:simplePos x="0" y="0"/>
                <wp:positionH relativeFrom="column">
                  <wp:posOffset>4867910</wp:posOffset>
                </wp:positionH>
                <wp:positionV relativeFrom="paragraph">
                  <wp:posOffset>15240</wp:posOffset>
                </wp:positionV>
                <wp:extent cx="914400" cy="622300"/>
                <wp:effectExtent l="0" t="0" r="0" b="6350"/>
                <wp:wrapTight wrapText="bothSides">
                  <wp:wrapPolygon edited="0">
                    <wp:start x="0" y="0"/>
                    <wp:lineTo x="0" y="21159"/>
                    <wp:lineTo x="21150" y="21159"/>
                    <wp:lineTo x="21150"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22300"/>
                        </a:xfrm>
                        <a:prstGeom prst="rect">
                          <a:avLst/>
                        </a:prstGeom>
                        <a:solidFill>
                          <a:srgbClr val="FFFFFF"/>
                        </a:solidFill>
                        <a:ln w="9525">
                          <a:noFill/>
                          <a:miter lim="800000"/>
                          <a:headEnd/>
                          <a:tailEnd/>
                        </a:ln>
                      </wps:spPr>
                      <wps:txbx>
                        <w:txbxContent>
                          <w:p w14:paraId="79C32D9A" w14:textId="24237DF5" w:rsidR="00445A64" w:rsidRPr="000E5815" w:rsidRDefault="00C87877" w:rsidP="00445A64">
                            <w:pPr>
                              <w:pStyle w:val="tevilka"/>
                              <w:rPr>
                                <w:sz w:val="80"/>
                                <w:szCs w:val="80"/>
                              </w:rPr>
                            </w:pPr>
                            <w:r>
                              <w:rPr>
                                <w:sz w:val="80"/>
                                <w:szCs w:val="8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83.3pt;margin-top:1.2pt;width:1in;height:4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" stroked="f">
                <v:textbox>
                  <w:txbxContent>
                    <w:p w14:paraId="79C32D9A" w14:textId="24237DF5" w:rsidR="00445A64" w:rsidRPr="000E5815" w:rsidRDefault="00C87877" w:rsidP="00445A64">
                      <w:pPr>
                        <w:pStyle w:val="tevilka"/>
                        <w:rPr>
                          <w:sz w:val="80"/>
                          <w:szCs w:val="80"/>
                        </w:rPr>
                      </w:pPr>
                      <w:r>
                        <w:rPr>
                          <w:sz w:val="80"/>
                          <w:szCs w:val="80"/>
                        </w:rPr>
                        <w:t>1</w:t>
                      </w:r>
                    </w:p>
                  </w:txbxContent>
                </v:textbox>
                <w10:wrap type="tight"/>
              </v:shape>
            </w:pict>
          </mc:Fallback>
        </mc:AlternateContent>
      </w:r>
      <w:r w:rsidR="009060A3">
        <mc:AlternateContent>
          <mc:Choice Requires="wps">
            <w:drawing>
              <wp:anchor distT="0" distB="0" distL="114300" distR="114300" simplePos="0" relativeHeight="251659264" behindDoc="0" locked="0" layoutInCell="1" allowOverlap="1" wp14:anchorId="4A5FC2D6" wp14:editId="1BF141E9">
                <wp:simplePos x="0" y="0"/>
                <wp:positionH relativeFrom="page">
                  <wp:posOffset>5715000</wp:posOffset>
                </wp:positionH>
                <wp:positionV relativeFrom="page">
                  <wp:posOffset>1082040</wp:posOffset>
                </wp:positionV>
                <wp:extent cx="10287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8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9FB12" id="Pravokotnik 18" o:spid="_x0000_s1026" alt="&quot;&quot;" style="position:absolute;margin-left:450pt;margin-top:85.2pt;width:81pt;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" filled="f" strokecolor="black [3213]" strokeweight="1pt">
                <w10:wrap anchorx="page" anchory="page"/>
              </v:rect>
            </w:pict>
          </mc:Fallback>
        </mc:AlternateContent>
      </w:r>
      <w:r w:rsidR="008F5DCA">
        <w:t>Župan</w:t>
      </w:r>
      <w:r w:rsidR="00A7398A">
        <w:t xml:space="preserve"> </w:t>
      </w:r>
      <w:r w:rsidR="00722FAC">
        <w:br/>
      </w:r>
      <w:r w:rsidR="002B08B0" w:rsidRPr="008802E3">
        <w:rPr>
          <w:b w:val="0"/>
          <w:bCs/>
        </w:rPr>
        <w:t>Trg Edvarda Kardelja 1, 5000 Nova Gorica</w:t>
      </w:r>
    </w:p>
    <w:p w14:paraId="77EDCABD" w14:textId="77777777" w:rsidR="0066085E" w:rsidRPr="0066085E" w:rsidRDefault="0066085E" w:rsidP="0066085E">
      <w:pPr>
        <w:pStyle w:val="Nazivenote"/>
      </w:pPr>
    </w:p>
    <w:p w14:paraId="5B6C62D8" w14:textId="0551813F" w:rsidR="0066085E" w:rsidRDefault="0066085E" w:rsidP="00BE5B70">
      <w:pPr>
        <w:pStyle w:val="stevilkadokumenta"/>
      </w:pPr>
      <w:r w:rsidRPr="00BE5B70">
        <w:rPr>
          <w:rStyle w:val="ZvezaZnak"/>
          <w:bCs/>
          <w:sz w:val="20"/>
          <w:u w:val="none"/>
        </w:rPr>
        <w:t xml:space="preserve">Številka: </w:t>
      </w:r>
      <w:r w:rsidR="00F543B5" w:rsidRPr="00F543B5">
        <w:rPr>
          <w:rStyle w:val="ZvezaZnak"/>
          <w:bCs/>
          <w:sz w:val="20"/>
          <w:u w:val="none"/>
        </w:rPr>
        <w:t>3511-0003/2026-</w:t>
      </w:r>
      <w:r w:rsidR="00352A82" w:rsidRPr="00BE5B70">
        <w:rPr>
          <w:rStyle w:val="ZvezaZnak"/>
          <w:bCs/>
          <w:sz w:val="20"/>
          <w:u w:val="none"/>
        </w:rPr>
        <w:br/>
      </w:r>
      <w:r w:rsidRPr="00BE5B70">
        <w:t>Nova Gorica</w:t>
      </w:r>
      <w:r w:rsidRPr="00BA4540">
        <w:t xml:space="preserve">, dne </w:t>
      </w:r>
      <w:r w:rsidR="00F543B5">
        <w:t>27</w:t>
      </w:r>
      <w:r w:rsidRPr="00BA4540">
        <w:t>.</w:t>
      </w:r>
      <w:r w:rsidR="00F543B5">
        <w:t xml:space="preserve"> februar</w:t>
      </w:r>
      <w:r w:rsidRPr="00BA4540">
        <w:t xml:space="preserve"> 202</w:t>
      </w:r>
      <w:r w:rsidR="00D14C9D">
        <w:t>6</w:t>
      </w:r>
    </w:p>
    <w:p w14:paraId="7731015D" w14:textId="77777777" w:rsidR="000807CE" w:rsidRPr="00BE5B70" w:rsidRDefault="000807CE" w:rsidP="00BE5B70">
      <w:pPr>
        <w:pStyle w:val="stevilkadokumenta"/>
        <w:rPr>
          <w:rStyle w:val="ZvezaZnak"/>
          <w:bCs/>
          <w:sz w:val="20"/>
          <w:u w:val="none"/>
        </w:rPr>
      </w:pPr>
    </w:p>
    <w:p w14:paraId="2D9E2EAD" w14:textId="28716D67" w:rsidR="000807CE" w:rsidRPr="009B227A" w:rsidRDefault="000807CE" w:rsidP="009B227A">
      <w:pPr>
        <w:pStyle w:val="gradivo"/>
        <w:spacing w:before="480" w:after="480"/>
        <w:rPr>
          <w:b/>
          <w:bCs w:val="0"/>
        </w:rPr>
      </w:pPr>
      <w:r w:rsidRPr="009B227A">
        <w:rPr>
          <w:b/>
          <w:bCs w:val="0"/>
        </w:rPr>
        <w:t>MESTNI SVET MESTNE OBČINE NOVA GORICA</w:t>
      </w:r>
    </w:p>
    <w:p w14:paraId="42663E32" w14:textId="2360245E" w:rsidR="008802E3" w:rsidRDefault="0066085E" w:rsidP="00FB7287">
      <w:pPr>
        <w:ind w:left="4395" w:hanging="3686"/>
      </w:pPr>
      <w:r w:rsidRPr="00FB7287">
        <w:rPr>
          <w:b/>
          <w:bCs w:val="0"/>
        </w:rPr>
        <w:t>ZADEVA</w:t>
      </w:r>
      <w:r>
        <w:t>:</w:t>
      </w:r>
      <w:r>
        <w:tab/>
      </w:r>
      <w:r w:rsidRPr="0066085E">
        <w:t xml:space="preserve">PREDLOG ZA OBRAVNAVO NA </w:t>
      </w:r>
      <w:r w:rsidR="00405039">
        <w:t xml:space="preserve">IZREDNI </w:t>
      </w:r>
      <w:r w:rsidRPr="0066085E">
        <w:t>SEJI MESTNEGA</w:t>
      </w:r>
      <w:r>
        <w:t xml:space="preserve"> </w:t>
      </w:r>
      <w:r w:rsidRPr="0066085E">
        <w:t>SVETA MESTNE OBČINE NOVA GORICA</w:t>
      </w:r>
    </w:p>
    <w:p w14:paraId="1D7223B1" w14:textId="0B92007B" w:rsidR="0066085E" w:rsidRDefault="0066085E" w:rsidP="009B227A">
      <w:pPr>
        <w:pStyle w:val="Naslov1"/>
        <w:spacing w:before="240" w:after="240"/>
        <w:ind w:left="4395" w:hanging="3686"/>
      </w:pPr>
      <w:r w:rsidRPr="00A9136F">
        <w:rPr>
          <w:sz w:val="20"/>
          <w:szCs w:val="20"/>
        </w:rPr>
        <w:t>NASLOV:</w:t>
      </w:r>
      <w:r>
        <w:tab/>
      </w:r>
      <w:r w:rsidR="00905FF8" w:rsidRPr="00981E48">
        <w:rPr>
          <w:sz w:val="20"/>
          <w:szCs w:val="20"/>
        </w:rPr>
        <w:t>Predlog</w:t>
      </w:r>
      <w:r w:rsidR="00905FF8">
        <w:t xml:space="preserve"> </w:t>
      </w:r>
      <w:r w:rsidR="008A260E">
        <w:rPr>
          <w:rStyle w:val="gradivoZnak"/>
          <w:rFonts w:eastAsiaTheme="majorEastAsia"/>
        </w:rPr>
        <w:t>Sklep</w:t>
      </w:r>
      <w:r w:rsidR="00905FF8">
        <w:rPr>
          <w:rStyle w:val="gradivoZnak"/>
          <w:rFonts w:eastAsiaTheme="majorEastAsia"/>
        </w:rPr>
        <w:t>a</w:t>
      </w:r>
      <w:r w:rsidR="008A260E">
        <w:rPr>
          <w:rStyle w:val="gradivoZnak"/>
          <w:rFonts w:eastAsiaTheme="majorEastAsia"/>
        </w:rPr>
        <w:t xml:space="preserve"> o </w:t>
      </w:r>
      <w:r w:rsidR="003654C6" w:rsidRPr="003654C6">
        <w:rPr>
          <w:rStyle w:val="gradivoZnak"/>
          <w:rFonts w:eastAsiaTheme="majorEastAsia"/>
        </w:rPr>
        <w:t>potrdi</w:t>
      </w:r>
      <w:r w:rsidR="003654C6">
        <w:rPr>
          <w:rStyle w:val="gradivoZnak"/>
          <w:rFonts w:eastAsiaTheme="majorEastAsia"/>
        </w:rPr>
        <w:t>tvi</w:t>
      </w:r>
      <w:r w:rsidR="003654C6" w:rsidRPr="003654C6">
        <w:rPr>
          <w:rStyle w:val="gradivoZnak"/>
          <w:rFonts w:eastAsiaTheme="majorEastAsia"/>
        </w:rPr>
        <w:t xml:space="preserve"> Dokument</w:t>
      </w:r>
      <w:r w:rsidR="00927DDB">
        <w:rPr>
          <w:rStyle w:val="gradivoZnak"/>
          <w:rFonts w:eastAsiaTheme="majorEastAsia"/>
        </w:rPr>
        <w:t>a</w:t>
      </w:r>
      <w:r w:rsidR="003654C6" w:rsidRPr="003654C6">
        <w:rPr>
          <w:rStyle w:val="gradivoZnak"/>
          <w:rFonts w:eastAsiaTheme="majorEastAsia"/>
        </w:rPr>
        <w:t xml:space="preserve"> identifikacije investicijskega projekta z naslovom »</w:t>
      </w:r>
      <w:r w:rsidR="004E76D9" w:rsidRPr="004E76D9">
        <w:rPr>
          <w:rStyle w:val="gradivoZnak"/>
          <w:rFonts w:eastAsiaTheme="majorEastAsia"/>
        </w:rPr>
        <w:t>PRENOVA TENIŠKEGA CENTRA NOVA GORICA</w:t>
      </w:r>
      <w:r w:rsidR="003654C6" w:rsidRPr="003654C6">
        <w:rPr>
          <w:rStyle w:val="gradivoZnak"/>
          <w:rFonts w:eastAsiaTheme="majorEastAsia"/>
        </w:rPr>
        <w:t>«</w:t>
      </w:r>
    </w:p>
    <w:p w14:paraId="4EB48263" w14:textId="11E8F648" w:rsidR="0066085E" w:rsidRDefault="0066085E" w:rsidP="000E5815">
      <w:pPr>
        <w:ind w:left="4395" w:hanging="3686"/>
        <w:jc w:val="left"/>
      </w:pPr>
      <w:r w:rsidRPr="00FB7287">
        <w:rPr>
          <w:b/>
          <w:bCs w:val="0"/>
        </w:rPr>
        <w:t>GRADIVO PRIPRAVIL</w:t>
      </w:r>
      <w:r>
        <w:t>:</w:t>
      </w:r>
      <w:r>
        <w:tab/>
      </w:r>
      <w:r w:rsidRPr="000E5815">
        <w:rPr>
          <w:rStyle w:val="gradivoZnak"/>
        </w:rPr>
        <w:t xml:space="preserve">Mestna občina Nova Gorica, </w:t>
      </w:r>
      <w:r w:rsidR="00621BC7">
        <w:rPr>
          <w:rStyle w:val="gradivoZnak"/>
        </w:rPr>
        <w:t xml:space="preserve">Urad direktorja, </w:t>
      </w:r>
      <w:r w:rsidR="00927DDB">
        <w:rPr>
          <w:rStyle w:val="gradivoZnak"/>
        </w:rPr>
        <w:t>Razvojna pisarna</w:t>
      </w:r>
    </w:p>
    <w:p w14:paraId="2589E91B" w14:textId="6238215D" w:rsidR="0066085E" w:rsidRDefault="0066085E" w:rsidP="00FB7287">
      <w:pPr>
        <w:ind w:left="4395" w:hanging="3686"/>
      </w:pPr>
      <w:r w:rsidRPr="00FB7287">
        <w:rPr>
          <w:b/>
          <w:bCs w:val="0"/>
        </w:rPr>
        <w:t>IZDELOVALEC GRADIVA:</w:t>
      </w:r>
      <w:r w:rsidR="00FB7287">
        <w:tab/>
      </w:r>
      <w:r w:rsidR="00202918" w:rsidRPr="00202918">
        <w:t>Martin Murovec, poslovno svetovanje s.p.</w:t>
      </w:r>
    </w:p>
    <w:p w14:paraId="11F58982" w14:textId="1C3D8403" w:rsidR="0066085E" w:rsidRPr="00FB7287" w:rsidRDefault="0066085E" w:rsidP="00FB7287">
      <w:pPr>
        <w:ind w:left="4395" w:hanging="3686"/>
        <w:rPr>
          <w:b/>
          <w:bCs w:val="0"/>
        </w:rPr>
      </w:pPr>
      <w:r w:rsidRPr="00FB7287">
        <w:rPr>
          <w:b/>
          <w:bCs w:val="0"/>
        </w:rPr>
        <w:t>POROČEVALEC:</w:t>
      </w:r>
      <w:r w:rsidR="00FB7287" w:rsidRPr="00FB7287">
        <w:t xml:space="preserve"> </w:t>
      </w:r>
      <w:r w:rsidR="00FB7287">
        <w:tab/>
      </w:r>
      <w:r w:rsidR="00927DDB">
        <w:t>Marko Mikulin, Vodja razvojne pisarne</w:t>
      </w:r>
    </w:p>
    <w:p w14:paraId="75A8D632" w14:textId="7863AA3F" w:rsidR="0066085E" w:rsidRDefault="0066085E" w:rsidP="00FB7287">
      <w:pPr>
        <w:ind w:left="4395" w:hanging="3686"/>
      </w:pPr>
      <w:r w:rsidRPr="00FB7287">
        <w:rPr>
          <w:b/>
          <w:bCs w:val="0"/>
        </w:rPr>
        <w:t xml:space="preserve">PRISTOJNO DELOVNO </w:t>
      </w:r>
      <w:r w:rsidR="00500E47">
        <w:rPr>
          <w:b/>
          <w:bCs w:val="0"/>
        </w:rPr>
        <w:t>TELO</w:t>
      </w:r>
      <w:r>
        <w:t xml:space="preserve">: </w:t>
      </w:r>
      <w:r>
        <w:tab/>
      </w:r>
      <w:r w:rsidR="001048DD">
        <w:t xml:space="preserve">Odbor za </w:t>
      </w:r>
      <w:r w:rsidR="006F76C7">
        <w:t>prostor</w:t>
      </w:r>
      <w:r w:rsidR="001048DD">
        <w:t xml:space="preserve"> </w:t>
      </w:r>
    </w:p>
    <w:p w14:paraId="4C9319DA" w14:textId="7B5A35DC" w:rsidR="0066085E" w:rsidRPr="00FB7287" w:rsidRDefault="0066085E" w:rsidP="00352A82">
      <w:pPr>
        <w:rPr>
          <w:b/>
          <w:bCs w:val="0"/>
        </w:rPr>
      </w:pPr>
      <w:r w:rsidRPr="00FB7287">
        <w:rPr>
          <w:b/>
          <w:bCs w:val="0"/>
        </w:rPr>
        <w:t xml:space="preserve">PREDLOG SKLEPA: </w:t>
      </w:r>
    </w:p>
    <w:p w14:paraId="7498FDF2" w14:textId="1CEE41A1" w:rsidR="000B0305" w:rsidRDefault="00FB7287" w:rsidP="00500E47">
      <w:pPr>
        <w:jc w:val="left"/>
      </w:pPr>
      <w:r w:rsidRPr="0008026B">
        <w:t xml:space="preserve">Mestni svet Mestne občine Nova Gorica sprejme </w:t>
      </w:r>
      <w:r w:rsidR="00BA2DD2" w:rsidRPr="00BA2DD2">
        <w:t>Sklep o potrditvi Dokumenta identifikacije investicijskega projekta z naslovom »</w:t>
      </w:r>
      <w:r w:rsidR="00202918" w:rsidRPr="00202918">
        <w:t>PRENOVA TENIŠKEGA CENTRA NOVA GORICA</w:t>
      </w:r>
      <w:r w:rsidR="00BA2DD2" w:rsidRPr="00BA2DD2">
        <w:t>«</w:t>
      </w:r>
      <w:r w:rsidR="00641183">
        <w:t>.</w:t>
      </w: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14:paraId="0FF38549" w14:textId="77777777" w:rsidTr="00FB7287">
        <w:tc>
          <w:tcPr>
            <w:tcW w:w="3549" w:type="dxa"/>
          </w:tcPr>
          <w:p w14:paraId="1D1D813B" w14:textId="77777777" w:rsidR="00FB7287" w:rsidRPr="00E639CC" w:rsidRDefault="00FB7287" w:rsidP="00C818D4">
            <w:pPr>
              <w:pStyle w:val="Podpisoseba"/>
              <w:spacing w:before="0" w:after="0"/>
              <w:rPr>
                <w:b/>
                <w:color w:val="FFFFFF" w:themeColor="background1"/>
              </w:rPr>
            </w:pPr>
            <w:bookmarkStart w:id="0" w:name="_Hlk195615944"/>
            <w:r w:rsidRPr="00E639CC">
              <w:rPr>
                <w:b/>
                <w:color w:val="FFFFFF" w:themeColor="background1"/>
              </w:rPr>
              <w:t>Desnik podpisnik</w:t>
            </w:r>
          </w:p>
        </w:tc>
      </w:tr>
      <w:tr w:rsidR="00FB7287" w14:paraId="6D021AA2" w14:textId="77777777" w:rsidTr="00FB7287">
        <w:tc>
          <w:tcPr>
            <w:tcW w:w="3549" w:type="dxa"/>
          </w:tcPr>
          <w:p w14:paraId="7F514CF4" w14:textId="77777777" w:rsidR="00FB7287" w:rsidRPr="00E639CC" w:rsidRDefault="00FB7287" w:rsidP="00C818D4">
            <w:pPr>
              <w:pStyle w:val="Podpisoseba"/>
              <w:spacing w:before="0" w:after="0"/>
              <w:rPr>
                <w:bCs w:val="0"/>
              </w:rPr>
            </w:pPr>
            <w:r w:rsidRPr="00E639CC">
              <w:rPr>
                <w:b/>
              </w:rPr>
              <w:t>Samo Turel</w:t>
            </w:r>
          </w:p>
        </w:tc>
      </w:tr>
      <w:tr w:rsidR="00FB7287" w14:paraId="1EDB9A6B" w14:textId="77777777" w:rsidTr="00FB7287">
        <w:trPr>
          <w:trHeight w:val="530"/>
        </w:trPr>
        <w:tc>
          <w:tcPr>
            <w:tcW w:w="3549" w:type="dxa"/>
          </w:tcPr>
          <w:p w14:paraId="07F6B71D" w14:textId="3F71DA73" w:rsidR="00FB7287" w:rsidRPr="00E639CC" w:rsidRDefault="00500E47" w:rsidP="00C818D4">
            <w:pPr>
              <w:pStyle w:val="Podpisoseba"/>
              <w:spacing w:before="0" w:after="0"/>
              <w:rPr>
                <w:bCs w:val="0"/>
              </w:rPr>
            </w:pPr>
            <w:r>
              <w:t>Ž</w:t>
            </w:r>
            <w:r w:rsidR="00FB7287" w:rsidRPr="00E639CC">
              <w:t>upan</w:t>
            </w:r>
          </w:p>
        </w:tc>
      </w:tr>
      <w:bookmarkEnd w:id="0"/>
    </w:tbl>
    <w:p w14:paraId="1C622A9D" w14:textId="77777777" w:rsidR="00EF71F7" w:rsidRDefault="00EF71F7" w:rsidP="00774DD1">
      <w:pPr>
        <w:pStyle w:val="gradivo"/>
      </w:pPr>
    </w:p>
    <w:p w14:paraId="466F58E3" w14:textId="77777777" w:rsidR="003F25A7" w:rsidRDefault="003F25A7" w:rsidP="00774DD1">
      <w:pPr>
        <w:pStyle w:val="gradivo"/>
      </w:pPr>
    </w:p>
    <w:p w14:paraId="1996DE96" w14:textId="77777777" w:rsidR="003F25A7" w:rsidRDefault="003F25A7" w:rsidP="00774DD1">
      <w:pPr>
        <w:pStyle w:val="gradivo"/>
      </w:pPr>
    </w:p>
    <w:p w14:paraId="4FA4CD5A" w14:textId="77777777" w:rsidR="003F25A7" w:rsidRDefault="003F25A7" w:rsidP="00774DD1">
      <w:pPr>
        <w:pStyle w:val="gradivo"/>
      </w:pPr>
    </w:p>
    <w:p w14:paraId="06C98331" w14:textId="77777777" w:rsidR="003F25A7" w:rsidRDefault="003F25A7" w:rsidP="00774DD1">
      <w:pPr>
        <w:pStyle w:val="gradivo"/>
      </w:pPr>
    </w:p>
    <w:p w14:paraId="40555056" w14:textId="77777777" w:rsidR="003F25A7" w:rsidRDefault="003F25A7" w:rsidP="00774DD1">
      <w:pPr>
        <w:pStyle w:val="gradivo"/>
      </w:pPr>
    </w:p>
    <w:p w14:paraId="68C5A791" w14:textId="77777777" w:rsidR="003F25A7" w:rsidRDefault="003F25A7" w:rsidP="001E77FC">
      <w:pPr>
        <w:pStyle w:val="gradivo"/>
        <w:ind w:left="0"/>
      </w:pPr>
    </w:p>
    <w:p w14:paraId="1C6841A1" w14:textId="3400C3BE" w:rsidR="0005678C" w:rsidRPr="00774DD1" w:rsidRDefault="0066085E" w:rsidP="00774DD1">
      <w:pPr>
        <w:pStyle w:val="gradivo"/>
      </w:pPr>
      <w:r w:rsidRPr="00774DD1">
        <w:t>Gradivo</w:t>
      </w:r>
      <w:r w:rsidR="00F12361" w:rsidRPr="00774DD1">
        <w:t>:</w:t>
      </w:r>
    </w:p>
    <w:p w14:paraId="08ABD712" w14:textId="6010AFF9" w:rsidR="00774DD1" w:rsidRDefault="0031431D" w:rsidP="00774DD1">
      <w:pPr>
        <w:pStyle w:val="gradivo"/>
        <w:numPr>
          <w:ilvl w:val="0"/>
          <w:numId w:val="10"/>
        </w:numPr>
      </w:pPr>
      <w:r>
        <w:t>P</w:t>
      </w:r>
      <w:r w:rsidR="0066085E" w:rsidRPr="00774DD1">
        <w:t>redlog sklepa</w:t>
      </w:r>
      <w:r w:rsidR="00386692">
        <w:t xml:space="preserve"> z obrazložitvijo</w:t>
      </w:r>
    </w:p>
    <w:p w14:paraId="04F52CE1" w14:textId="4239158B" w:rsidR="00CC7B54" w:rsidRDefault="00CC7B54" w:rsidP="00774DD1">
      <w:pPr>
        <w:pStyle w:val="gradivo"/>
        <w:numPr>
          <w:ilvl w:val="0"/>
          <w:numId w:val="10"/>
        </w:numPr>
      </w:pPr>
      <w:r w:rsidRPr="00CC7B54">
        <w:t>Dokument identifikacije investicijskega projekta »</w:t>
      </w:r>
      <w:r w:rsidR="00250402" w:rsidRPr="00250402">
        <w:t>PRENOVA TENIŠKEGA CENTRA NOVA GORICA</w:t>
      </w:r>
      <w:r w:rsidRPr="00CC7B54">
        <w:t xml:space="preserve">«, </w:t>
      </w:r>
      <w:r w:rsidR="00480E60" w:rsidRPr="00480E60">
        <w:t>februar 2026</w:t>
      </w:r>
      <w:r w:rsidRPr="00CC7B54">
        <w:t>.</w:t>
      </w:r>
    </w:p>
    <w:p w14:paraId="29F8F0D4" w14:textId="77777777" w:rsidR="001C491B" w:rsidRPr="001C491B" w:rsidRDefault="001C491B" w:rsidP="00352A82">
      <w:pPr>
        <w:sectPr w:rsidR="001C491B" w:rsidRPr="001C491B" w:rsidSect="00E217AD">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1304" w:footer="454" w:gutter="0"/>
          <w:cols w:space="708"/>
          <w:titlePg/>
          <w:docGrid w:linePitch="360"/>
        </w:sectPr>
      </w:pPr>
    </w:p>
    <w:p w14:paraId="68735223" w14:textId="604A0C83" w:rsidR="0066085E" w:rsidRPr="00355F3A" w:rsidRDefault="000E5815" w:rsidP="00355F3A">
      <w:pPr>
        <w:pStyle w:val="Nazivenote"/>
        <w:rPr>
          <w:b w:val="0"/>
          <w:bCs/>
        </w:rPr>
      </w:pPr>
      <w:r w:rsidRPr="000E5815">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0E5815">
        <mc:AlternateContent>
          <mc:Choice Requires="wps">
            <w:drawing>
              <wp:anchor distT="0" distB="0" distL="114300" distR="114300" simplePos="0" relativeHeight="251663360" behindDoc="0" locked="0" layoutInCell="1" allowOverlap="1" wp14:anchorId="1F923174" wp14:editId="6413CD89">
                <wp:simplePos x="0" y="0"/>
                <wp:positionH relativeFrom="page">
                  <wp:posOffset>5080000</wp:posOffset>
                </wp:positionH>
                <wp:positionV relativeFrom="page">
                  <wp:posOffset>965200</wp:posOffset>
                </wp:positionV>
                <wp:extent cx="1663700" cy="914400"/>
                <wp:effectExtent l="0" t="0" r="12700" b="19050"/>
                <wp:wrapNone/>
                <wp:docPr id="21" name="Pravokotnik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54048" id="Pravokotnik 21" o:spid="_x0000_s1026" alt="&quot;&quot;"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t>Mestni Svet</w:t>
      </w:r>
      <w:r w:rsidR="00731380">
        <w:br/>
      </w:r>
      <w:r w:rsidR="00731380" w:rsidRPr="008802E3">
        <w:rPr>
          <w:b w:val="0"/>
          <w:bCs/>
        </w:rPr>
        <w:t>Trg Edvarda Kardelja 1, 5000 Nova Gorica</w:t>
      </w:r>
    </w:p>
    <w:p w14:paraId="4DA58669" w14:textId="77777777" w:rsidR="000E5815" w:rsidRDefault="000E5815" w:rsidP="00BE5B70"/>
    <w:p w14:paraId="73D90EF3" w14:textId="77777777" w:rsidR="006E4CCD" w:rsidRDefault="006E4CCD" w:rsidP="006E4CCD">
      <w:pPr>
        <w:pStyle w:val="Default"/>
      </w:pPr>
    </w:p>
    <w:p w14:paraId="66A73987" w14:textId="0A69734E" w:rsidR="006E4CCD" w:rsidRDefault="00DD6E2C" w:rsidP="00776009">
      <w:pPr>
        <w:jc w:val="left"/>
      </w:pPr>
      <w:r w:rsidRPr="00DD6E2C">
        <w:t xml:space="preserve">Na podlagi drugega odstavka 18. člena Uredbe o enotni metodologiji za pripravo in obravnavo investicijske dokumentacije na področju javnih financ (Uradni list RS, št. 60/06, 54/10, 27/16) </w:t>
      </w:r>
      <w:r w:rsidR="006E4CCD" w:rsidRPr="006E4CCD">
        <w:t xml:space="preserve">ter 19. člena Statuta Mestne občine Nova Gorica (Uradni list Republike Slovenije, št. 13/12, 18/17, 18/19) je mestni svet Mestne občine Nova Gorica na </w:t>
      </w:r>
      <w:r w:rsidR="006E4CCD" w:rsidRPr="00090D2C">
        <w:t>seji</w:t>
      </w:r>
      <w:r w:rsidR="00090D2C" w:rsidRPr="00090D2C">
        <w:t xml:space="preserve"> </w:t>
      </w:r>
      <w:r w:rsidR="006E4CCD" w:rsidRPr="00090D2C">
        <w:t xml:space="preserve">dne </w:t>
      </w:r>
      <w:r w:rsidR="00321519">
        <w:t>_____________________</w:t>
      </w:r>
      <w:r w:rsidR="006E4CCD" w:rsidRPr="006E4CCD">
        <w:t xml:space="preserve"> sprejel naslednji</w:t>
      </w:r>
    </w:p>
    <w:p w14:paraId="2E81D1B7" w14:textId="77777777" w:rsidR="00AE720F" w:rsidRPr="00AE720F" w:rsidRDefault="00AE720F" w:rsidP="00396C37">
      <w:pPr>
        <w:pStyle w:val="Naslov1"/>
        <w:spacing w:after="0"/>
        <w:jc w:val="center"/>
      </w:pPr>
      <w:r>
        <w:t xml:space="preserve"> </w:t>
      </w:r>
      <w:r w:rsidRPr="00AE720F">
        <w:t xml:space="preserve">S K L E P </w:t>
      </w:r>
    </w:p>
    <w:p w14:paraId="4344814E" w14:textId="6E7455B1" w:rsidR="00AE720F" w:rsidRPr="00AE720F" w:rsidRDefault="00CF6A8D" w:rsidP="00396C37">
      <w:pPr>
        <w:pStyle w:val="Naslov1"/>
        <w:spacing w:before="0"/>
        <w:jc w:val="center"/>
      </w:pPr>
      <w:r>
        <w:t>o p</w:t>
      </w:r>
      <w:r w:rsidRPr="00CF6A8D">
        <w:t>otrdi</w:t>
      </w:r>
      <w:r w:rsidR="00D23609">
        <w:t xml:space="preserve">tvi </w:t>
      </w:r>
      <w:r w:rsidRPr="00CF6A8D">
        <w:t>Dokument</w:t>
      </w:r>
      <w:r w:rsidR="00D23609">
        <w:t>a</w:t>
      </w:r>
      <w:r w:rsidRPr="00CF6A8D">
        <w:t xml:space="preserve"> identifikacije investicijskega projekta z naslovom »</w:t>
      </w:r>
      <w:r w:rsidR="00480E60" w:rsidRPr="00480E60">
        <w:t>PRENOVA TENIŠKEGA CENTRA NOVA GORICA</w:t>
      </w:r>
      <w:r w:rsidRPr="00CF6A8D">
        <w:t>«</w:t>
      </w:r>
    </w:p>
    <w:p w14:paraId="3FC35327" w14:textId="77777777" w:rsidR="00CF6A8D" w:rsidRPr="00CF6A8D" w:rsidRDefault="00CF6A8D" w:rsidP="00CF6A8D">
      <w:pPr>
        <w:spacing w:after="0" w:line="240" w:lineRule="auto"/>
        <w:ind w:left="284" w:right="0"/>
        <w:jc w:val="center"/>
        <w:rPr>
          <w:rFonts w:eastAsia="Calibri"/>
          <w:bCs w:val="0"/>
          <w:noProof w:val="0"/>
          <w:lang w:eastAsia="en-US"/>
        </w:rPr>
      </w:pPr>
      <w:r w:rsidRPr="00CF6A8D">
        <w:rPr>
          <w:rFonts w:eastAsia="Calibri"/>
          <w:bCs w:val="0"/>
          <w:noProof w:val="0"/>
          <w:lang w:eastAsia="en-US"/>
        </w:rPr>
        <w:t>1.</w:t>
      </w:r>
    </w:p>
    <w:p w14:paraId="4359DF60" w14:textId="77777777" w:rsidR="00CF6A8D" w:rsidRDefault="00CF6A8D" w:rsidP="00CF6A8D">
      <w:pPr>
        <w:spacing w:after="0" w:line="240" w:lineRule="auto"/>
        <w:ind w:left="284" w:right="0"/>
        <w:rPr>
          <w:rFonts w:eastAsia="Calibri"/>
          <w:noProof w:val="0"/>
          <w:lang w:eastAsia="en-US"/>
        </w:rPr>
      </w:pPr>
    </w:p>
    <w:p w14:paraId="69DB4867" w14:textId="552996B4" w:rsidR="00CF6A8D" w:rsidRDefault="00CF6A8D" w:rsidP="00293DBF">
      <w:pPr>
        <w:spacing w:after="0" w:line="264" w:lineRule="auto"/>
        <w:ind w:left="708" w:right="0"/>
        <w:jc w:val="left"/>
        <w:rPr>
          <w:rFonts w:eastAsia="Calibri"/>
          <w:noProof w:val="0"/>
          <w:lang w:eastAsia="en-US"/>
        </w:rPr>
      </w:pPr>
      <w:r>
        <w:rPr>
          <w:rFonts w:eastAsia="Calibri"/>
          <w:noProof w:val="0"/>
          <w:lang w:eastAsia="en-US"/>
        </w:rPr>
        <w:t>Potrdi se Dokument identifikacije investicijskega projekta z naslovom »</w:t>
      </w:r>
      <w:r w:rsidR="00480E60" w:rsidRPr="00480E60">
        <w:rPr>
          <w:rFonts w:eastAsia="Calibri"/>
          <w:noProof w:val="0"/>
          <w:lang w:eastAsia="en-US"/>
        </w:rPr>
        <w:t>PRENOVA TENIŠKEGA CENTRA NOVA GORICA</w:t>
      </w:r>
      <w:r>
        <w:rPr>
          <w:rFonts w:eastAsia="Calibri"/>
          <w:noProof w:val="0"/>
          <w:lang w:eastAsia="en-US"/>
        </w:rPr>
        <w:t xml:space="preserve">«, ki ga je izdelal </w:t>
      </w:r>
      <w:r w:rsidR="00293DBF" w:rsidRPr="00293DBF">
        <w:rPr>
          <w:rFonts w:eastAsia="Calibri"/>
          <w:noProof w:val="0"/>
          <w:lang w:eastAsia="en-US"/>
        </w:rPr>
        <w:t xml:space="preserve">Martin Murovec, poslovno svetovanje </w:t>
      </w:r>
      <w:proofErr w:type="spellStart"/>
      <w:r w:rsidR="00293DBF" w:rsidRPr="00293DBF">
        <w:rPr>
          <w:rFonts w:eastAsia="Calibri"/>
          <w:noProof w:val="0"/>
          <w:lang w:eastAsia="en-US"/>
        </w:rPr>
        <w:t>s.p</w:t>
      </w:r>
      <w:proofErr w:type="spellEnd"/>
      <w:r w:rsidR="00293DBF" w:rsidRPr="00293DBF">
        <w:rPr>
          <w:rFonts w:eastAsia="Calibri"/>
          <w:noProof w:val="0"/>
          <w:lang w:eastAsia="en-US"/>
        </w:rPr>
        <w:t>.</w:t>
      </w:r>
      <w:r w:rsidR="00293DBF">
        <w:rPr>
          <w:rFonts w:eastAsia="Calibri"/>
          <w:noProof w:val="0"/>
          <w:lang w:eastAsia="en-US"/>
        </w:rPr>
        <w:t xml:space="preserve">, </w:t>
      </w:r>
      <w:r w:rsidR="00293DBF" w:rsidRPr="00293DBF">
        <w:rPr>
          <w:rFonts w:eastAsia="Calibri"/>
          <w:noProof w:val="0"/>
          <w:lang w:eastAsia="en-US"/>
        </w:rPr>
        <w:t>Ulica Gradnikove brigade 61</w:t>
      </w:r>
      <w:r w:rsidR="00293DBF">
        <w:rPr>
          <w:rFonts w:eastAsia="Calibri"/>
          <w:noProof w:val="0"/>
          <w:lang w:eastAsia="en-US"/>
        </w:rPr>
        <w:t xml:space="preserve">, </w:t>
      </w:r>
      <w:r w:rsidR="00293DBF" w:rsidRPr="00293DBF">
        <w:rPr>
          <w:rFonts w:eastAsia="Calibri"/>
          <w:noProof w:val="0"/>
          <w:lang w:eastAsia="en-US"/>
        </w:rPr>
        <w:t>5000 Nova Gorica</w:t>
      </w:r>
      <w:r>
        <w:rPr>
          <w:bCs w:val="0"/>
          <w:noProof w:val="0"/>
        </w:rPr>
        <w:t xml:space="preserve">, </w:t>
      </w:r>
      <w:r w:rsidR="00293DBF">
        <w:rPr>
          <w:rFonts w:eastAsia="Calibri"/>
          <w:noProof w:val="0"/>
          <w:lang w:eastAsia="en-US"/>
        </w:rPr>
        <w:t>februar</w:t>
      </w:r>
      <w:r>
        <w:rPr>
          <w:rFonts w:eastAsia="Calibri"/>
          <w:noProof w:val="0"/>
          <w:lang w:eastAsia="en-US"/>
        </w:rPr>
        <w:t xml:space="preserve"> 202</w:t>
      </w:r>
      <w:r w:rsidR="00293DBF">
        <w:rPr>
          <w:rFonts w:eastAsia="Calibri"/>
          <w:noProof w:val="0"/>
          <w:lang w:eastAsia="en-US"/>
        </w:rPr>
        <w:t>6</w:t>
      </w:r>
      <w:r>
        <w:rPr>
          <w:rFonts w:eastAsia="Calibri"/>
          <w:noProof w:val="0"/>
          <w:lang w:eastAsia="en-US"/>
        </w:rPr>
        <w:t>.</w:t>
      </w:r>
    </w:p>
    <w:p w14:paraId="1C759227" w14:textId="7BC72010" w:rsidR="00CF6A8D" w:rsidRDefault="00293DBF" w:rsidP="00CF6A8D">
      <w:pPr>
        <w:spacing w:after="0" w:line="240" w:lineRule="auto"/>
        <w:ind w:left="284" w:right="0"/>
        <w:rPr>
          <w:rFonts w:eastAsia="Calibri"/>
          <w:noProof w:val="0"/>
          <w:lang w:eastAsia="en-US"/>
        </w:rPr>
      </w:pPr>
      <w:r>
        <w:rPr>
          <w:rFonts w:eastAsia="Calibri"/>
          <w:noProof w:val="0"/>
          <w:lang w:eastAsia="en-US"/>
        </w:rPr>
        <w:tab/>
      </w:r>
    </w:p>
    <w:p w14:paraId="6574A9DF" w14:textId="77777777" w:rsidR="00CF6A8D" w:rsidRPr="00CF6A8D" w:rsidRDefault="00CF6A8D" w:rsidP="00CF6A8D">
      <w:pPr>
        <w:tabs>
          <w:tab w:val="left" w:pos="3780"/>
          <w:tab w:val="left" w:pos="3960"/>
        </w:tabs>
        <w:spacing w:after="0" w:line="240" w:lineRule="auto"/>
        <w:ind w:left="284" w:right="0"/>
        <w:jc w:val="center"/>
        <w:rPr>
          <w:rFonts w:eastAsia="Calibri"/>
          <w:bCs w:val="0"/>
          <w:noProof w:val="0"/>
          <w:lang w:eastAsia="en-US"/>
        </w:rPr>
      </w:pPr>
      <w:r w:rsidRPr="00CF6A8D">
        <w:rPr>
          <w:rFonts w:eastAsia="Calibri"/>
          <w:bCs w:val="0"/>
          <w:noProof w:val="0"/>
          <w:lang w:eastAsia="en-US"/>
        </w:rPr>
        <w:t>2.</w:t>
      </w:r>
    </w:p>
    <w:p w14:paraId="47A5C9B2" w14:textId="77777777" w:rsidR="00CF6A8D" w:rsidRDefault="00CF6A8D" w:rsidP="00CF6A8D">
      <w:pPr>
        <w:tabs>
          <w:tab w:val="left" w:pos="3780"/>
          <w:tab w:val="left" w:pos="3960"/>
        </w:tabs>
        <w:spacing w:after="0" w:line="240" w:lineRule="auto"/>
        <w:ind w:left="284" w:right="0"/>
        <w:jc w:val="center"/>
        <w:rPr>
          <w:rFonts w:eastAsia="Calibri"/>
          <w:b/>
          <w:noProof w:val="0"/>
          <w:lang w:eastAsia="en-US"/>
        </w:rPr>
      </w:pPr>
    </w:p>
    <w:p w14:paraId="3E378AE7" w14:textId="3931A86F" w:rsidR="00CF6A8D" w:rsidRDefault="00CF6A8D" w:rsidP="0023060D">
      <w:pPr>
        <w:spacing w:after="0" w:line="240" w:lineRule="auto"/>
        <w:ind w:left="708" w:right="0"/>
        <w:jc w:val="left"/>
        <w:rPr>
          <w:rFonts w:eastAsia="Calibri"/>
          <w:noProof w:val="0"/>
          <w:lang w:eastAsia="en-US"/>
        </w:rPr>
      </w:pPr>
      <w:r>
        <w:rPr>
          <w:rFonts w:eastAsia="Calibri"/>
          <w:noProof w:val="0"/>
        </w:rPr>
        <w:t xml:space="preserve">Vrednost projekta znaša </w:t>
      </w:r>
      <w:r w:rsidR="00E257A7" w:rsidRPr="00E257A7">
        <w:rPr>
          <w:rFonts w:cstheme="majorHAnsi"/>
          <w:color w:val="000000"/>
        </w:rPr>
        <w:t xml:space="preserve">1.003.836,03 </w:t>
      </w:r>
      <w:r>
        <w:rPr>
          <w:rFonts w:eastAsia="Calibri"/>
          <w:noProof w:val="0"/>
        </w:rPr>
        <w:t>EUR z DDV in se bo izvajal, skladno s časovnim načrtom, od sprejema tega sklepa do 31.</w:t>
      </w:r>
      <w:r w:rsidR="00C87877">
        <w:rPr>
          <w:rFonts w:eastAsia="Calibri"/>
          <w:noProof w:val="0"/>
        </w:rPr>
        <w:t xml:space="preserve"> </w:t>
      </w:r>
      <w:r>
        <w:rPr>
          <w:rFonts w:eastAsia="Calibri"/>
          <w:noProof w:val="0"/>
        </w:rPr>
        <w:t>12.</w:t>
      </w:r>
      <w:r w:rsidR="00C87877">
        <w:rPr>
          <w:rFonts w:eastAsia="Calibri"/>
          <w:noProof w:val="0"/>
        </w:rPr>
        <w:t xml:space="preserve"> </w:t>
      </w:r>
      <w:r>
        <w:rPr>
          <w:rFonts w:eastAsia="Calibri"/>
          <w:noProof w:val="0"/>
        </w:rPr>
        <w:t>202</w:t>
      </w:r>
      <w:r w:rsidR="00DE25A0">
        <w:rPr>
          <w:rFonts w:eastAsia="Calibri"/>
          <w:noProof w:val="0"/>
        </w:rPr>
        <w:t>7</w:t>
      </w:r>
      <w:r>
        <w:rPr>
          <w:rFonts w:eastAsia="Calibri"/>
          <w:noProof w:val="0"/>
        </w:rPr>
        <w:t>.</w:t>
      </w:r>
    </w:p>
    <w:p w14:paraId="73D8A691" w14:textId="77777777" w:rsidR="00CF6A8D" w:rsidRDefault="00CF6A8D" w:rsidP="00CF6A8D">
      <w:pPr>
        <w:tabs>
          <w:tab w:val="left" w:pos="1950"/>
        </w:tabs>
        <w:spacing w:after="0" w:line="240" w:lineRule="auto"/>
        <w:ind w:left="284" w:right="0"/>
        <w:rPr>
          <w:rFonts w:eastAsia="Calibri"/>
          <w:noProof w:val="0"/>
        </w:rPr>
      </w:pPr>
    </w:p>
    <w:p w14:paraId="597B0308" w14:textId="77777777" w:rsidR="00CF6A8D" w:rsidRPr="00CF6A8D" w:rsidRDefault="00CF6A8D" w:rsidP="00CF6A8D">
      <w:pPr>
        <w:spacing w:after="0" w:line="240" w:lineRule="auto"/>
        <w:ind w:left="284" w:right="0"/>
        <w:jc w:val="center"/>
        <w:rPr>
          <w:rFonts w:eastAsia="Calibri"/>
          <w:noProof w:val="0"/>
          <w:lang w:eastAsia="en-US"/>
        </w:rPr>
      </w:pPr>
      <w:r w:rsidRPr="00CF6A8D">
        <w:rPr>
          <w:rFonts w:eastAsia="Calibri"/>
          <w:noProof w:val="0"/>
          <w:lang w:eastAsia="en-US"/>
        </w:rPr>
        <w:t>3.</w:t>
      </w:r>
    </w:p>
    <w:p w14:paraId="5F303B92" w14:textId="77777777" w:rsidR="00CF6A8D" w:rsidRDefault="00CF6A8D" w:rsidP="00CF6A8D">
      <w:pPr>
        <w:spacing w:after="0" w:line="240" w:lineRule="auto"/>
        <w:ind w:left="284" w:right="0"/>
        <w:rPr>
          <w:rFonts w:eastAsia="Calibri"/>
          <w:bCs w:val="0"/>
          <w:noProof w:val="0"/>
          <w:lang w:eastAsia="en-US"/>
        </w:rPr>
      </w:pPr>
    </w:p>
    <w:p w14:paraId="586A3EEF" w14:textId="0DB17D17" w:rsidR="00CF6A8D" w:rsidRDefault="00CF6A8D" w:rsidP="0023060D">
      <w:pPr>
        <w:spacing w:after="0" w:line="240" w:lineRule="auto"/>
        <w:ind w:left="708" w:right="0"/>
        <w:jc w:val="left"/>
        <w:rPr>
          <w:rFonts w:eastAsia="Calibri"/>
          <w:noProof w:val="0"/>
          <w:lang w:eastAsia="en-US"/>
        </w:rPr>
      </w:pPr>
      <w:r>
        <w:rPr>
          <w:rFonts w:eastAsia="Calibri"/>
          <w:noProof w:val="0"/>
          <w:lang w:eastAsia="en-US"/>
        </w:rPr>
        <w:t>S sprejemom tega sklepa se projekt »</w:t>
      </w:r>
      <w:r w:rsidR="00E257A7" w:rsidRPr="00E257A7">
        <w:rPr>
          <w:rFonts w:eastAsia="Calibri"/>
          <w:noProof w:val="0"/>
          <w:lang w:eastAsia="en-US"/>
        </w:rPr>
        <w:t>PRENOVA TENIŠKEGA CENTRA NOVA GORICA</w:t>
      </w:r>
      <w:r>
        <w:rPr>
          <w:rFonts w:eastAsia="Calibri"/>
          <w:noProof w:val="0"/>
          <w:lang w:eastAsia="en-US"/>
        </w:rPr>
        <w:t>«, uvrsti v Načrt razvojnih programov Mestne občine Nova Gorica za obdobje od 2026 do 202</w:t>
      </w:r>
      <w:r w:rsidR="00F543B5">
        <w:rPr>
          <w:rFonts w:eastAsia="Calibri"/>
          <w:noProof w:val="0"/>
          <w:lang w:eastAsia="en-US"/>
        </w:rPr>
        <w:t>7</w:t>
      </w:r>
      <w:r>
        <w:rPr>
          <w:rFonts w:eastAsia="Calibri"/>
          <w:noProof w:val="0"/>
          <w:lang w:eastAsia="en-US"/>
        </w:rPr>
        <w:t>.</w:t>
      </w:r>
    </w:p>
    <w:p w14:paraId="7EFD2A11" w14:textId="77777777" w:rsidR="00CF6A8D" w:rsidRDefault="00CF6A8D" w:rsidP="00CF6A8D">
      <w:pPr>
        <w:spacing w:after="0" w:line="240" w:lineRule="auto"/>
        <w:ind w:left="284" w:right="0"/>
        <w:rPr>
          <w:rFonts w:eastAsia="Calibri"/>
          <w:noProof w:val="0"/>
          <w:lang w:eastAsia="en-US"/>
        </w:rPr>
      </w:pPr>
    </w:p>
    <w:p w14:paraId="5143C6CF" w14:textId="77777777" w:rsidR="00CF6A8D" w:rsidRPr="00CF6A8D" w:rsidRDefault="00CF6A8D" w:rsidP="00CF6A8D">
      <w:pPr>
        <w:spacing w:after="0" w:line="240" w:lineRule="auto"/>
        <w:ind w:left="284" w:right="0"/>
        <w:jc w:val="center"/>
        <w:rPr>
          <w:rFonts w:eastAsia="Calibri"/>
          <w:noProof w:val="0"/>
          <w:lang w:eastAsia="en-US"/>
        </w:rPr>
      </w:pPr>
      <w:r w:rsidRPr="00CF6A8D">
        <w:rPr>
          <w:rFonts w:eastAsia="Calibri"/>
          <w:noProof w:val="0"/>
          <w:lang w:eastAsia="en-US"/>
        </w:rPr>
        <w:t xml:space="preserve">4. </w:t>
      </w:r>
    </w:p>
    <w:p w14:paraId="302EDE20" w14:textId="5B020198" w:rsidR="00CF6A8D" w:rsidRDefault="00CF6A8D" w:rsidP="00CF6A8D">
      <w:pPr>
        <w:spacing w:after="0" w:line="240" w:lineRule="auto"/>
        <w:ind w:left="284" w:right="0"/>
        <w:jc w:val="center"/>
        <w:rPr>
          <w:rFonts w:eastAsia="Calibri"/>
          <w:bCs w:val="0"/>
          <w:noProof w:val="0"/>
          <w:lang w:eastAsia="en-US"/>
        </w:rPr>
      </w:pPr>
      <w:r>
        <w:rPr>
          <w:rFonts w:eastAsia="Calibri"/>
          <w:bCs w:val="0"/>
          <w:noProof w:val="0"/>
          <w:lang w:eastAsia="en-US"/>
        </w:rPr>
        <w:tab/>
      </w:r>
    </w:p>
    <w:p w14:paraId="110C2CD2" w14:textId="77777777" w:rsidR="00CF6A8D" w:rsidRDefault="00CF6A8D" w:rsidP="0023060D">
      <w:pPr>
        <w:spacing w:after="0" w:line="240" w:lineRule="auto"/>
        <w:ind w:left="284" w:right="0" w:firstLine="424"/>
        <w:jc w:val="left"/>
        <w:rPr>
          <w:rFonts w:eastAsia="Calibri"/>
          <w:noProof w:val="0"/>
          <w:lang w:eastAsia="en-US"/>
        </w:rPr>
      </w:pPr>
      <w:r>
        <w:rPr>
          <w:rFonts w:eastAsia="Calibri"/>
          <w:noProof w:val="0"/>
          <w:lang w:eastAsia="en-US"/>
        </w:rPr>
        <w:t>Ta sklep velja takoj.</w:t>
      </w:r>
    </w:p>
    <w:p w14:paraId="5B8E484A" w14:textId="07DD974C" w:rsidR="00CF6A8D" w:rsidRDefault="00CF6A8D" w:rsidP="00CF6A8D">
      <w:pPr>
        <w:spacing w:after="0" w:line="240" w:lineRule="auto"/>
        <w:ind w:left="0" w:right="0"/>
        <w:rPr>
          <w:rFonts w:ascii="Arial" w:eastAsia="Calibri" w:hAnsi="Arial"/>
          <w:noProof w:val="0"/>
          <w:sz w:val="22"/>
          <w:szCs w:val="22"/>
          <w:lang w:eastAsia="en-US"/>
        </w:rPr>
      </w:pPr>
      <w:r>
        <w:rPr>
          <w:rFonts w:ascii="Arial" w:eastAsia="Calibri" w:hAnsi="Arial"/>
          <w:noProof w:val="0"/>
          <w:sz w:val="22"/>
          <w:szCs w:val="22"/>
          <w:lang w:eastAsia="en-US"/>
        </w:rPr>
        <w:tab/>
      </w:r>
    </w:p>
    <w:p w14:paraId="7C782169" w14:textId="77777777" w:rsidR="00CF6A8D" w:rsidRDefault="00CF6A8D" w:rsidP="00CF6A8D">
      <w:pPr>
        <w:spacing w:after="0" w:line="240" w:lineRule="auto"/>
        <w:ind w:left="284" w:right="0"/>
        <w:rPr>
          <w:rFonts w:ascii="Arial" w:eastAsia="Calibri" w:hAnsi="Arial"/>
          <w:noProof w:val="0"/>
          <w:sz w:val="22"/>
          <w:szCs w:val="22"/>
          <w:lang w:eastAsia="en-US"/>
        </w:rPr>
      </w:pPr>
    </w:p>
    <w:p w14:paraId="4549E1F2" w14:textId="70B74297" w:rsidR="00714788" w:rsidRPr="00CF6A8D" w:rsidRDefault="00352A82" w:rsidP="00DE25A0">
      <w:pPr>
        <w:spacing w:after="0" w:line="240" w:lineRule="auto"/>
        <w:ind w:left="708" w:right="0"/>
        <w:jc w:val="left"/>
        <w:rPr>
          <w:rFonts w:ascii="Arial" w:eastAsia="Calibri" w:hAnsi="Arial"/>
          <w:noProof w:val="0"/>
          <w:sz w:val="22"/>
          <w:szCs w:val="22"/>
          <w:lang w:eastAsia="en-US"/>
        </w:rPr>
      </w:pPr>
      <w:r w:rsidRPr="0005678C">
        <w:rPr>
          <w:rStyle w:val="ZvezaZnak"/>
          <w:sz w:val="20"/>
          <w:u w:val="none"/>
        </w:rPr>
        <w:t xml:space="preserve">Številka: </w:t>
      </w:r>
      <w:r w:rsidR="00DE25A0">
        <w:rPr>
          <w:rStyle w:val="ZvezaZnak"/>
          <w:sz w:val="20"/>
          <w:u w:val="none"/>
        </w:rPr>
        <w:t>3511-0003/2026-</w:t>
      </w:r>
      <w:r>
        <w:rPr>
          <w:rStyle w:val="ZvezaZnak"/>
          <w:sz w:val="20"/>
          <w:u w:val="none"/>
        </w:rPr>
        <w:br/>
      </w:r>
      <w:r>
        <w:t xml:space="preserve">Nova Gorica, </w:t>
      </w:r>
      <w:r w:rsidRPr="00776009">
        <w:t xml:space="preserve">dne </w:t>
      </w:r>
      <w:r w:rsidR="00F543B5">
        <w:t>__________</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14:paraId="3CD79ED9" w14:textId="77777777" w:rsidTr="009060A3">
        <w:tc>
          <w:tcPr>
            <w:tcW w:w="3549" w:type="dxa"/>
          </w:tcPr>
          <w:p w14:paraId="3281E915" w14:textId="77777777" w:rsidR="009060A3" w:rsidRPr="00E639CC" w:rsidRDefault="009060A3" w:rsidP="009060A3">
            <w:pPr>
              <w:pStyle w:val="Podpisoseba"/>
              <w:spacing w:before="0" w:after="0"/>
              <w:rPr>
                <w:b/>
                <w:color w:val="FFFFFF" w:themeColor="background1"/>
              </w:rPr>
            </w:pPr>
            <w:r w:rsidRPr="00E639CC">
              <w:rPr>
                <w:b/>
                <w:color w:val="FFFFFF" w:themeColor="background1"/>
              </w:rPr>
              <w:t>Desnik podpisnik</w:t>
            </w:r>
          </w:p>
        </w:tc>
      </w:tr>
      <w:tr w:rsidR="009060A3" w14:paraId="0E78414C" w14:textId="77777777" w:rsidTr="009060A3">
        <w:tc>
          <w:tcPr>
            <w:tcW w:w="3549" w:type="dxa"/>
          </w:tcPr>
          <w:p w14:paraId="4F7BCD85" w14:textId="77777777" w:rsidR="008160DC" w:rsidRDefault="008160DC" w:rsidP="009060A3">
            <w:pPr>
              <w:pStyle w:val="Podpisoseba"/>
              <w:spacing w:before="0" w:after="0"/>
              <w:rPr>
                <w:b/>
              </w:rPr>
            </w:pPr>
          </w:p>
          <w:p w14:paraId="1532AD77" w14:textId="77777777" w:rsidR="008160DC" w:rsidRDefault="008160DC" w:rsidP="009060A3">
            <w:pPr>
              <w:pStyle w:val="Podpisoseba"/>
              <w:spacing w:before="0" w:after="0"/>
              <w:rPr>
                <w:b/>
              </w:rPr>
            </w:pPr>
          </w:p>
          <w:p w14:paraId="36F5CAF7" w14:textId="5B884101" w:rsidR="009060A3" w:rsidRPr="00E639CC" w:rsidRDefault="009060A3" w:rsidP="009060A3">
            <w:pPr>
              <w:pStyle w:val="Podpisoseba"/>
              <w:spacing w:before="0" w:after="0"/>
              <w:rPr>
                <w:bCs w:val="0"/>
              </w:rPr>
            </w:pPr>
            <w:r w:rsidRPr="00E639CC">
              <w:rPr>
                <w:b/>
              </w:rPr>
              <w:t>Samo Turel</w:t>
            </w:r>
          </w:p>
        </w:tc>
      </w:tr>
      <w:tr w:rsidR="009060A3" w14:paraId="296EC3FE" w14:textId="77777777" w:rsidTr="009060A3">
        <w:trPr>
          <w:trHeight w:val="530"/>
        </w:trPr>
        <w:tc>
          <w:tcPr>
            <w:tcW w:w="3549" w:type="dxa"/>
          </w:tcPr>
          <w:p w14:paraId="366DB2BD" w14:textId="506249A6" w:rsidR="009060A3" w:rsidRPr="00E639CC" w:rsidRDefault="00776009" w:rsidP="009060A3">
            <w:pPr>
              <w:pStyle w:val="Podpisoseba"/>
              <w:spacing w:before="0" w:after="0"/>
              <w:rPr>
                <w:bCs w:val="0"/>
              </w:rPr>
            </w:pPr>
            <w:r>
              <w:t>Ž</w:t>
            </w:r>
            <w:r w:rsidR="009060A3" w:rsidRPr="00E639CC">
              <w:t>upan</w:t>
            </w:r>
          </w:p>
        </w:tc>
      </w:tr>
    </w:tbl>
    <w:p w14:paraId="1600E036" w14:textId="3AA6434C" w:rsidR="00714788" w:rsidRDefault="00714788" w:rsidP="00352A82"/>
    <w:p w14:paraId="16E735A8" w14:textId="77777777" w:rsidR="008160DC" w:rsidRDefault="008160DC" w:rsidP="00352A82"/>
    <w:p w14:paraId="021587B6" w14:textId="77777777" w:rsidR="00714788" w:rsidRDefault="00714788" w:rsidP="007D48AB"/>
    <w:p w14:paraId="49C83A4E" w14:textId="77777777" w:rsidR="00731380" w:rsidRDefault="00731380" w:rsidP="00352A82"/>
    <w:p w14:paraId="06BE4516" w14:textId="77777777" w:rsidR="00731380" w:rsidRDefault="00731380" w:rsidP="00352A82">
      <w:pPr>
        <w:sectPr w:rsidR="00731380" w:rsidSect="00E217AD">
          <w:pgSz w:w="11906" w:h="16838"/>
          <w:pgMar w:top="1418" w:right="1418" w:bottom="1418" w:left="1418" w:header="1304" w:footer="454" w:gutter="0"/>
          <w:cols w:space="708"/>
          <w:titlePg/>
          <w:docGrid w:linePitch="360"/>
        </w:sectPr>
      </w:pPr>
    </w:p>
    <w:p w14:paraId="5E21157B" w14:textId="699818C0" w:rsidR="00731380" w:rsidRDefault="009060A3" w:rsidP="00731380">
      <w:pPr>
        <w:pStyle w:val="Nazivenote"/>
        <w:rPr>
          <w:b w:val="0"/>
          <w:bCs/>
        </w:rPr>
      </w:pPr>
      <w:r w:rsidRPr="009060A3">
        <w:lastRenderedPageBreak/>
        <mc:AlternateContent>
          <mc:Choice Requires="wps">
            <w:drawing>
              <wp:anchor distT="45720" distB="45720" distL="114300" distR="114300" simplePos="0" relativeHeight="251667456" behindDoc="1" locked="0" layoutInCell="1" allowOverlap="1" wp14:anchorId="2C6093ED" wp14:editId="3D27F0C8">
                <wp:simplePos x="0" y="0"/>
                <wp:positionH relativeFrom="column">
                  <wp:posOffset>4902200</wp:posOffset>
                </wp:positionH>
                <wp:positionV relativeFrom="paragraph">
                  <wp:posOffset>0</wp:posOffset>
                </wp:positionV>
                <wp:extent cx="749300" cy="752983"/>
                <wp:effectExtent l="0" t="0" r="0" b="9525"/>
                <wp:wrapTight wrapText="bothSides">
                  <wp:wrapPolygon edited="0">
                    <wp:start x="0" y="0"/>
                    <wp:lineTo x="0" y="21327"/>
                    <wp:lineTo x="20868" y="21327"/>
                    <wp:lineTo x="20868" y="0"/>
                    <wp:lineTo x="0" y="0"/>
                  </wp:wrapPolygon>
                </wp:wrapTight>
                <wp:docPr id="2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752983"/>
                        </a:xfrm>
                        <a:prstGeom prst="rect">
                          <a:avLst/>
                        </a:prstGeom>
                        <a:solidFill>
                          <a:srgbClr val="FFFFFF"/>
                        </a:solidFill>
                        <a:ln w="9525">
                          <a:noFill/>
                          <a:miter lim="800000"/>
                          <a:headEnd/>
                          <a:tailEnd/>
                        </a:ln>
                      </wps:spPr>
                      <wps:txbx>
                        <w:txbxContent>
                          <w:p w14:paraId="08704EB7" w14:textId="65B03913" w:rsidR="009060A3" w:rsidRPr="000E5815" w:rsidRDefault="009060A3" w:rsidP="009060A3">
                            <w:pPr>
                              <w:pStyle w:val="tevilka"/>
                              <w:rPr>
                                <w:sz w:val="80"/>
                                <w:szCs w:val="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093ED" id="_x0000_s1028" type="#_x0000_t202" style="position:absolute;left:0;text-align:left;margin-left:386pt;margin-top:0;width:59pt;height:59.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" stroked="f">
                <v:textbox>
                  <w:txbxContent>
                    <w:p w14:paraId="08704EB7" w14:textId="65B03913" w:rsidR="009060A3" w:rsidRPr="000E5815" w:rsidRDefault="009060A3" w:rsidP="009060A3">
                      <w:pPr>
                        <w:pStyle w:val="tevilka"/>
                        <w:rPr>
                          <w:sz w:val="80"/>
                          <w:szCs w:val="80"/>
                        </w:rPr>
                      </w:pPr>
                    </w:p>
                  </w:txbxContent>
                </v:textbox>
                <w10:wrap type="tight"/>
              </v:shape>
            </w:pict>
          </mc:Fallback>
        </mc:AlternateContent>
      </w:r>
      <w:r w:rsidR="00657769">
        <w:t>Urad direktorja</w:t>
      </w:r>
      <w:r w:rsidR="00731380">
        <w:br/>
      </w:r>
      <w:r w:rsidR="00731380" w:rsidRPr="008802E3">
        <w:rPr>
          <w:b w:val="0"/>
          <w:bCs/>
        </w:rPr>
        <w:t>Trg Edvarda Kardelja 1, 5000 Nova Gorica</w:t>
      </w:r>
    </w:p>
    <w:p w14:paraId="31D67305" w14:textId="73DAE826" w:rsidR="00731380" w:rsidRPr="0066085E" w:rsidRDefault="00196994" w:rsidP="00731380">
      <w:pPr>
        <w:pStyle w:val="Naslov1"/>
      </w:pPr>
      <w:r>
        <w:t xml:space="preserve">Obrazložitev </w:t>
      </w:r>
    </w:p>
    <w:p w14:paraId="4674F052" w14:textId="77777777" w:rsidR="00E62295" w:rsidRDefault="00E62295" w:rsidP="0023060D">
      <w:pPr>
        <w:spacing w:after="120" w:line="276" w:lineRule="auto"/>
        <w:ind w:right="0"/>
        <w:jc w:val="left"/>
        <w:rPr>
          <w:rFonts w:eastAsia="Calibri"/>
          <w:noProof w:val="0"/>
          <w:lang w:eastAsia="en-US"/>
        </w:rPr>
      </w:pPr>
      <w:r w:rsidRPr="00E62295">
        <w:rPr>
          <w:rFonts w:eastAsia="Calibri"/>
          <w:noProof w:val="0"/>
          <w:lang w:eastAsia="en-US"/>
        </w:rPr>
        <w:t xml:space="preserve">Z nenehnim razvojem športa in rekreacije, se potreba po obnovi ali gradnji nove športne infrastrukture povečuje, saj le na ta način lahko omogočimo izvajanje sodobnih programov športno-rekreacijskih dejavnosti, ter tako privabimo nove uporabnike. Sodobna športna infrastruktura ponuja tudi možnosti za razvoj športno-rekreacijskega turizma, ki je eden od hitro rastočih segmentov turizma. Poleg tega primerna infrastruktura omogoča organizacijo različnih športnih dogodkov, ki imajo pozitiven učinek na razvoj lokalnega gospodarstva in turizma. Razvoj sodobne športne infrastrukture bo spodbudil večje povpraševanje po športnih in rekreativnih storitvah ter neposredno prispeval k izboljšanju kakovosti ter konkurenčnosti športne ponudbe Nove Gorice in regije. </w:t>
      </w:r>
    </w:p>
    <w:p w14:paraId="2E06AF60" w14:textId="4BC9A3D5" w:rsidR="00AA0A2F" w:rsidRDefault="00AA0A2F" w:rsidP="0023060D">
      <w:pPr>
        <w:spacing w:after="120" w:line="276" w:lineRule="auto"/>
        <w:ind w:right="0"/>
        <w:jc w:val="left"/>
        <w:rPr>
          <w:rFonts w:eastAsia="Calibri"/>
          <w:bCs w:val="0"/>
          <w:noProof w:val="0"/>
          <w:lang w:eastAsia="zh-TW"/>
        </w:rPr>
      </w:pPr>
      <w:r w:rsidRPr="00AA0A2F">
        <w:rPr>
          <w:rFonts w:eastAsia="Calibri"/>
          <w:bCs w:val="0"/>
          <w:noProof w:val="0"/>
          <w:lang w:eastAsia="zh-TW"/>
        </w:rPr>
        <w:t>Namen investicijskega projekta je je zagotoviti ustrezne vadbene in prostorsk</w:t>
      </w:r>
      <w:r w:rsidR="00D04537">
        <w:rPr>
          <w:rFonts w:eastAsia="Calibri"/>
          <w:bCs w:val="0"/>
          <w:noProof w:val="0"/>
          <w:lang w:eastAsia="zh-TW"/>
        </w:rPr>
        <w:t>e</w:t>
      </w:r>
      <w:r w:rsidRPr="00AA0A2F">
        <w:rPr>
          <w:rFonts w:eastAsia="Calibri"/>
          <w:bCs w:val="0"/>
          <w:noProof w:val="0"/>
          <w:lang w:eastAsia="zh-TW"/>
        </w:rPr>
        <w:t xml:space="preserve"> pogoje za uporabnike Teniškega centra Nova Gorica. S tem se bo zagotovilo kvalitetnejše in varnejše pogoje za igranje tenisa ter omogočilo igranje tenisa tudi v zimskih mesecih. Z izvedbo investicije se bo zagotovilo sodobno javno športno infrastrukturo, povečalo dostopnost do zunanje javne športne infrastrukture ter povečalo število igralcev tenisa v organiziranih programih kot tudi število rekreativnih igralcev. </w:t>
      </w:r>
      <w:r w:rsidR="001E77FC">
        <w:rPr>
          <w:rFonts w:eastAsia="Calibri"/>
          <w:bCs w:val="0"/>
          <w:noProof w:val="0"/>
          <w:lang w:eastAsia="zh-TW"/>
        </w:rPr>
        <w:t>O</w:t>
      </w:r>
      <w:r w:rsidRPr="00AA0A2F">
        <w:rPr>
          <w:rFonts w:eastAsia="Calibri"/>
          <w:bCs w:val="0"/>
          <w:noProof w:val="0"/>
          <w:lang w:eastAsia="zh-TW"/>
        </w:rPr>
        <w:t>bčina</w:t>
      </w:r>
      <w:r w:rsidR="001E77FC">
        <w:rPr>
          <w:rFonts w:eastAsia="Calibri"/>
          <w:bCs w:val="0"/>
          <w:noProof w:val="0"/>
          <w:lang w:eastAsia="zh-TW"/>
        </w:rPr>
        <w:t xml:space="preserve"> s tem</w:t>
      </w:r>
      <w:r w:rsidRPr="00AA0A2F">
        <w:rPr>
          <w:rFonts w:eastAsia="Calibri"/>
          <w:bCs w:val="0"/>
          <w:noProof w:val="0"/>
          <w:lang w:eastAsia="zh-TW"/>
        </w:rPr>
        <w:t xml:space="preserve"> uresničuje javni interes po sodobni javni športni infrastrukturi na svojem območju za vse kategorije uporabnikov.</w:t>
      </w:r>
    </w:p>
    <w:p w14:paraId="6005DC76" w14:textId="19475B93" w:rsidR="00740BEB" w:rsidRDefault="00740BEB" w:rsidP="00BF6B02">
      <w:pPr>
        <w:spacing w:after="160" w:line="276" w:lineRule="auto"/>
        <w:ind w:right="0"/>
        <w:jc w:val="left"/>
        <w:rPr>
          <w:rFonts w:eastAsia="Calibri"/>
          <w:bCs w:val="0"/>
          <w:noProof w:val="0"/>
          <w:lang w:eastAsia="zh-TW"/>
        </w:rPr>
      </w:pPr>
      <w:r w:rsidRPr="00740BEB">
        <w:rPr>
          <w:rFonts w:eastAsia="Calibri"/>
          <w:bCs w:val="0"/>
          <w:noProof w:val="0"/>
          <w:lang w:eastAsia="zh-TW"/>
        </w:rPr>
        <w:t>Cilj investicijskega projekta je prenova Teniškega centra Nova Gorica v izmeri 4.129,20 m</w:t>
      </w:r>
      <w:r w:rsidRPr="00DE25A0">
        <w:rPr>
          <w:rFonts w:eastAsia="Calibri"/>
          <w:bCs w:val="0"/>
          <w:noProof w:val="0"/>
          <w:vertAlign w:val="superscript"/>
          <w:lang w:eastAsia="zh-TW"/>
        </w:rPr>
        <w:t>2</w:t>
      </w:r>
      <w:r w:rsidRPr="00740BEB">
        <w:rPr>
          <w:rFonts w:eastAsia="Calibri"/>
          <w:bCs w:val="0"/>
          <w:noProof w:val="0"/>
          <w:lang w:eastAsia="zh-TW"/>
        </w:rPr>
        <w:t>. Prenova predvideva zamenjavo igralne podlage na dveh igriščih, postavitev dveh nadtlačnih membranskih dvoran (balonov), ureditev namakalnega sistema na peščenih igriščih ter zamenjavo dotrajane športne opreme. Z izvedbo investicijskega projekta se bo pridobilo sodobne vadbene površine za izvajanje različnih teniških programov (teniška šola, rekreacija, organizacija turnirjev).</w:t>
      </w:r>
    </w:p>
    <w:p w14:paraId="17053155" w14:textId="542B24AC" w:rsidR="002A2E89" w:rsidRDefault="003C3E8F" w:rsidP="00E76F30">
      <w:pPr>
        <w:spacing w:after="0" w:line="276" w:lineRule="auto"/>
        <w:ind w:right="0"/>
        <w:jc w:val="left"/>
        <w:rPr>
          <w:rFonts w:eastAsia="Calibri"/>
          <w:bCs w:val="0"/>
          <w:noProof w:val="0"/>
          <w:lang w:eastAsia="zh-TW"/>
        </w:rPr>
      </w:pPr>
      <w:r>
        <w:rPr>
          <w:rFonts w:eastAsia="Calibri"/>
          <w:bCs w:val="0"/>
          <w:noProof w:val="0"/>
          <w:lang w:eastAsia="zh-TW"/>
        </w:rPr>
        <w:t xml:space="preserve">Projekt bo pomembno prispeval </w:t>
      </w:r>
      <w:r w:rsidR="007E4F69" w:rsidRPr="007E4F69">
        <w:rPr>
          <w:rFonts w:eastAsia="Calibri"/>
          <w:bCs w:val="0"/>
          <w:noProof w:val="0"/>
          <w:lang w:eastAsia="zh-TW"/>
        </w:rPr>
        <w:t>k uresničevanju občinskih, regionalnih, državnih in EU razvojnih programov, ki se nanašajo na šport in športno infrastrukturo, na trajnostni urbani razvoj itd.</w:t>
      </w:r>
    </w:p>
    <w:p w14:paraId="5E185A36" w14:textId="77777777" w:rsidR="00E76F30" w:rsidRDefault="00E76F30" w:rsidP="00E76F30">
      <w:pPr>
        <w:spacing w:after="0" w:line="276" w:lineRule="auto"/>
        <w:ind w:right="0"/>
        <w:jc w:val="left"/>
        <w:rPr>
          <w:rFonts w:eastAsia="Calibri"/>
          <w:bCs w:val="0"/>
          <w:noProof w:val="0"/>
          <w:lang w:eastAsia="zh-TW"/>
        </w:rPr>
      </w:pPr>
    </w:p>
    <w:p w14:paraId="3327077D" w14:textId="46528A68" w:rsidR="002A2E89" w:rsidRPr="002A2E89" w:rsidRDefault="002A2E89" w:rsidP="002A2E89">
      <w:pPr>
        <w:spacing w:after="120" w:line="276" w:lineRule="auto"/>
        <w:ind w:right="0"/>
        <w:jc w:val="left"/>
        <w:rPr>
          <w:rFonts w:eastAsia="Calibri"/>
          <w:b/>
          <w:noProof w:val="0"/>
          <w:lang w:eastAsia="zh-TW"/>
        </w:rPr>
      </w:pPr>
      <w:r>
        <w:rPr>
          <w:rFonts w:eastAsia="Calibri"/>
          <w:b/>
          <w:bCs w:val="0"/>
          <w:noProof w:val="0"/>
          <w:lang w:eastAsia="zh-TW"/>
        </w:rPr>
        <w:t>Sp</w:t>
      </w:r>
      <w:r w:rsidR="00D0231B">
        <w:rPr>
          <w:rFonts w:eastAsia="Calibri"/>
          <w:b/>
          <w:bCs w:val="0"/>
          <w:noProof w:val="0"/>
          <w:lang w:eastAsia="zh-TW"/>
        </w:rPr>
        <w:t>lošni</w:t>
      </w:r>
      <w:r>
        <w:rPr>
          <w:rFonts w:eastAsia="Calibri"/>
          <w:b/>
          <w:bCs w:val="0"/>
          <w:noProof w:val="0"/>
          <w:lang w:eastAsia="zh-TW"/>
        </w:rPr>
        <w:t xml:space="preserve"> cilji projekta so:</w:t>
      </w:r>
    </w:p>
    <w:p w14:paraId="7EE2EF41" w14:textId="07CF010A" w:rsidR="00B6571E" w:rsidRDefault="00B6571E" w:rsidP="00B6571E">
      <w:pPr>
        <w:pStyle w:val="Odstavekseznama"/>
        <w:numPr>
          <w:ilvl w:val="0"/>
          <w:numId w:val="22"/>
        </w:numPr>
        <w:spacing w:after="0" w:line="276" w:lineRule="auto"/>
        <w:ind w:right="0"/>
        <w:jc w:val="left"/>
        <w:rPr>
          <w:rFonts w:eastAsia="Calibri"/>
          <w:bCs w:val="0"/>
          <w:noProof w:val="0"/>
          <w:lang w:eastAsia="zh-TW"/>
        </w:rPr>
      </w:pPr>
      <w:r w:rsidRPr="00B6571E">
        <w:rPr>
          <w:rFonts w:eastAsia="Calibri"/>
          <w:bCs w:val="0"/>
          <w:noProof w:val="0"/>
          <w:lang w:eastAsia="zh-TW"/>
        </w:rPr>
        <w:t>zagotoviti ustrezne prostorske pogoje za uporabnike teniškega centra,</w:t>
      </w:r>
    </w:p>
    <w:p w14:paraId="63019DED" w14:textId="47EB58E5" w:rsidR="00B6571E" w:rsidRDefault="00B6571E" w:rsidP="00B6571E">
      <w:pPr>
        <w:pStyle w:val="Odstavekseznama"/>
        <w:numPr>
          <w:ilvl w:val="0"/>
          <w:numId w:val="22"/>
        </w:numPr>
        <w:spacing w:after="0" w:line="276" w:lineRule="auto"/>
        <w:ind w:right="0"/>
        <w:jc w:val="left"/>
        <w:rPr>
          <w:rFonts w:eastAsia="Calibri"/>
          <w:bCs w:val="0"/>
          <w:noProof w:val="0"/>
          <w:lang w:eastAsia="zh-TW"/>
        </w:rPr>
      </w:pPr>
      <w:r w:rsidRPr="00B6571E">
        <w:rPr>
          <w:rFonts w:eastAsia="Calibri"/>
          <w:bCs w:val="0"/>
          <w:noProof w:val="0"/>
          <w:lang w:eastAsia="zh-TW"/>
        </w:rPr>
        <w:t>zboljšati vadbene pogoje za igranje tenisa,</w:t>
      </w:r>
    </w:p>
    <w:p w14:paraId="50147D1D" w14:textId="77777777" w:rsidR="00B6571E" w:rsidRDefault="00B6571E" w:rsidP="00B6571E">
      <w:pPr>
        <w:pStyle w:val="Odstavekseznama"/>
        <w:numPr>
          <w:ilvl w:val="0"/>
          <w:numId w:val="22"/>
        </w:numPr>
        <w:spacing w:after="0" w:line="276" w:lineRule="auto"/>
        <w:ind w:right="0"/>
        <w:jc w:val="left"/>
        <w:rPr>
          <w:rFonts w:eastAsia="Calibri"/>
          <w:bCs w:val="0"/>
          <w:noProof w:val="0"/>
          <w:lang w:eastAsia="zh-TW"/>
        </w:rPr>
      </w:pPr>
      <w:r w:rsidRPr="00B6571E">
        <w:rPr>
          <w:rFonts w:eastAsia="Calibri"/>
          <w:bCs w:val="0"/>
          <w:noProof w:val="0"/>
          <w:lang w:eastAsia="zh-TW"/>
        </w:rPr>
        <w:t>zagotoviti prostorske pogoje za igranje tenisa tudi v zimskih mesecih,</w:t>
      </w:r>
    </w:p>
    <w:p w14:paraId="3D10B094" w14:textId="77777777" w:rsidR="00B6571E" w:rsidRDefault="00B6571E" w:rsidP="002E20B3">
      <w:pPr>
        <w:pStyle w:val="Odstavekseznama"/>
        <w:numPr>
          <w:ilvl w:val="0"/>
          <w:numId w:val="22"/>
        </w:numPr>
        <w:spacing w:after="0" w:line="276" w:lineRule="auto"/>
        <w:ind w:right="0"/>
        <w:jc w:val="left"/>
        <w:rPr>
          <w:rFonts w:eastAsia="Calibri"/>
          <w:bCs w:val="0"/>
          <w:noProof w:val="0"/>
          <w:lang w:eastAsia="zh-TW"/>
        </w:rPr>
      </w:pPr>
      <w:r w:rsidRPr="002E20B3">
        <w:rPr>
          <w:rFonts w:eastAsia="Calibri"/>
          <w:bCs w:val="0"/>
          <w:noProof w:val="0"/>
          <w:lang w:eastAsia="zh-TW"/>
        </w:rPr>
        <w:t>povečati delež športno dejavnih prebivalcev Mestne občine Nova Gorica in širše okolice v strokovno vodenih programih,</w:t>
      </w:r>
    </w:p>
    <w:p w14:paraId="4452FEF3" w14:textId="77777777" w:rsidR="00B6571E" w:rsidRDefault="00B6571E" w:rsidP="002E20B3">
      <w:pPr>
        <w:pStyle w:val="Odstavekseznama"/>
        <w:numPr>
          <w:ilvl w:val="0"/>
          <w:numId w:val="22"/>
        </w:numPr>
        <w:spacing w:after="0" w:line="276" w:lineRule="auto"/>
        <w:ind w:right="0"/>
        <w:jc w:val="left"/>
        <w:rPr>
          <w:rFonts w:eastAsia="Calibri"/>
          <w:bCs w:val="0"/>
          <w:noProof w:val="0"/>
          <w:lang w:eastAsia="zh-TW"/>
        </w:rPr>
      </w:pPr>
      <w:r w:rsidRPr="002E20B3">
        <w:rPr>
          <w:rFonts w:eastAsia="Calibri"/>
          <w:bCs w:val="0"/>
          <w:noProof w:val="0"/>
          <w:lang w:eastAsia="zh-TW"/>
        </w:rPr>
        <w:t>zagotoviti sodobne vadbene površine v teniškem centru za izvajanje športnih tekmovanj, treningov športnikov in rekreativnih treningov ostalih uporabnikov,</w:t>
      </w:r>
    </w:p>
    <w:p w14:paraId="6EE47E19" w14:textId="6D705834" w:rsidR="002E20B3" w:rsidRDefault="00B6571E" w:rsidP="00381500">
      <w:pPr>
        <w:pStyle w:val="Odstavekseznama"/>
        <w:numPr>
          <w:ilvl w:val="0"/>
          <w:numId w:val="22"/>
        </w:numPr>
        <w:spacing w:after="0" w:line="276" w:lineRule="auto"/>
        <w:ind w:right="0"/>
        <w:jc w:val="left"/>
        <w:rPr>
          <w:rFonts w:eastAsia="Calibri"/>
          <w:bCs w:val="0"/>
          <w:noProof w:val="0"/>
          <w:lang w:eastAsia="zh-TW"/>
        </w:rPr>
      </w:pPr>
      <w:r w:rsidRPr="00381500">
        <w:rPr>
          <w:rFonts w:eastAsia="Calibri"/>
          <w:bCs w:val="0"/>
          <w:noProof w:val="0"/>
          <w:lang w:eastAsia="zh-TW"/>
        </w:rPr>
        <w:t>omogočiti društvom, zavodom in ustanovam status delovanja v javnem interesu na področju športa,</w:t>
      </w:r>
    </w:p>
    <w:p w14:paraId="365FEDDC" w14:textId="77777777" w:rsidR="00B6571E" w:rsidRDefault="00B6571E" w:rsidP="00381500">
      <w:pPr>
        <w:pStyle w:val="Odstavekseznama"/>
        <w:numPr>
          <w:ilvl w:val="0"/>
          <w:numId w:val="22"/>
        </w:numPr>
        <w:spacing w:after="0" w:line="276" w:lineRule="auto"/>
        <w:ind w:right="0"/>
        <w:jc w:val="left"/>
        <w:rPr>
          <w:rFonts w:eastAsia="Calibri"/>
          <w:bCs w:val="0"/>
          <w:noProof w:val="0"/>
          <w:lang w:eastAsia="zh-TW"/>
        </w:rPr>
      </w:pPr>
      <w:r w:rsidRPr="00381500">
        <w:rPr>
          <w:rFonts w:eastAsia="Calibri"/>
          <w:bCs w:val="0"/>
          <w:noProof w:val="0"/>
          <w:lang w:eastAsia="zh-TW"/>
        </w:rPr>
        <w:t>slediti trendom razvoja na področju športne infrastrukture in prostorskega razvoja ter rabe prostora v Mestni občini Nova Gorica,</w:t>
      </w:r>
    </w:p>
    <w:p w14:paraId="1934DD80" w14:textId="77777777" w:rsidR="00B6571E" w:rsidRDefault="00B6571E" w:rsidP="00381500">
      <w:pPr>
        <w:pStyle w:val="Odstavekseznama"/>
        <w:numPr>
          <w:ilvl w:val="0"/>
          <w:numId w:val="22"/>
        </w:numPr>
        <w:spacing w:after="0" w:line="276" w:lineRule="auto"/>
        <w:ind w:right="0"/>
        <w:jc w:val="left"/>
        <w:rPr>
          <w:rFonts w:eastAsia="Calibri"/>
          <w:bCs w:val="0"/>
          <w:noProof w:val="0"/>
          <w:lang w:eastAsia="zh-TW"/>
        </w:rPr>
      </w:pPr>
      <w:r w:rsidRPr="00381500">
        <w:rPr>
          <w:rFonts w:eastAsia="Calibri"/>
          <w:bCs w:val="0"/>
          <w:noProof w:val="0"/>
          <w:lang w:eastAsia="zh-TW"/>
        </w:rPr>
        <w:lastRenderedPageBreak/>
        <w:t>zagotoviti kvalitetno, sodobno in varno javno infrastrukturo,</w:t>
      </w:r>
    </w:p>
    <w:p w14:paraId="1C224368" w14:textId="77777777" w:rsidR="00B6571E" w:rsidRDefault="00B6571E" w:rsidP="00381500">
      <w:pPr>
        <w:pStyle w:val="Odstavekseznama"/>
        <w:numPr>
          <w:ilvl w:val="0"/>
          <w:numId w:val="22"/>
        </w:numPr>
        <w:spacing w:after="0" w:line="276" w:lineRule="auto"/>
        <w:ind w:right="0"/>
        <w:jc w:val="left"/>
        <w:rPr>
          <w:rFonts w:eastAsia="Calibri"/>
          <w:bCs w:val="0"/>
          <w:noProof w:val="0"/>
          <w:lang w:eastAsia="zh-TW"/>
        </w:rPr>
      </w:pPr>
      <w:r w:rsidRPr="00381500">
        <w:rPr>
          <w:rFonts w:eastAsia="Calibri"/>
          <w:bCs w:val="0"/>
          <w:noProof w:val="0"/>
          <w:lang w:eastAsia="zh-TW"/>
        </w:rPr>
        <w:t>prispevati h kakovostnejšemu življenju prebivalcev v mestu,</w:t>
      </w:r>
    </w:p>
    <w:p w14:paraId="6980A054" w14:textId="77777777" w:rsidR="00B6571E" w:rsidRPr="00381500" w:rsidRDefault="00B6571E" w:rsidP="00381500">
      <w:pPr>
        <w:pStyle w:val="Odstavekseznama"/>
        <w:numPr>
          <w:ilvl w:val="0"/>
          <w:numId w:val="22"/>
        </w:numPr>
        <w:spacing w:after="0" w:line="276" w:lineRule="auto"/>
        <w:ind w:right="0"/>
        <w:jc w:val="left"/>
        <w:rPr>
          <w:rFonts w:eastAsia="Calibri"/>
          <w:bCs w:val="0"/>
          <w:noProof w:val="0"/>
          <w:lang w:eastAsia="zh-TW"/>
        </w:rPr>
      </w:pPr>
      <w:r w:rsidRPr="00381500">
        <w:rPr>
          <w:rFonts w:eastAsia="Calibri"/>
          <w:bCs w:val="0"/>
          <w:noProof w:val="0"/>
          <w:lang w:eastAsia="zh-TW"/>
        </w:rPr>
        <w:t xml:space="preserve">spodbuditi skladen socialni, družbeni, </w:t>
      </w:r>
      <w:proofErr w:type="spellStart"/>
      <w:r w:rsidRPr="00381500">
        <w:rPr>
          <w:rFonts w:eastAsia="Calibri"/>
          <w:bCs w:val="0"/>
          <w:noProof w:val="0"/>
          <w:lang w:eastAsia="zh-TW"/>
        </w:rPr>
        <w:t>okoljski</w:t>
      </w:r>
      <w:proofErr w:type="spellEnd"/>
      <w:r w:rsidRPr="00381500">
        <w:rPr>
          <w:rFonts w:eastAsia="Calibri"/>
          <w:bCs w:val="0"/>
          <w:noProof w:val="0"/>
          <w:lang w:eastAsia="zh-TW"/>
        </w:rPr>
        <w:t>, gospodarski in trajnostni razvoj.</w:t>
      </w:r>
    </w:p>
    <w:p w14:paraId="4EA35D13" w14:textId="77777777" w:rsidR="00DA11BC" w:rsidRDefault="00DA11BC" w:rsidP="001E77FC">
      <w:pPr>
        <w:spacing w:after="0" w:line="276" w:lineRule="auto"/>
        <w:ind w:left="708" w:right="0"/>
        <w:jc w:val="left"/>
        <w:rPr>
          <w:rFonts w:eastAsia="Calibri"/>
          <w:b/>
          <w:bCs w:val="0"/>
          <w:noProof w:val="0"/>
          <w:sz w:val="18"/>
          <w:szCs w:val="18"/>
          <w:lang w:eastAsia="zh-TW"/>
        </w:rPr>
      </w:pPr>
    </w:p>
    <w:p w14:paraId="6C348C55" w14:textId="49B7B269" w:rsidR="00CF6A8D" w:rsidRDefault="00CF6A8D" w:rsidP="0023060D">
      <w:pPr>
        <w:spacing w:after="0" w:line="240" w:lineRule="auto"/>
        <w:ind w:right="0"/>
        <w:jc w:val="left"/>
        <w:rPr>
          <w:rFonts w:eastAsia="Calibri"/>
          <w:bCs w:val="0"/>
          <w:noProof w:val="0"/>
          <w:lang w:eastAsia="en-US"/>
        </w:rPr>
      </w:pPr>
      <w:r>
        <w:rPr>
          <w:rFonts w:eastAsia="Calibri"/>
          <w:noProof w:val="0"/>
          <w:lang w:eastAsia="en-US"/>
        </w:rPr>
        <w:t xml:space="preserve">Skupna vrednost projekta znaša po tekočih cenah </w:t>
      </w:r>
      <w:r w:rsidR="00750207" w:rsidRPr="00750207">
        <w:rPr>
          <w:rFonts w:eastAsia="Calibri"/>
          <w:noProof w:val="0"/>
          <w:lang w:eastAsia="en-US"/>
        </w:rPr>
        <w:t>1.003.836,03</w:t>
      </w:r>
      <w:r w:rsidR="005B7F71">
        <w:rPr>
          <w:rFonts w:eastAsia="Calibri"/>
          <w:noProof w:val="0"/>
          <w:lang w:eastAsia="en-US"/>
        </w:rPr>
        <w:t xml:space="preserve"> </w:t>
      </w:r>
      <w:r>
        <w:rPr>
          <w:rFonts w:eastAsia="Calibri"/>
          <w:noProof w:val="0"/>
          <w:lang w:eastAsia="en-US"/>
        </w:rPr>
        <w:t xml:space="preserve">z DDV. Celoten projekt je </w:t>
      </w:r>
      <w:r w:rsidR="002B1610">
        <w:rPr>
          <w:rFonts w:eastAsia="Calibri"/>
          <w:noProof w:val="0"/>
          <w:lang w:eastAsia="en-US"/>
        </w:rPr>
        <w:t>49,81</w:t>
      </w:r>
      <w:r>
        <w:rPr>
          <w:rFonts w:eastAsia="Calibri"/>
          <w:noProof w:val="0"/>
          <w:lang w:eastAsia="en-US"/>
        </w:rPr>
        <w:t xml:space="preserve">% sofinanciran iz </w:t>
      </w:r>
      <w:r w:rsidR="00B63DD7">
        <w:rPr>
          <w:rFonts w:eastAsia="Calibri"/>
          <w:noProof w:val="0"/>
          <w:lang w:eastAsia="en-US"/>
        </w:rPr>
        <w:t>n</w:t>
      </w:r>
      <w:r w:rsidR="002B1610" w:rsidRPr="002B1610">
        <w:rPr>
          <w:rFonts w:eastAsia="Calibri"/>
          <w:noProof w:val="0"/>
          <w:lang w:eastAsia="en-US"/>
        </w:rPr>
        <w:t>epovratn</w:t>
      </w:r>
      <w:r w:rsidR="00D04537">
        <w:rPr>
          <w:rFonts w:eastAsia="Calibri"/>
          <w:noProof w:val="0"/>
          <w:lang w:eastAsia="en-US"/>
        </w:rPr>
        <w:t>ih</w:t>
      </w:r>
      <w:r w:rsidR="002B1610" w:rsidRPr="002B1610">
        <w:rPr>
          <w:rFonts w:eastAsia="Calibri"/>
          <w:noProof w:val="0"/>
          <w:lang w:eastAsia="en-US"/>
        </w:rPr>
        <w:t xml:space="preserve"> sredst</w:t>
      </w:r>
      <w:r w:rsidR="00D04537">
        <w:rPr>
          <w:rFonts w:eastAsia="Calibri"/>
          <w:noProof w:val="0"/>
          <w:lang w:eastAsia="en-US"/>
        </w:rPr>
        <w:t>e</w:t>
      </w:r>
      <w:r w:rsidR="002B1610" w:rsidRPr="002B1610">
        <w:rPr>
          <w:rFonts w:eastAsia="Calibri"/>
          <w:noProof w:val="0"/>
          <w:lang w:eastAsia="en-US"/>
        </w:rPr>
        <w:t>v MGTŠ</w:t>
      </w:r>
      <w:r w:rsidR="00B63DD7">
        <w:rPr>
          <w:rFonts w:eastAsia="Calibri"/>
          <w:noProof w:val="0"/>
          <w:lang w:eastAsia="en-US"/>
        </w:rPr>
        <w:t>,</w:t>
      </w:r>
      <w:r w:rsidR="002B1610" w:rsidRPr="002B1610">
        <w:rPr>
          <w:rFonts w:eastAsia="Calibri"/>
          <w:noProof w:val="0"/>
          <w:lang w:eastAsia="en-US"/>
        </w:rPr>
        <w:t xml:space="preserve"> </w:t>
      </w:r>
      <w:r w:rsidR="00B63DD7">
        <w:rPr>
          <w:rFonts w:eastAsia="Calibri"/>
          <w:noProof w:val="0"/>
          <w:lang w:eastAsia="en-US"/>
        </w:rPr>
        <w:t>p</w:t>
      </w:r>
      <w:r>
        <w:rPr>
          <w:rFonts w:eastAsia="Calibri"/>
          <w:noProof w:val="0"/>
          <w:lang w:eastAsia="en-US"/>
        </w:rPr>
        <w:t>roračuna Republike Slovenije.</w:t>
      </w:r>
    </w:p>
    <w:p w14:paraId="36F8865A" w14:textId="77777777" w:rsidR="00CF6A8D" w:rsidRDefault="00CF6A8D" w:rsidP="0023060D">
      <w:pPr>
        <w:spacing w:after="0" w:line="240" w:lineRule="auto"/>
        <w:ind w:right="0"/>
        <w:jc w:val="left"/>
        <w:rPr>
          <w:rFonts w:eastAsia="Calibri"/>
          <w:noProof w:val="0"/>
          <w:lang w:eastAsia="en-US"/>
        </w:rPr>
      </w:pPr>
      <w:r>
        <w:rPr>
          <w:rFonts w:eastAsia="Calibri"/>
          <w:bCs w:val="0"/>
          <w:noProof w:val="0"/>
          <w:lang w:eastAsia="en-US"/>
        </w:rPr>
        <w:tab/>
      </w:r>
      <w:r>
        <w:rPr>
          <w:rFonts w:eastAsia="Calibri"/>
          <w:bCs w:val="0"/>
          <w:noProof w:val="0"/>
          <w:lang w:eastAsia="en-US"/>
        </w:rPr>
        <w:tab/>
      </w:r>
    </w:p>
    <w:p w14:paraId="7BF9E433" w14:textId="7266A0EE" w:rsidR="0029006F" w:rsidRDefault="00CF6A8D" w:rsidP="001E77FC">
      <w:pPr>
        <w:spacing w:after="0" w:line="240" w:lineRule="auto"/>
        <w:ind w:right="0"/>
        <w:jc w:val="left"/>
        <w:rPr>
          <w:bCs w:val="0"/>
          <w:noProof w:val="0"/>
        </w:rPr>
      </w:pPr>
      <w:bookmarkStart w:id="1" w:name="_Toc55981663"/>
      <w:bookmarkStart w:id="2" w:name="_Toc101100365"/>
      <w:bookmarkStart w:id="3" w:name="_Toc166078459"/>
      <w:r>
        <w:rPr>
          <w:bCs w:val="0"/>
          <w:noProof w:val="0"/>
        </w:rPr>
        <w:t>Predvidena dinamika in viri financiranja celotnega projekta, v EUR z DDV</w:t>
      </w:r>
      <w:bookmarkEnd w:id="1"/>
      <w:bookmarkEnd w:id="2"/>
      <w:bookmarkEnd w:id="3"/>
      <w:r>
        <w:rPr>
          <w:bCs w:val="0"/>
          <w:noProof w:val="0"/>
        </w:rPr>
        <w:t>, so sledeči:</w:t>
      </w:r>
    </w:p>
    <w:tbl>
      <w:tblPr>
        <w:tblW w:w="8018" w:type="dxa"/>
        <w:tblInd w:w="704" w:type="dxa"/>
        <w:tblLook w:val="04A0" w:firstRow="1" w:lastRow="0" w:firstColumn="1" w:lastColumn="0" w:noHBand="0" w:noVBand="1"/>
      </w:tblPr>
      <w:tblGrid>
        <w:gridCol w:w="2693"/>
        <w:gridCol w:w="1511"/>
        <w:gridCol w:w="1182"/>
        <w:gridCol w:w="1305"/>
        <w:gridCol w:w="1498"/>
      </w:tblGrid>
      <w:tr w:rsidR="00943CAA" w14:paraId="0F1E2DAC" w14:textId="77777777" w:rsidTr="00C71C19">
        <w:trPr>
          <w:trHeight w:hRule="exact" w:val="583"/>
        </w:trPr>
        <w:tc>
          <w:tcPr>
            <w:tcW w:w="2693"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6F3B690" w14:textId="77777777" w:rsidR="00943CAA" w:rsidRDefault="00943CAA">
            <w:pPr>
              <w:ind w:left="-107"/>
              <w:jc w:val="center"/>
              <w:rPr>
                <w:rFonts w:cstheme="majorHAnsi"/>
                <w:b/>
                <w:bCs w:val="0"/>
                <w:color w:val="FFFFFF"/>
                <w:sz w:val="18"/>
                <w:szCs w:val="18"/>
                <w:lang w:eastAsia="en-US"/>
              </w:rPr>
            </w:pPr>
            <w:r>
              <w:rPr>
                <w:rFonts w:cstheme="majorHAnsi"/>
                <w:b/>
                <w:bCs w:val="0"/>
                <w:color w:val="FFFFFF"/>
                <w:sz w:val="18"/>
                <w:szCs w:val="18"/>
                <w:lang w:eastAsia="en-US"/>
              </w:rPr>
              <w:t>VIRI FINANCIRANJA</w:t>
            </w:r>
          </w:p>
        </w:tc>
        <w:tc>
          <w:tcPr>
            <w:tcW w:w="1511" w:type="dxa"/>
            <w:tcBorders>
              <w:top w:val="single" w:sz="4" w:space="0" w:color="auto"/>
              <w:left w:val="nil"/>
              <w:bottom w:val="single" w:sz="4" w:space="0" w:color="auto"/>
              <w:right w:val="single" w:sz="4" w:space="0" w:color="auto"/>
            </w:tcBorders>
            <w:shd w:val="clear" w:color="auto" w:fill="203764"/>
            <w:noWrap/>
            <w:vAlign w:val="bottom"/>
            <w:hideMark/>
          </w:tcPr>
          <w:p w14:paraId="7EAFB835" w14:textId="77777777" w:rsidR="00943CAA" w:rsidRDefault="00943CAA">
            <w:pPr>
              <w:ind w:left="-52" w:right="-21"/>
              <w:jc w:val="center"/>
              <w:rPr>
                <w:rFonts w:cstheme="majorHAnsi"/>
                <w:b/>
                <w:bCs w:val="0"/>
                <w:color w:val="FFFFFF"/>
                <w:sz w:val="18"/>
                <w:szCs w:val="18"/>
                <w:lang w:eastAsia="en-US"/>
              </w:rPr>
            </w:pPr>
            <w:r>
              <w:rPr>
                <w:rFonts w:cstheme="majorHAnsi"/>
                <w:b/>
                <w:bCs w:val="0"/>
                <w:color w:val="FFFFFF"/>
                <w:sz w:val="18"/>
                <w:szCs w:val="18"/>
                <w:lang w:eastAsia="en-US"/>
              </w:rPr>
              <w:t>SKUPAJ</w:t>
            </w:r>
          </w:p>
        </w:tc>
        <w:tc>
          <w:tcPr>
            <w:tcW w:w="1182" w:type="dxa"/>
            <w:tcBorders>
              <w:top w:val="single" w:sz="4" w:space="0" w:color="auto"/>
              <w:left w:val="nil"/>
              <w:bottom w:val="single" w:sz="4" w:space="0" w:color="auto"/>
              <w:right w:val="single" w:sz="4" w:space="0" w:color="auto"/>
            </w:tcBorders>
            <w:shd w:val="clear" w:color="auto" w:fill="203764"/>
            <w:noWrap/>
            <w:vAlign w:val="bottom"/>
            <w:hideMark/>
          </w:tcPr>
          <w:p w14:paraId="363AB9DF" w14:textId="77777777" w:rsidR="00943CAA" w:rsidRDefault="00943CAA">
            <w:pPr>
              <w:ind w:left="-65" w:right="0"/>
              <w:jc w:val="center"/>
              <w:rPr>
                <w:rFonts w:cstheme="majorHAnsi"/>
                <w:b/>
                <w:bCs w:val="0"/>
                <w:color w:val="FFFFFF"/>
                <w:sz w:val="18"/>
                <w:szCs w:val="18"/>
                <w:lang w:eastAsia="en-US"/>
              </w:rPr>
            </w:pPr>
            <w:r>
              <w:rPr>
                <w:rFonts w:cstheme="majorHAnsi"/>
                <w:b/>
                <w:bCs w:val="0"/>
                <w:color w:val="FFFFFF"/>
                <w:sz w:val="18"/>
                <w:szCs w:val="18"/>
                <w:lang w:eastAsia="en-US"/>
              </w:rPr>
              <w:t>DELEŽ</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03764"/>
            <w:noWrap/>
            <w:vAlign w:val="bottom"/>
            <w:hideMark/>
          </w:tcPr>
          <w:p w14:paraId="05F97A28" w14:textId="77777777" w:rsidR="00943CAA" w:rsidRDefault="00943CAA">
            <w:pPr>
              <w:ind w:left="-65" w:right="0"/>
              <w:jc w:val="center"/>
              <w:rPr>
                <w:rFonts w:cstheme="majorHAnsi"/>
                <w:b/>
                <w:bCs w:val="0"/>
                <w:color w:val="FFFFFF"/>
                <w:sz w:val="18"/>
                <w:szCs w:val="18"/>
                <w:lang w:eastAsia="en-US"/>
              </w:rPr>
            </w:pPr>
            <w:r>
              <w:rPr>
                <w:rFonts w:cstheme="majorHAnsi"/>
                <w:b/>
                <w:bCs w:val="0"/>
                <w:color w:val="FFFFFF"/>
                <w:sz w:val="18"/>
                <w:szCs w:val="18"/>
                <w:lang w:eastAsia="en-US"/>
              </w:rPr>
              <w:t>2026</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03764"/>
            <w:noWrap/>
            <w:vAlign w:val="bottom"/>
            <w:hideMark/>
          </w:tcPr>
          <w:p w14:paraId="4ECFF159" w14:textId="77777777" w:rsidR="00943CAA" w:rsidRDefault="00943CAA">
            <w:pPr>
              <w:ind w:left="-65" w:right="-22"/>
              <w:jc w:val="center"/>
              <w:rPr>
                <w:rFonts w:cstheme="majorHAnsi"/>
                <w:b/>
                <w:bCs w:val="0"/>
                <w:color w:val="FFFFFF"/>
                <w:sz w:val="18"/>
                <w:szCs w:val="18"/>
                <w:lang w:eastAsia="en-US"/>
              </w:rPr>
            </w:pPr>
            <w:r>
              <w:rPr>
                <w:rFonts w:cstheme="majorHAnsi"/>
                <w:b/>
                <w:bCs w:val="0"/>
                <w:color w:val="FFFFFF"/>
                <w:sz w:val="18"/>
                <w:szCs w:val="18"/>
                <w:lang w:eastAsia="en-US"/>
              </w:rPr>
              <w:t>2027</w:t>
            </w:r>
          </w:p>
        </w:tc>
      </w:tr>
      <w:tr w:rsidR="00943CAA" w14:paraId="6ADD9746" w14:textId="77777777" w:rsidTr="00C71C19">
        <w:trPr>
          <w:trHeight w:hRule="exact" w:val="563"/>
        </w:trPr>
        <w:tc>
          <w:tcPr>
            <w:tcW w:w="2693" w:type="dxa"/>
            <w:tcBorders>
              <w:top w:val="nil"/>
              <w:left w:val="single" w:sz="4" w:space="0" w:color="auto"/>
              <w:bottom w:val="single" w:sz="4" w:space="0" w:color="auto"/>
              <w:right w:val="single" w:sz="4" w:space="0" w:color="auto"/>
            </w:tcBorders>
            <w:shd w:val="clear" w:color="auto" w:fill="D9D9D9"/>
            <w:noWrap/>
            <w:vAlign w:val="bottom"/>
            <w:hideMark/>
          </w:tcPr>
          <w:p w14:paraId="13CADD27" w14:textId="77777777" w:rsidR="00943CAA" w:rsidRDefault="00943CAA" w:rsidP="00CF6A8D">
            <w:pPr>
              <w:ind w:left="35"/>
              <w:rPr>
                <w:rFonts w:cstheme="majorHAnsi"/>
                <w:b/>
                <w:bCs w:val="0"/>
                <w:color w:val="000000"/>
                <w:sz w:val="18"/>
                <w:szCs w:val="18"/>
                <w:lang w:eastAsia="en-US"/>
              </w:rPr>
            </w:pPr>
            <w:r>
              <w:rPr>
                <w:rFonts w:cstheme="majorHAnsi"/>
                <w:b/>
                <w:bCs w:val="0"/>
                <w:color w:val="000000"/>
                <w:sz w:val="18"/>
                <w:szCs w:val="18"/>
                <w:lang w:eastAsia="en-US"/>
              </w:rPr>
              <w:t>UPRAVIČENI STROŠKI</w:t>
            </w:r>
          </w:p>
        </w:tc>
        <w:tc>
          <w:tcPr>
            <w:tcW w:w="1511" w:type="dxa"/>
            <w:tcBorders>
              <w:top w:val="nil"/>
              <w:left w:val="nil"/>
              <w:bottom w:val="single" w:sz="8" w:space="0" w:color="auto"/>
              <w:right w:val="single" w:sz="8" w:space="0" w:color="auto"/>
            </w:tcBorders>
            <w:shd w:val="clear" w:color="auto" w:fill="D9D9D9"/>
            <w:noWrap/>
            <w:vAlign w:val="center"/>
            <w:hideMark/>
          </w:tcPr>
          <w:p w14:paraId="6892E773" w14:textId="59943034" w:rsidR="00943CAA" w:rsidRDefault="00FA3F40">
            <w:pPr>
              <w:ind w:left="-52" w:right="-21"/>
              <w:jc w:val="right"/>
              <w:rPr>
                <w:rFonts w:cstheme="majorHAnsi"/>
                <w:b/>
                <w:bCs w:val="0"/>
                <w:color w:val="000000"/>
                <w:sz w:val="18"/>
                <w:szCs w:val="18"/>
                <w:lang w:eastAsia="en-US"/>
              </w:rPr>
            </w:pPr>
            <w:r>
              <w:rPr>
                <w:b/>
                <w:bCs w:val="0"/>
                <w:color w:val="000000"/>
                <w:sz w:val="18"/>
                <w:szCs w:val="18"/>
                <w:lang w:eastAsia="en-US"/>
              </w:rPr>
              <w:t>975</w:t>
            </w:r>
            <w:r w:rsidR="00943CAA">
              <w:rPr>
                <w:b/>
                <w:bCs w:val="0"/>
                <w:color w:val="000000"/>
                <w:sz w:val="18"/>
                <w:szCs w:val="18"/>
                <w:lang w:eastAsia="en-US"/>
              </w:rPr>
              <w:t>.0</w:t>
            </w:r>
            <w:r w:rsidR="00B33A73">
              <w:rPr>
                <w:b/>
                <w:bCs w:val="0"/>
                <w:color w:val="000000"/>
                <w:sz w:val="18"/>
                <w:szCs w:val="18"/>
                <w:lang w:eastAsia="en-US"/>
              </w:rPr>
              <w:t>45</w:t>
            </w:r>
            <w:r w:rsidR="00943CAA">
              <w:rPr>
                <w:b/>
                <w:bCs w:val="0"/>
                <w:color w:val="000000"/>
                <w:sz w:val="18"/>
                <w:szCs w:val="18"/>
                <w:lang w:eastAsia="en-US"/>
              </w:rPr>
              <w:t>,</w:t>
            </w:r>
            <w:r w:rsidR="00B33A73">
              <w:rPr>
                <w:b/>
                <w:bCs w:val="0"/>
                <w:color w:val="000000"/>
                <w:sz w:val="18"/>
                <w:szCs w:val="18"/>
                <w:lang w:eastAsia="en-US"/>
              </w:rPr>
              <w:t>7</w:t>
            </w:r>
            <w:r w:rsidR="00943CAA">
              <w:rPr>
                <w:b/>
                <w:bCs w:val="0"/>
                <w:color w:val="000000"/>
                <w:sz w:val="18"/>
                <w:szCs w:val="18"/>
                <w:lang w:eastAsia="en-US"/>
              </w:rPr>
              <w:t>0</w:t>
            </w:r>
          </w:p>
        </w:tc>
        <w:tc>
          <w:tcPr>
            <w:tcW w:w="1182" w:type="dxa"/>
            <w:tcBorders>
              <w:top w:val="nil"/>
              <w:left w:val="nil"/>
              <w:bottom w:val="single" w:sz="8" w:space="0" w:color="auto"/>
              <w:right w:val="single" w:sz="8" w:space="0" w:color="auto"/>
            </w:tcBorders>
            <w:shd w:val="clear" w:color="auto" w:fill="D9D9D9"/>
            <w:noWrap/>
            <w:vAlign w:val="center"/>
            <w:hideMark/>
          </w:tcPr>
          <w:p w14:paraId="66C60F27" w14:textId="44EEEBD9" w:rsidR="00943CAA" w:rsidRDefault="004067DC">
            <w:pPr>
              <w:ind w:left="-65" w:right="0"/>
              <w:jc w:val="right"/>
              <w:rPr>
                <w:rFonts w:cstheme="majorHAnsi"/>
                <w:b/>
                <w:bCs w:val="0"/>
                <w:color w:val="000000"/>
                <w:sz w:val="18"/>
                <w:szCs w:val="18"/>
                <w:lang w:eastAsia="en-US"/>
              </w:rPr>
            </w:pPr>
            <w:r>
              <w:rPr>
                <w:b/>
                <w:bCs w:val="0"/>
                <w:color w:val="000000"/>
                <w:sz w:val="18"/>
                <w:szCs w:val="18"/>
                <w:lang w:eastAsia="en-US"/>
              </w:rPr>
              <w:t>97</w:t>
            </w:r>
            <w:r w:rsidR="00943CAA">
              <w:rPr>
                <w:b/>
                <w:bCs w:val="0"/>
                <w:color w:val="000000"/>
                <w:sz w:val="18"/>
                <w:szCs w:val="18"/>
                <w:lang w:eastAsia="en-US"/>
              </w:rPr>
              <w:t>,</w:t>
            </w:r>
            <w:r>
              <w:rPr>
                <w:b/>
                <w:bCs w:val="0"/>
                <w:color w:val="000000"/>
                <w:sz w:val="18"/>
                <w:szCs w:val="18"/>
                <w:lang w:eastAsia="en-US"/>
              </w:rPr>
              <w:t>13</w:t>
            </w:r>
            <w:r w:rsidR="00943CAA">
              <w:rPr>
                <w:b/>
                <w:bCs w:val="0"/>
                <w:color w:val="000000"/>
                <w:sz w:val="18"/>
                <w:szCs w:val="18"/>
                <w:lang w:eastAsia="en-US"/>
              </w:rPr>
              <w:t>%</w:t>
            </w:r>
          </w:p>
        </w:tc>
        <w:tc>
          <w:tcPr>
            <w:tcW w:w="1134" w:type="dxa"/>
            <w:tcBorders>
              <w:top w:val="nil"/>
              <w:left w:val="nil"/>
              <w:bottom w:val="single" w:sz="8" w:space="0" w:color="auto"/>
              <w:right w:val="single" w:sz="8" w:space="0" w:color="auto"/>
            </w:tcBorders>
            <w:shd w:val="clear" w:color="auto" w:fill="D9D9D9"/>
            <w:noWrap/>
            <w:vAlign w:val="center"/>
            <w:hideMark/>
          </w:tcPr>
          <w:p w14:paraId="574025FB" w14:textId="7FD2CD7B" w:rsidR="00943CAA" w:rsidRDefault="00016BD5">
            <w:pPr>
              <w:ind w:left="-65" w:right="0"/>
              <w:jc w:val="right"/>
              <w:rPr>
                <w:rFonts w:cstheme="majorHAnsi"/>
                <w:b/>
                <w:bCs w:val="0"/>
                <w:color w:val="000000"/>
                <w:sz w:val="18"/>
                <w:szCs w:val="18"/>
                <w:lang w:eastAsia="en-US"/>
              </w:rPr>
            </w:pPr>
            <w:r w:rsidRPr="00016BD5">
              <w:rPr>
                <w:b/>
                <w:bCs w:val="0"/>
                <w:color w:val="000000"/>
                <w:sz w:val="18"/>
                <w:szCs w:val="18"/>
                <w:lang w:eastAsia="en-US"/>
              </w:rPr>
              <w:t>50</w:t>
            </w:r>
            <w:r w:rsidR="0077510F">
              <w:rPr>
                <w:b/>
                <w:bCs w:val="0"/>
                <w:color w:val="000000"/>
                <w:sz w:val="18"/>
                <w:szCs w:val="18"/>
                <w:lang w:eastAsia="en-US"/>
              </w:rPr>
              <w:t>8</w:t>
            </w:r>
            <w:r w:rsidRPr="00016BD5">
              <w:rPr>
                <w:b/>
                <w:bCs w:val="0"/>
                <w:color w:val="000000"/>
                <w:sz w:val="18"/>
                <w:szCs w:val="18"/>
                <w:lang w:eastAsia="en-US"/>
              </w:rPr>
              <w:t>.</w:t>
            </w:r>
            <w:r w:rsidR="0077510F">
              <w:rPr>
                <w:b/>
                <w:bCs w:val="0"/>
                <w:color w:val="000000"/>
                <w:sz w:val="18"/>
                <w:szCs w:val="18"/>
                <w:lang w:eastAsia="en-US"/>
              </w:rPr>
              <w:t>78</w:t>
            </w:r>
            <w:r w:rsidRPr="00016BD5">
              <w:rPr>
                <w:b/>
                <w:bCs w:val="0"/>
                <w:color w:val="000000"/>
                <w:sz w:val="18"/>
                <w:szCs w:val="18"/>
                <w:lang w:eastAsia="en-US"/>
              </w:rPr>
              <w:t>0,00</w:t>
            </w:r>
          </w:p>
        </w:tc>
        <w:tc>
          <w:tcPr>
            <w:tcW w:w="1498" w:type="dxa"/>
            <w:tcBorders>
              <w:top w:val="nil"/>
              <w:left w:val="nil"/>
              <w:bottom w:val="single" w:sz="8" w:space="0" w:color="auto"/>
              <w:right w:val="single" w:sz="8" w:space="0" w:color="auto"/>
            </w:tcBorders>
            <w:shd w:val="clear" w:color="auto" w:fill="D9D9D9"/>
            <w:noWrap/>
            <w:vAlign w:val="center"/>
            <w:hideMark/>
          </w:tcPr>
          <w:p w14:paraId="52FDEDB7" w14:textId="022CFAC3" w:rsidR="00943CAA" w:rsidRDefault="00AE2063">
            <w:pPr>
              <w:ind w:left="-65" w:right="-22"/>
              <w:jc w:val="right"/>
              <w:rPr>
                <w:rFonts w:cstheme="majorHAnsi"/>
                <w:b/>
                <w:bCs w:val="0"/>
                <w:color w:val="000000"/>
                <w:sz w:val="18"/>
                <w:szCs w:val="18"/>
                <w:lang w:eastAsia="en-US"/>
              </w:rPr>
            </w:pPr>
            <w:r w:rsidRPr="00AE2063">
              <w:rPr>
                <w:b/>
                <w:bCs w:val="0"/>
                <w:color w:val="000000"/>
                <w:sz w:val="18"/>
                <w:szCs w:val="18"/>
                <w:lang w:eastAsia="en-US"/>
              </w:rPr>
              <w:t>466.265,70</w:t>
            </w:r>
          </w:p>
        </w:tc>
      </w:tr>
      <w:tr w:rsidR="00943CAA" w14:paraId="3159E6CC" w14:textId="77777777" w:rsidTr="00C71C19">
        <w:trPr>
          <w:trHeight w:hRule="exact" w:val="605"/>
        </w:trPr>
        <w:tc>
          <w:tcPr>
            <w:tcW w:w="2693" w:type="dxa"/>
            <w:tcBorders>
              <w:top w:val="nil"/>
              <w:left w:val="single" w:sz="4" w:space="0" w:color="auto"/>
              <w:bottom w:val="single" w:sz="4" w:space="0" w:color="auto"/>
              <w:right w:val="single" w:sz="4" w:space="0" w:color="auto"/>
            </w:tcBorders>
            <w:noWrap/>
            <w:vAlign w:val="bottom"/>
            <w:hideMark/>
          </w:tcPr>
          <w:p w14:paraId="52014334" w14:textId="16C72042" w:rsidR="00943CAA" w:rsidRDefault="00943CAA" w:rsidP="00115833">
            <w:pPr>
              <w:ind w:left="35"/>
              <w:jc w:val="left"/>
              <w:rPr>
                <w:rFonts w:cstheme="majorHAnsi"/>
                <w:bCs w:val="0"/>
                <w:color w:val="000000"/>
                <w:sz w:val="18"/>
                <w:szCs w:val="18"/>
                <w:lang w:eastAsia="en-US"/>
              </w:rPr>
            </w:pPr>
            <w:r w:rsidRPr="000F3E79">
              <w:rPr>
                <w:rFonts w:cstheme="majorHAnsi"/>
                <w:color w:val="000000"/>
                <w:sz w:val="18"/>
                <w:szCs w:val="18"/>
                <w:lang w:eastAsia="en-US"/>
              </w:rPr>
              <w:t>Nepovratna sredstva MGTŠ</w:t>
            </w:r>
          </w:p>
        </w:tc>
        <w:tc>
          <w:tcPr>
            <w:tcW w:w="1511" w:type="dxa"/>
            <w:tcBorders>
              <w:top w:val="nil"/>
              <w:left w:val="nil"/>
              <w:bottom w:val="single" w:sz="8" w:space="0" w:color="auto"/>
              <w:right w:val="single" w:sz="8" w:space="0" w:color="auto"/>
            </w:tcBorders>
            <w:noWrap/>
            <w:vAlign w:val="center"/>
            <w:hideMark/>
          </w:tcPr>
          <w:p w14:paraId="157BF597" w14:textId="0EF4B610" w:rsidR="00943CAA" w:rsidRDefault="00943CAA">
            <w:pPr>
              <w:ind w:left="-52" w:right="-21"/>
              <w:jc w:val="right"/>
              <w:rPr>
                <w:rFonts w:cstheme="majorHAnsi"/>
                <w:color w:val="000000"/>
                <w:sz w:val="18"/>
                <w:szCs w:val="18"/>
                <w:lang w:eastAsia="en-US"/>
              </w:rPr>
            </w:pPr>
            <w:r>
              <w:rPr>
                <w:color w:val="000000"/>
                <w:sz w:val="18"/>
                <w:szCs w:val="18"/>
                <w:lang w:eastAsia="en-US"/>
              </w:rPr>
              <w:t>500.000,00</w:t>
            </w:r>
          </w:p>
        </w:tc>
        <w:tc>
          <w:tcPr>
            <w:tcW w:w="1182" w:type="dxa"/>
            <w:tcBorders>
              <w:top w:val="nil"/>
              <w:left w:val="nil"/>
              <w:bottom w:val="single" w:sz="8" w:space="0" w:color="auto"/>
              <w:right w:val="single" w:sz="8" w:space="0" w:color="auto"/>
            </w:tcBorders>
            <w:noWrap/>
            <w:vAlign w:val="center"/>
            <w:hideMark/>
          </w:tcPr>
          <w:p w14:paraId="4F895136" w14:textId="3E074A1F" w:rsidR="00943CAA" w:rsidRDefault="00763EEA">
            <w:pPr>
              <w:ind w:left="-65" w:right="0"/>
              <w:jc w:val="right"/>
              <w:rPr>
                <w:rFonts w:cstheme="majorHAnsi"/>
                <w:color w:val="000000"/>
                <w:sz w:val="18"/>
                <w:szCs w:val="18"/>
                <w:lang w:eastAsia="en-US"/>
              </w:rPr>
            </w:pPr>
            <w:r w:rsidRPr="00763EEA">
              <w:rPr>
                <w:color w:val="000000"/>
                <w:sz w:val="18"/>
                <w:szCs w:val="18"/>
                <w:lang w:eastAsia="en-US"/>
              </w:rPr>
              <w:t>49,81%</w:t>
            </w:r>
          </w:p>
        </w:tc>
        <w:tc>
          <w:tcPr>
            <w:tcW w:w="1134" w:type="dxa"/>
            <w:tcBorders>
              <w:top w:val="nil"/>
              <w:left w:val="nil"/>
              <w:bottom w:val="single" w:sz="8" w:space="0" w:color="auto"/>
              <w:right w:val="single" w:sz="8" w:space="0" w:color="auto"/>
            </w:tcBorders>
            <w:noWrap/>
            <w:vAlign w:val="center"/>
            <w:hideMark/>
          </w:tcPr>
          <w:p w14:paraId="61FD56A9" w14:textId="34196C49" w:rsidR="00943CAA" w:rsidRDefault="00016BD5">
            <w:pPr>
              <w:ind w:left="-65" w:right="0"/>
              <w:jc w:val="right"/>
              <w:rPr>
                <w:rFonts w:cstheme="majorHAnsi"/>
                <w:color w:val="000000"/>
                <w:sz w:val="18"/>
                <w:szCs w:val="18"/>
                <w:lang w:eastAsia="en-US"/>
              </w:rPr>
            </w:pPr>
            <w:r w:rsidRPr="00016BD5">
              <w:rPr>
                <w:color w:val="000000"/>
                <w:sz w:val="18"/>
                <w:szCs w:val="18"/>
                <w:lang w:eastAsia="en-US"/>
              </w:rPr>
              <w:t>500.000,00</w:t>
            </w:r>
          </w:p>
        </w:tc>
        <w:tc>
          <w:tcPr>
            <w:tcW w:w="1498" w:type="dxa"/>
            <w:tcBorders>
              <w:top w:val="nil"/>
              <w:left w:val="nil"/>
              <w:bottom w:val="single" w:sz="8" w:space="0" w:color="auto"/>
              <w:right w:val="single" w:sz="8" w:space="0" w:color="auto"/>
            </w:tcBorders>
            <w:noWrap/>
            <w:vAlign w:val="center"/>
            <w:hideMark/>
          </w:tcPr>
          <w:p w14:paraId="4EF28DA0" w14:textId="07BC14B9" w:rsidR="00943CAA" w:rsidRDefault="00AE2063">
            <w:pPr>
              <w:ind w:left="-65" w:right="-22"/>
              <w:jc w:val="right"/>
              <w:rPr>
                <w:rFonts w:cstheme="majorHAnsi"/>
                <w:color w:val="000000"/>
                <w:sz w:val="18"/>
                <w:szCs w:val="18"/>
                <w:lang w:eastAsia="en-US"/>
              </w:rPr>
            </w:pPr>
            <w:r>
              <w:rPr>
                <w:color w:val="000000"/>
                <w:sz w:val="18"/>
                <w:szCs w:val="18"/>
                <w:lang w:eastAsia="en-US"/>
              </w:rPr>
              <w:t>0</w:t>
            </w:r>
            <w:r w:rsidR="00943CAA">
              <w:rPr>
                <w:color w:val="000000"/>
                <w:sz w:val="18"/>
                <w:szCs w:val="18"/>
                <w:lang w:eastAsia="en-US"/>
              </w:rPr>
              <w:t>,</w:t>
            </w:r>
            <w:r w:rsidR="0077510F">
              <w:rPr>
                <w:color w:val="000000"/>
                <w:sz w:val="18"/>
                <w:szCs w:val="18"/>
                <w:lang w:eastAsia="en-US"/>
              </w:rPr>
              <w:t>00</w:t>
            </w:r>
          </w:p>
        </w:tc>
      </w:tr>
      <w:tr w:rsidR="00943CAA" w14:paraId="6B35D42E" w14:textId="77777777" w:rsidTr="00C71C19">
        <w:trPr>
          <w:trHeight w:hRule="exact" w:val="397"/>
        </w:trPr>
        <w:tc>
          <w:tcPr>
            <w:tcW w:w="2693" w:type="dxa"/>
            <w:tcBorders>
              <w:top w:val="nil"/>
              <w:left w:val="single" w:sz="4" w:space="0" w:color="auto"/>
              <w:bottom w:val="single" w:sz="4" w:space="0" w:color="auto"/>
              <w:right w:val="single" w:sz="4" w:space="0" w:color="auto"/>
            </w:tcBorders>
            <w:noWrap/>
            <w:vAlign w:val="bottom"/>
            <w:hideMark/>
          </w:tcPr>
          <w:p w14:paraId="32919002" w14:textId="77777777" w:rsidR="00943CAA" w:rsidRDefault="00943CAA" w:rsidP="00CF6A8D">
            <w:pPr>
              <w:ind w:left="35"/>
              <w:rPr>
                <w:rFonts w:cstheme="majorHAnsi"/>
                <w:color w:val="000000"/>
                <w:sz w:val="18"/>
                <w:szCs w:val="18"/>
                <w:lang w:eastAsia="en-US"/>
              </w:rPr>
            </w:pPr>
            <w:r>
              <w:rPr>
                <w:rFonts w:cstheme="majorHAnsi"/>
                <w:color w:val="000000"/>
                <w:sz w:val="18"/>
                <w:szCs w:val="18"/>
                <w:lang w:eastAsia="en-US"/>
              </w:rPr>
              <w:t>Lastna sredstva</w:t>
            </w:r>
          </w:p>
        </w:tc>
        <w:tc>
          <w:tcPr>
            <w:tcW w:w="1511" w:type="dxa"/>
            <w:tcBorders>
              <w:top w:val="nil"/>
              <w:left w:val="nil"/>
              <w:bottom w:val="single" w:sz="8" w:space="0" w:color="auto"/>
              <w:right w:val="single" w:sz="8" w:space="0" w:color="auto"/>
            </w:tcBorders>
            <w:noWrap/>
            <w:vAlign w:val="center"/>
            <w:hideMark/>
          </w:tcPr>
          <w:p w14:paraId="154E676F" w14:textId="362EF85D" w:rsidR="00943CAA" w:rsidRDefault="00C71C19">
            <w:pPr>
              <w:ind w:left="-52" w:right="-21"/>
              <w:jc w:val="right"/>
              <w:rPr>
                <w:rFonts w:cstheme="majorHAnsi"/>
                <w:color w:val="000000"/>
                <w:sz w:val="18"/>
                <w:szCs w:val="18"/>
                <w:lang w:eastAsia="en-US"/>
              </w:rPr>
            </w:pPr>
            <w:r w:rsidRPr="00C71C19">
              <w:rPr>
                <w:color w:val="000000"/>
                <w:sz w:val="18"/>
                <w:szCs w:val="18"/>
                <w:lang w:eastAsia="en-US"/>
              </w:rPr>
              <w:t>475.045,70</w:t>
            </w:r>
          </w:p>
        </w:tc>
        <w:tc>
          <w:tcPr>
            <w:tcW w:w="1182" w:type="dxa"/>
            <w:tcBorders>
              <w:top w:val="nil"/>
              <w:left w:val="nil"/>
              <w:bottom w:val="single" w:sz="8" w:space="0" w:color="auto"/>
              <w:right w:val="single" w:sz="8" w:space="0" w:color="auto"/>
            </w:tcBorders>
            <w:noWrap/>
            <w:vAlign w:val="center"/>
            <w:hideMark/>
          </w:tcPr>
          <w:p w14:paraId="7BE2C478" w14:textId="6466AA39" w:rsidR="00943CAA" w:rsidRDefault="00F52C97">
            <w:pPr>
              <w:ind w:left="-65" w:right="0"/>
              <w:jc w:val="right"/>
              <w:rPr>
                <w:rFonts w:cstheme="majorHAnsi"/>
                <w:color w:val="000000"/>
                <w:sz w:val="18"/>
                <w:szCs w:val="18"/>
                <w:lang w:eastAsia="en-US"/>
              </w:rPr>
            </w:pPr>
            <w:r w:rsidRPr="00F52C97">
              <w:rPr>
                <w:color w:val="000000"/>
                <w:sz w:val="18"/>
                <w:szCs w:val="18"/>
                <w:lang w:eastAsia="en-US"/>
              </w:rPr>
              <w:t>47,32%</w:t>
            </w:r>
          </w:p>
        </w:tc>
        <w:tc>
          <w:tcPr>
            <w:tcW w:w="1134" w:type="dxa"/>
            <w:tcBorders>
              <w:top w:val="nil"/>
              <w:left w:val="nil"/>
              <w:bottom w:val="single" w:sz="8" w:space="0" w:color="auto"/>
              <w:right w:val="single" w:sz="8" w:space="0" w:color="auto"/>
            </w:tcBorders>
            <w:noWrap/>
            <w:vAlign w:val="center"/>
            <w:hideMark/>
          </w:tcPr>
          <w:p w14:paraId="459823CF" w14:textId="1D401962" w:rsidR="00943CAA" w:rsidRDefault="002378A3">
            <w:pPr>
              <w:ind w:left="-65" w:right="0"/>
              <w:jc w:val="right"/>
              <w:rPr>
                <w:rFonts w:cstheme="majorHAnsi"/>
                <w:color w:val="000000"/>
                <w:sz w:val="18"/>
                <w:szCs w:val="18"/>
                <w:lang w:eastAsia="en-US"/>
              </w:rPr>
            </w:pPr>
            <w:r w:rsidRPr="002378A3">
              <w:rPr>
                <w:color w:val="000000"/>
                <w:sz w:val="18"/>
                <w:szCs w:val="18"/>
                <w:lang w:eastAsia="en-US"/>
              </w:rPr>
              <w:t>8.780,00</w:t>
            </w:r>
          </w:p>
        </w:tc>
        <w:tc>
          <w:tcPr>
            <w:tcW w:w="1498" w:type="dxa"/>
            <w:tcBorders>
              <w:top w:val="nil"/>
              <w:left w:val="nil"/>
              <w:bottom w:val="single" w:sz="8" w:space="0" w:color="auto"/>
              <w:right w:val="single" w:sz="8" w:space="0" w:color="auto"/>
            </w:tcBorders>
            <w:noWrap/>
            <w:vAlign w:val="center"/>
            <w:hideMark/>
          </w:tcPr>
          <w:p w14:paraId="78A28B8C" w14:textId="7F0BF62F" w:rsidR="00943CAA" w:rsidRDefault="00AE2063">
            <w:pPr>
              <w:ind w:left="-65" w:right="-22"/>
              <w:jc w:val="right"/>
              <w:rPr>
                <w:rFonts w:cstheme="majorHAnsi"/>
                <w:color w:val="000000"/>
                <w:sz w:val="18"/>
                <w:szCs w:val="18"/>
                <w:lang w:eastAsia="en-US"/>
              </w:rPr>
            </w:pPr>
            <w:r w:rsidRPr="00AE2063">
              <w:rPr>
                <w:color w:val="000000"/>
                <w:sz w:val="18"/>
                <w:szCs w:val="18"/>
                <w:lang w:eastAsia="en-US"/>
              </w:rPr>
              <w:t>466.265,70</w:t>
            </w:r>
          </w:p>
        </w:tc>
      </w:tr>
      <w:tr w:rsidR="00943CAA" w14:paraId="63D63510" w14:textId="77777777" w:rsidTr="00C71C19">
        <w:trPr>
          <w:trHeight w:hRule="exact" w:val="503"/>
        </w:trPr>
        <w:tc>
          <w:tcPr>
            <w:tcW w:w="2693" w:type="dxa"/>
            <w:tcBorders>
              <w:top w:val="nil"/>
              <w:left w:val="single" w:sz="4" w:space="0" w:color="auto"/>
              <w:bottom w:val="single" w:sz="4" w:space="0" w:color="auto"/>
              <w:right w:val="single" w:sz="4" w:space="0" w:color="auto"/>
            </w:tcBorders>
            <w:shd w:val="clear" w:color="auto" w:fill="D9D9D9"/>
            <w:noWrap/>
            <w:vAlign w:val="bottom"/>
            <w:hideMark/>
          </w:tcPr>
          <w:p w14:paraId="0B19DD27" w14:textId="77777777" w:rsidR="00943CAA" w:rsidRDefault="00943CAA" w:rsidP="00CF6A8D">
            <w:pPr>
              <w:ind w:left="35"/>
              <w:rPr>
                <w:rFonts w:cstheme="majorHAnsi"/>
                <w:b/>
                <w:color w:val="000000"/>
                <w:sz w:val="18"/>
                <w:szCs w:val="18"/>
                <w:lang w:eastAsia="en-US"/>
              </w:rPr>
            </w:pPr>
            <w:r>
              <w:rPr>
                <w:rFonts w:cstheme="majorHAnsi"/>
                <w:b/>
                <w:bCs w:val="0"/>
                <w:color w:val="000000"/>
                <w:sz w:val="18"/>
                <w:szCs w:val="18"/>
                <w:lang w:eastAsia="en-US"/>
              </w:rPr>
              <w:t>NEUPRAVIČENI STROŠKI</w:t>
            </w:r>
          </w:p>
        </w:tc>
        <w:tc>
          <w:tcPr>
            <w:tcW w:w="1511" w:type="dxa"/>
            <w:tcBorders>
              <w:top w:val="nil"/>
              <w:left w:val="nil"/>
              <w:bottom w:val="single" w:sz="8" w:space="0" w:color="auto"/>
              <w:right w:val="single" w:sz="8" w:space="0" w:color="auto"/>
            </w:tcBorders>
            <w:shd w:val="clear" w:color="auto" w:fill="D9D9D9"/>
            <w:noWrap/>
            <w:vAlign w:val="center"/>
            <w:hideMark/>
          </w:tcPr>
          <w:p w14:paraId="7A45DF21" w14:textId="38D91F54" w:rsidR="00943CAA" w:rsidRDefault="00DA37CD">
            <w:pPr>
              <w:ind w:left="-52" w:right="-21"/>
              <w:jc w:val="right"/>
              <w:rPr>
                <w:rFonts w:cstheme="majorHAnsi"/>
                <w:b/>
                <w:bCs w:val="0"/>
                <w:color w:val="000000"/>
                <w:sz w:val="18"/>
                <w:szCs w:val="18"/>
                <w:lang w:eastAsia="en-US"/>
              </w:rPr>
            </w:pPr>
            <w:r w:rsidRPr="00DA37CD">
              <w:rPr>
                <w:b/>
                <w:bCs w:val="0"/>
                <w:color w:val="000000"/>
                <w:sz w:val="18"/>
                <w:szCs w:val="18"/>
                <w:lang w:eastAsia="en-US"/>
              </w:rPr>
              <w:t>28.790,33</w:t>
            </w:r>
          </w:p>
        </w:tc>
        <w:tc>
          <w:tcPr>
            <w:tcW w:w="1182" w:type="dxa"/>
            <w:tcBorders>
              <w:top w:val="nil"/>
              <w:left w:val="nil"/>
              <w:bottom w:val="single" w:sz="8" w:space="0" w:color="auto"/>
              <w:right w:val="single" w:sz="8" w:space="0" w:color="auto"/>
            </w:tcBorders>
            <w:shd w:val="clear" w:color="auto" w:fill="D9D9D9"/>
            <w:noWrap/>
            <w:vAlign w:val="center"/>
            <w:hideMark/>
          </w:tcPr>
          <w:p w14:paraId="658DFD81" w14:textId="3D5536B7" w:rsidR="00943CAA" w:rsidRDefault="004067DC">
            <w:pPr>
              <w:ind w:left="-65" w:right="0"/>
              <w:jc w:val="right"/>
              <w:rPr>
                <w:rFonts w:cstheme="majorHAnsi"/>
                <w:b/>
                <w:bCs w:val="0"/>
                <w:color w:val="000000"/>
                <w:sz w:val="18"/>
                <w:szCs w:val="18"/>
                <w:lang w:eastAsia="en-US"/>
              </w:rPr>
            </w:pPr>
            <w:r>
              <w:rPr>
                <w:b/>
                <w:bCs w:val="0"/>
                <w:color w:val="000000"/>
                <w:sz w:val="18"/>
                <w:szCs w:val="18"/>
                <w:lang w:eastAsia="en-US"/>
              </w:rPr>
              <w:t>2</w:t>
            </w:r>
            <w:r w:rsidR="00943CAA">
              <w:rPr>
                <w:b/>
                <w:bCs w:val="0"/>
                <w:color w:val="000000"/>
                <w:sz w:val="18"/>
                <w:szCs w:val="18"/>
                <w:lang w:eastAsia="en-US"/>
              </w:rPr>
              <w:t>,</w:t>
            </w:r>
            <w:r>
              <w:rPr>
                <w:b/>
                <w:bCs w:val="0"/>
                <w:color w:val="000000"/>
                <w:sz w:val="18"/>
                <w:szCs w:val="18"/>
                <w:lang w:eastAsia="en-US"/>
              </w:rPr>
              <w:t>87</w:t>
            </w:r>
            <w:r w:rsidR="00943CAA">
              <w:rPr>
                <w:b/>
                <w:bCs w:val="0"/>
                <w:color w:val="000000"/>
                <w:sz w:val="18"/>
                <w:szCs w:val="18"/>
                <w:lang w:eastAsia="en-US"/>
              </w:rPr>
              <w:t>%</w:t>
            </w:r>
          </w:p>
        </w:tc>
        <w:tc>
          <w:tcPr>
            <w:tcW w:w="1134" w:type="dxa"/>
            <w:tcBorders>
              <w:top w:val="nil"/>
              <w:left w:val="nil"/>
              <w:bottom w:val="single" w:sz="8" w:space="0" w:color="auto"/>
              <w:right w:val="single" w:sz="8" w:space="0" w:color="auto"/>
            </w:tcBorders>
            <w:shd w:val="clear" w:color="auto" w:fill="D9D9D9"/>
            <w:noWrap/>
            <w:vAlign w:val="center"/>
            <w:hideMark/>
          </w:tcPr>
          <w:p w14:paraId="13433C45" w14:textId="4989E072" w:rsidR="00943CAA" w:rsidRDefault="00AB7294">
            <w:pPr>
              <w:ind w:left="-65" w:right="0"/>
              <w:jc w:val="right"/>
              <w:rPr>
                <w:rFonts w:cstheme="majorHAnsi"/>
                <w:b/>
                <w:bCs w:val="0"/>
                <w:color w:val="000000"/>
                <w:sz w:val="18"/>
                <w:szCs w:val="18"/>
                <w:lang w:eastAsia="en-US"/>
              </w:rPr>
            </w:pPr>
            <w:r w:rsidRPr="00AB7294">
              <w:rPr>
                <w:b/>
                <w:bCs w:val="0"/>
                <w:color w:val="000000"/>
                <w:sz w:val="18"/>
                <w:szCs w:val="18"/>
                <w:lang w:eastAsia="en-US"/>
              </w:rPr>
              <w:t>14.640,00</w:t>
            </w:r>
          </w:p>
        </w:tc>
        <w:tc>
          <w:tcPr>
            <w:tcW w:w="1498" w:type="dxa"/>
            <w:tcBorders>
              <w:top w:val="nil"/>
              <w:left w:val="nil"/>
              <w:bottom w:val="single" w:sz="8" w:space="0" w:color="auto"/>
              <w:right w:val="single" w:sz="8" w:space="0" w:color="auto"/>
            </w:tcBorders>
            <w:shd w:val="clear" w:color="auto" w:fill="D9D9D9"/>
            <w:noWrap/>
            <w:vAlign w:val="center"/>
            <w:hideMark/>
          </w:tcPr>
          <w:p w14:paraId="156BE6F4" w14:textId="0CBC245C" w:rsidR="00943CAA" w:rsidRDefault="0007775A">
            <w:pPr>
              <w:ind w:left="-65" w:right="-22"/>
              <w:jc w:val="right"/>
              <w:rPr>
                <w:rFonts w:cstheme="majorHAnsi"/>
                <w:b/>
                <w:bCs w:val="0"/>
                <w:color w:val="000000"/>
                <w:sz w:val="18"/>
                <w:szCs w:val="18"/>
                <w:lang w:eastAsia="en-US"/>
              </w:rPr>
            </w:pPr>
            <w:r w:rsidRPr="0007775A">
              <w:rPr>
                <w:b/>
                <w:bCs w:val="0"/>
                <w:color w:val="000000"/>
                <w:sz w:val="18"/>
                <w:szCs w:val="18"/>
                <w:lang w:eastAsia="en-US"/>
              </w:rPr>
              <w:t>14.150,33</w:t>
            </w:r>
          </w:p>
        </w:tc>
      </w:tr>
      <w:tr w:rsidR="00943CAA" w14:paraId="65E875F3" w14:textId="77777777" w:rsidTr="00C71C19">
        <w:trPr>
          <w:trHeight w:hRule="exact" w:val="397"/>
        </w:trPr>
        <w:tc>
          <w:tcPr>
            <w:tcW w:w="2693" w:type="dxa"/>
            <w:tcBorders>
              <w:top w:val="nil"/>
              <w:left w:val="single" w:sz="4" w:space="0" w:color="auto"/>
              <w:bottom w:val="single" w:sz="4" w:space="0" w:color="auto"/>
              <w:right w:val="single" w:sz="4" w:space="0" w:color="auto"/>
            </w:tcBorders>
            <w:noWrap/>
            <w:vAlign w:val="bottom"/>
            <w:hideMark/>
          </w:tcPr>
          <w:p w14:paraId="1DE211F3" w14:textId="77777777" w:rsidR="00943CAA" w:rsidRDefault="00943CAA" w:rsidP="00CF6A8D">
            <w:pPr>
              <w:ind w:left="35"/>
              <w:rPr>
                <w:rFonts w:cstheme="majorHAnsi"/>
                <w:color w:val="000000"/>
                <w:sz w:val="18"/>
                <w:szCs w:val="18"/>
                <w:lang w:eastAsia="en-US"/>
              </w:rPr>
            </w:pPr>
            <w:r>
              <w:rPr>
                <w:rFonts w:cstheme="majorHAnsi"/>
                <w:color w:val="000000"/>
                <w:sz w:val="18"/>
                <w:szCs w:val="18"/>
                <w:lang w:eastAsia="en-US"/>
              </w:rPr>
              <w:t>Lastna sredstva</w:t>
            </w:r>
          </w:p>
        </w:tc>
        <w:tc>
          <w:tcPr>
            <w:tcW w:w="1511" w:type="dxa"/>
            <w:tcBorders>
              <w:top w:val="nil"/>
              <w:left w:val="nil"/>
              <w:bottom w:val="single" w:sz="8" w:space="0" w:color="auto"/>
              <w:right w:val="single" w:sz="8" w:space="0" w:color="auto"/>
            </w:tcBorders>
            <w:noWrap/>
            <w:vAlign w:val="center"/>
            <w:hideMark/>
          </w:tcPr>
          <w:p w14:paraId="04D76C2D" w14:textId="12CF220F" w:rsidR="00943CAA" w:rsidRDefault="00A21C77">
            <w:pPr>
              <w:ind w:left="-52" w:right="-21"/>
              <w:jc w:val="right"/>
              <w:rPr>
                <w:rFonts w:cstheme="majorHAnsi"/>
                <w:color w:val="000000"/>
                <w:sz w:val="18"/>
                <w:szCs w:val="18"/>
                <w:lang w:eastAsia="en-US"/>
              </w:rPr>
            </w:pPr>
            <w:r w:rsidRPr="00A21C77">
              <w:rPr>
                <w:color w:val="000000"/>
                <w:sz w:val="18"/>
                <w:szCs w:val="18"/>
                <w:lang w:eastAsia="en-US"/>
              </w:rPr>
              <w:t>28.790,33</w:t>
            </w:r>
          </w:p>
        </w:tc>
        <w:tc>
          <w:tcPr>
            <w:tcW w:w="1182" w:type="dxa"/>
            <w:tcBorders>
              <w:top w:val="nil"/>
              <w:left w:val="nil"/>
              <w:bottom w:val="single" w:sz="8" w:space="0" w:color="auto"/>
              <w:right w:val="single" w:sz="8" w:space="0" w:color="auto"/>
            </w:tcBorders>
            <w:noWrap/>
            <w:vAlign w:val="center"/>
            <w:hideMark/>
          </w:tcPr>
          <w:p w14:paraId="575DA61B" w14:textId="65AF66A9" w:rsidR="00943CAA" w:rsidRDefault="001A0CF9">
            <w:pPr>
              <w:ind w:left="-65" w:right="0"/>
              <w:jc w:val="right"/>
              <w:rPr>
                <w:rFonts w:cstheme="majorHAnsi"/>
                <w:color w:val="000000"/>
                <w:sz w:val="18"/>
                <w:szCs w:val="18"/>
                <w:lang w:eastAsia="en-US"/>
              </w:rPr>
            </w:pPr>
            <w:r w:rsidRPr="001A0CF9">
              <w:rPr>
                <w:color w:val="000000"/>
                <w:sz w:val="18"/>
                <w:szCs w:val="18"/>
                <w:lang w:eastAsia="en-US"/>
              </w:rPr>
              <w:t>2,87%</w:t>
            </w:r>
          </w:p>
        </w:tc>
        <w:tc>
          <w:tcPr>
            <w:tcW w:w="1134" w:type="dxa"/>
            <w:tcBorders>
              <w:top w:val="nil"/>
              <w:left w:val="nil"/>
              <w:bottom w:val="single" w:sz="8" w:space="0" w:color="auto"/>
              <w:right w:val="single" w:sz="8" w:space="0" w:color="auto"/>
            </w:tcBorders>
            <w:noWrap/>
            <w:vAlign w:val="center"/>
            <w:hideMark/>
          </w:tcPr>
          <w:p w14:paraId="3EBA36A5" w14:textId="2DEF26F1" w:rsidR="00943CAA" w:rsidRDefault="00AB7294">
            <w:pPr>
              <w:ind w:left="-65" w:right="0"/>
              <w:jc w:val="right"/>
              <w:rPr>
                <w:rFonts w:cstheme="majorHAnsi"/>
                <w:color w:val="000000"/>
                <w:sz w:val="18"/>
                <w:szCs w:val="18"/>
                <w:lang w:eastAsia="en-US"/>
              </w:rPr>
            </w:pPr>
            <w:r w:rsidRPr="00AB7294">
              <w:rPr>
                <w:color w:val="000000"/>
                <w:sz w:val="18"/>
                <w:szCs w:val="18"/>
                <w:lang w:eastAsia="en-US"/>
              </w:rPr>
              <w:t>14.640,00</w:t>
            </w:r>
          </w:p>
        </w:tc>
        <w:tc>
          <w:tcPr>
            <w:tcW w:w="1498" w:type="dxa"/>
            <w:tcBorders>
              <w:top w:val="nil"/>
              <w:left w:val="nil"/>
              <w:bottom w:val="single" w:sz="8" w:space="0" w:color="auto"/>
              <w:right w:val="single" w:sz="8" w:space="0" w:color="auto"/>
            </w:tcBorders>
            <w:noWrap/>
            <w:vAlign w:val="center"/>
            <w:hideMark/>
          </w:tcPr>
          <w:p w14:paraId="08CF33CF" w14:textId="0BD2FFB7" w:rsidR="00943CAA" w:rsidRDefault="0007775A">
            <w:pPr>
              <w:ind w:left="-65" w:right="-22"/>
              <w:jc w:val="right"/>
              <w:rPr>
                <w:rFonts w:cstheme="majorHAnsi"/>
                <w:color w:val="000000"/>
                <w:sz w:val="18"/>
                <w:szCs w:val="18"/>
                <w:lang w:eastAsia="en-US"/>
              </w:rPr>
            </w:pPr>
            <w:r w:rsidRPr="0007775A">
              <w:rPr>
                <w:color w:val="000000"/>
                <w:sz w:val="18"/>
                <w:szCs w:val="18"/>
                <w:lang w:eastAsia="en-US"/>
              </w:rPr>
              <w:t>14.150,33</w:t>
            </w:r>
          </w:p>
        </w:tc>
      </w:tr>
      <w:tr w:rsidR="00943CAA" w14:paraId="4A9EF42B" w14:textId="77777777" w:rsidTr="00C71C19">
        <w:trPr>
          <w:trHeight w:hRule="exact" w:val="397"/>
        </w:trPr>
        <w:tc>
          <w:tcPr>
            <w:tcW w:w="2693" w:type="dxa"/>
            <w:tcBorders>
              <w:top w:val="nil"/>
              <w:left w:val="single" w:sz="4" w:space="0" w:color="auto"/>
              <w:bottom w:val="single" w:sz="4" w:space="0" w:color="auto"/>
              <w:right w:val="single" w:sz="4" w:space="0" w:color="auto"/>
            </w:tcBorders>
            <w:shd w:val="clear" w:color="auto" w:fill="D9D9D9"/>
            <w:noWrap/>
            <w:vAlign w:val="bottom"/>
            <w:hideMark/>
          </w:tcPr>
          <w:p w14:paraId="2201E9FC" w14:textId="77777777" w:rsidR="00943CAA" w:rsidRDefault="00943CAA" w:rsidP="00CF6A8D">
            <w:pPr>
              <w:ind w:left="35"/>
              <w:rPr>
                <w:rFonts w:cstheme="majorHAnsi"/>
                <w:b/>
                <w:color w:val="000000"/>
                <w:sz w:val="18"/>
                <w:szCs w:val="18"/>
                <w:lang w:eastAsia="en-US"/>
              </w:rPr>
            </w:pPr>
            <w:r>
              <w:rPr>
                <w:rFonts w:cstheme="majorHAnsi"/>
                <w:b/>
                <w:bCs w:val="0"/>
                <w:color w:val="000000"/>
                <w:sz w:val="18"/>
                <w:szCs w:val="18"/>
                <w:lang w:eastAsia="en-US"/>
              </w:rPr>
              <w:t>SKUPAJ</w:t>
            </w:r>
          </w:p>
        </w:tc>
        <w:tc>
          <w:tcPr>
            <w:tcW w:w="1511" w:type="dxa"/>
            <w:tcBorders>
              <w:top w:val="nil"/>
              <w:left w:val="nil"/>
              <w:bottom w:val="single" w:sz="8" w:space="0" w:color="auto"/>
              <w:right w:val="single" w:sz="8" w:space="0" w:color="auto"/>
            </w:tcBorders>
            <w:shd w:val="clear" w:color="auto" w:fill="D9D9D9"/>
            <w:noWrap/>
            <w:vAlign w:val="center"/>
            <w:hideMark/>
          </w:tcPr>
          <w:p w14:paraId="3E7A21F1" w14:textId="0A04C8AE" w:rsidR="00943CAA" w:rsidRDefault="00BF7E61">
            <w:pPr>
              <w:ind w:left="-52" w:right="-21"/>
              <w:jc w:val="right"/>
              <w:rPr>
                <w:rFonts w:cstheme="majorHAnsi"/>
                <w:b/>
                <w:bCs w:val="0"/>
                <w:color w:val="000000"/>
                <w:sz w:val="18"/>
                <w:szCs w:val="18"/>
                <w:lang w:eastAsia="en-US"/>
              </w:rPr>
            </w:pPr>
            <w:r w:rsidRPr="00BF7E61">
              <w:rPr>
                <w:b/>
                <w:bCs w:val="0"/>
                <w:color w:val="000000"/>
                <w:sz w:val="18"/>
                <w:szCs w:val="18"/>
                <w:lang w:eastAsia="en-US"/>
              </w:rPr>
              <w:t>1.003.836,03</w:t>
            </w:r>
          </w:p>
        </w:tc>
        <w:tc>
          <w:tcPr>
            <w:tcW w:w="1182" w:type="dxa"/>
            <w:tcBorders>
              <w:top w:val="nil"/>
              <w:left w:val="nil"/>
              <w:bottom w:val="single" w:sz="8" w:space="0" w:color="auto"/>
              <w:right w:val="single" w:sz="8" w:space="0" w:color="auto"/>
            </w:tcBorders>
            <w:shd w:val="clear" w:color="auto" w:fill="D9D9D9"/>
            <w:noWrap/>
            <w:vAlign w:val="center"/>
            <w:hideMark/>
          </w:tcPr>
          <w:p w14:paraId="6E74F9A2" w14:textId="77777777" w:rsidR="00943CAA" w:rsidRDefault="00943CAA">
            <w:pPr>
              <w:ind w:left="-65" w:right="0"/>
              <w:jc w:val="right"/>
              <w:rPr>
                <w:rFonts w:cstheme="majorHAnsi"/>
                <w:b/>
                <w:bCs w:val="0"/>
                <w:color w:val="000000"/>
                <w:sz w:val="18"/>
                <w:szCs w:val="18"/>
                <w:lang w:eastAsia="en-US"/>
              </w:rPr>
            </w:pPr>
            <w:r>
              <w:rPr>
                <w:b/>
                <w:bCs w:val="0"/>
                <w:color w:val="000000"/>
                <w:sz w:val="18"/>
                <w:szCs w:val="18"/>
                <w:lang w:eastAsia="en-US"/>
              </w:rPr>
              <w:t>100,00%</w:t>
            </w:r>
          </w:p>
        </w:tc>
        <w:tc>
          <w:tcPr>
            <w:tcW w:w="1134" w:type="dxa"/>
            <w:tcBorders>
              <w:top w:val="nil"/>
              <w:left w:val="nil"/>
              <w:bottom w:val="single" w:sz="8" w:space="0" w:color="auto"/>
              <w:right w:val="single" w:sz="8" w:space="0" w:color="auto"/>
            </w:tcBorders>
            <w:shd w:val="clear" w:color="auto" w:fill="D9D9D9"/>
            <w:noWrap/>
            <w:vAlign w:val="center"/>
            <w:hideMark/>
          </w:tcPr>
          <w:p w14:paraId="1899A8F3" w14:textId="48B289E4" w:rsidR="00943CAA" w:rsidRDefault="0055164C">
            <w:pPr>
              <w:ind w:left="-65" w:right="0"/>
              <w:jc w:val="right"/>
              <w:rPr>
                <w:rFonts w:cstheme="majorHAnsi"/>
                <w:b/>
                <w:bCs w:val="0"/>
                <w:color w:val="000000"/>
                <w:sz w:val="18"/>
                <w:szCs w:val="18"/>
                <w:lang w:eastAsia="en-US"/>
              </w:rPr>
            </w:pPr>
            <w:r w:rsidRPr="0055164C">
              <w:rPr>
                <w:b/>
                <w:bCs w:val="0"/>
                <w:color w:val="000000"/>
                <w:sz w:val="18"/>
                <w:szCs w:val="18"/>
                <w:lang w:eastAsia="en-US"/>
              </w:rPr>
              <w:t>523.420,00</w:t>
            </w:r>
          </w:p>
        </w:tc>
        <w:tc>
          <w:tcPr>
            <w:tcW w:w="1498" w:type="dxa"/>
            <w:tcBorders>
              <w:top w:val="nil"/>
              <w:left w:val="nil"/>
              <w:bottom w:val="single" w:sz="8" w:space="0" w:color="auto"/>
              <w:right w:val="single" w:sz="8" w:space="0" w:color="auto"/>
            </w:tcBorders>
            <w:shd w:val="clear" w:color="auto" w:fill="D9D9D9"/>
            <w:noWrap/>
            <w:vAlign w:val="center"/>
            <w:hideMark/>
          </w:tcPr>
          <w:p w14:paraId="59F337BC" w14:textId="0587B1D3" w:rsidR="00943CAA" w:rsidRDefault="00F7438A">
            <w:pPr>
              <w:ind w:left="-65" w:right="-22"/>
              <w:jc w:val="right"/>
              <w:rPr>
                <w:rFonts w:cstheme="majorHAnsi"/>
                <w:b/>
                <w:bCs w:val="0"/>
                <w:color w:val="000000"/>
                <w:sz w:val="18"/>
                <w:szCs w:val="18"/>
                <w:lang w:eastAsia="en-US"/>
              </w:rPr>
            </w:pPr>
            <w:r w:rsidRPr="00F7438A">
              <w:rPr>
                <w:b/>
                <w:bCs w:val="0"/>
                <w:color w:val="000000"/>
                <w:sz w:val="18"/>
                <w:szCs w:val="18"/>
                <w:lang w:eastAsia="en-US"/>
              </w:rPr>
              <w:t>480.416,03</w:t>
            </w:r>
          </w:p>
        </w:tc>
      </w:tr>
      <w:tr w:rsidR="00943CAA" w14:paraId="7F5D0E16" w14:textId="77777777" w:rsidTr="00C71C19">
        <w:trPr>
          <w:trHeight w:hRule="exact" w:val="397"/>
        </w:trPr>
        <w:tc>
          <w:tcPr>
            <w:tcW w:w="2693" w:type="dxa"/>
            <w:tcBorders>
              <w:top w:val="nil"/>
              <w:left w:val="single" w:sz="4" w:space="0" w:color="auto"/>
              <w:bottom w:val="single" w:sz="4" w:space="0" w:color="auto"/>
              <w:right w:val="single" w:sz="4" w:space="0" w:color="auto"/>
            </w:tcBorders>
            <w:noWrap/>
            <w:vAlign w:val="bottom"/>
            <w:hideMark/>
          </w:tcPr>
          <w:p w14:paraId="4F09F108" w14:textId="591DB274" w:rsidR="00943CAA" w:rsidRDefault="007E1D9C" w:rsidP="00CF6A8D">
            <w:pPr>
              <w:ind w:left="35"/>
              <w:rPr>
                <w:rFonts w:cstheme="majorHAnsi"/>
                <w:bCs w:val="0"/>
                <w:color w:val="000000"/>
                <w:sz w:val="18"/>
                <w:szCs w:val="18"/>
                <w:lang w:eastAsia="en-US"/>
              </w:rPr>
            </w:pPr>
            <w:r w:rsidRPr="007E1D9C">
              <w:rPr>
                <w:rFonts w:cstheme="majorHAnsi"/>
                <w:color w:val="000000"/>
                <w:sz w:val="18"/>
                <w:szCs w:val="18"/>
                <w:lang w:eastAsia="en-US"/>
              </w:rPr>
              <w:t>Nepovratna sredstva MGTŠ</w:t>
            </w:r>
          </w:p>
        </w:tc>
        <w:tc>
          <w:tcPr>
            <w:tcW w:w="1511" w:type="dxa"/>
            <w:tcBorders>
              <w:top w:val="nil"/>
              <w:left w:val="nil"/>
              <w:bottom w:val="single" w:sz="8" w:space="0" w:color="auto"/>
              <w:right w:val="single" w:sz="8" w:space="0" w:color="auto"/>
            </w:tcBorders>
            <w:noWrap/>
            <w:vAlign w:val="center"/>
            <w:hideMark/>
          </w:tcPr>
          <w:p w14:paraId="4B70B0D3" w14:textId="5AE8765B" w:rsidR="00943CAA" w:rsidRDefault="00DA37CD">
            <w:pPr>
              <w:ind w:left="-52" w:right="-21"/>
              <w:jc w:val="right"/>
              <w:rPr>
                <w:rFonts w:cstheme="majorHAnsi"/>
                <w:color w:val="000000"/>
                <w:sz w:val="18"/>
                <w:szCs w:val="18"/>
                <w:lang w:eastAsia="en-US"/>
              </w:rPr>
            </w:pPr>
            <w:r w:rsidRPr="00DA37CD">
              <w:rPr>
                <w:color w:val="000000"/>
                <w:sz w:val="18"/>
                <w:szCs w:val="18"/>
                <w:lang w:eastAsia="en-US"/>
              </w:rPr>
              <w:t>500.000,00</w:t>
            </w:r>
          </w:p>
        </w:tc>
        <w:tc>
          <w:tcPr>
            <w:tcW w:w="1182" w:type="dxa"/>
            <w:tcBorders>
              <w:top w:val="nil"/>
              <w:left w:val="nil"/>
              <w:bottom w:val="single" w:sz="8" w:space="0" w:color="auto"/>
              <w:right w:val="single" w:sz="8" w:space="0" w:color="auto"/>
            </w:tcBorders>
            <w:noWrap/>
            <w:vAlign w:val="center"/>
            <w:hideMark/>
          </w:tcPr>
          <w:p w14:paraId="3D3C5E3A" w14:textId="36A6A2F0" w:rsidR="00943CAA" w:rsidRDefault="00EF0DD6">
            <w:pPr>
              <w:ind w:left="-65" w:right="0"/>
              <w:jc w:val="right"/>
              <w:rPr>
                <w:rFonts w:cstheme="majorHAnsi"/>
                <w:color w:val="000000"/>
                <w:sz w:val="18"/>
                <w:szCs w:val="18"/>
                <w:lang w:eastAsia="en-US"/>
              </w:rPr>
            </w:pPr>
            <w:r w:rsidRPr="00EF0DD6">
              <w:rPr>
                <w:color w:val="000000"/>
                <w:sz w:val="18"/>
                <w:szCs w:val="18"/>
                <w:lang w:eastAsia="en-US"/>
              </w:rPr>
              <w:t>49,81%</w:t>
            </w:r>
          </w:p>
        </w:tc>
        <w:tc>
          <w:tcPr>
            <w:tcW w:w="1134" w:type="dxa"/>
            <w:tcBorders>
              <w:top w:val="nil"/>
              <w:left w:val="nil"/>
              <w:bottom w:val="single" w:sz="8" w:space="0" w:color="auto"/>
              <w:right w:val="single" w:sz="8" w:space="0" w:color="auto"/>
            </w:tcBorders>
            <w:noWrap/>
            <w:vAlign w:val="center"/>
            <w:hideMark/>
          </w:tcPr>
          <w:p w14:paraId="4FF7AD2A" w14:textId="6E1EF289" w:rsidR="00943CAA" w:rsidRDefault="00DA37CD">
            <w:pPr>
              <w:ind w:left="-65" w:right="0"/>
              <w:jc w:val="right"/>
              <w:rPr>
                <w:rFonts w:cstheme="majorHAnsi"/>
                <w:color w:val="000000"/>
                <w:sz w:val="18"/>
                <w:szCs w:val="18"/>
                <w:lang w:eastAsia="en-US"/>
              </w:rPr>
            </w:pPr>
            <w:r w:rsidRPr="00DA37CD">
              <w:rPr>
                <w:color w:val="000000"/>
                <w:sz w:val="18"/>
                <w:szCs w:val="18"/>
                <w:lang w:eastAsia="en-US"/>
              </w:rPr>
              <w:t>500.000,00</w:t>
            </w:r>
          </w:p>
        </w:tc>
        <w:tc>
          <w:tcPr>
            <w:tcW w:w="1498" w:type="dxa"/>
            <w:tcBorders>
              <w:top w:val="nil"/>
              <w:left w:val="nil"/>
              <w:bottom w:val="single" w:sz="8" w:space="0" w:color="auto"/>
              <w:right w:val="single" w:sz="8" w:space="0" w:color="auto"/>
            </w:tcBorders>
            <w:noWrap/>
            <w:vAlign w:val="center"/>
            <w:hideMark/>
          </w:tcPr>
          <w:p w14:paraId="6BBAF2C8" w14:textId="1B0D373F" w:rsidR="00943CAA" w:rsidRDefault="00DA37CD">
            <w:pPr>
              <w:ind w:left="-65" w:right="-22"/>
              <w:jc w:val="right"/>
              <w:rPr>
                <w:rFonts w:cstheme="majorHAnsi"/>
                <w:color w:val="000000"/>
                <w:sz w:val="18"/>
                <w:szCs w:val="18"/>
                <w:lang w:eastAsia="en-US"/>
              </w:rPr>
            </w:pPr>
            <w:r>
              <w:rPr>
                <w:color w:val="000000"/>
                <w:sz w:val="18"/>
                <w:szCs w:val="18"/>
                <w:lang w:eastAsia="en-US"/>
              </w:rPr>
              <w:t>0,00</w:t>
            </w:r>
          </w:p>
        </w:tc>
      </w:tr>
      <w:tr w:rsidR="00943CAA" w14:paraId="3DD19FB1" w14:textId="77777777" w:rsidTr="00C71C19">
        <w:trPr>
          <w:trHeight w:hRule="exact" w:val="397"/>
        </w:trPr>
        <w:tc>
          <w:tcPr>
            <w:tcW w:w="2693" w:type="dxa"/>
            <w:tcBorders>
              <w:top w:val="nil"/>
              <w:left w:val="single" w:sz="4" w:space="0" w:color="auto"/>
              <w:bottom w:val="single" w:sz="4" w:space="0" w:color="auto"/>
              <w:right w:val="single" w:sz="4" w:space="0" w:color="auto"/>
            </w:tcBorders>
            <w:noWrap/>
            <w:vAlign w:val="bottom"/>
            <w:hideMark/>
          </w:tcPr>
          <w:p w14:paraId="7268736D" w14:textId="77777777" w:rsidR="00943CAA" w:rsidRDefault="00943CAA" w:rsidP="00CF6A8D">
            <w:pPr>
              <w:ind w:left="35"/>
              <w:rPr>
                <w:rFonts w:cstheme="majorHAnsi"/>
                <w:color w:val="000000"/>
                <w:sz w:val="18"/>
                <w:szCs w:val="18"/>
                <w:lang w:eastAsia="en-US"/>
              </w:rPr>
            </w:pPr>
            <w:r>
              <w:rPr>
                <w:rFonts w:cstheme="majorHAnsi"/>
                <w:color w:val="000000"/>
                <w:sz w:val="18"/>
                <w:szCs w:val="18"/>
                <w:lang w:eastAsia="en-US"/>
              </w:rPr>
              <w:t>Lastna sredstva</w:t>
            </w:r>
          </w:p>
        </w:tc>
        <w:tc>
          <w:tcPr>
            <w:tcW w:w="1511" w:type="dxa"/>
            <w:tcBorders>
              <w:top w:val="nil"/>
              <w:left w:val="nil"/>
              <w:bottom w:val="single" w:sz="8" w:space="0" w:color="auto"/>
              <w:right w:val="single" w:sz="8" w:space="0" w:color="auto"/>
            </w:tcBorders>
            <w:noWrap/>
            <w:vAlign w:val="center"/>
            <w:hideMark/>
          </w:tcPr>
          <w:p w14:paraId="2C21105D" w14:textId="00B290C4" w:rsidR="00943CAA" w:rsidRDefault="005F47CB">
            <w:pPr>
              <w:ind w:left="-52" w:right="-21"/>
              <w:jc w:val="right"/>
              <w:rPr>
                <w:rFonts w:cstheme="majorHAnsi"/>
                <w:color w:val="000000"/>
                <w:sz w:val="18"/>
                <w:szCs w:val="18"/>
                <w:lang w:eastAsia="en-US"/>
              </w:rPr>
            </w:pPr>
            <w:r w:rsidRPr="005F47CB">
              <w:rPr>
                <w:color w:val="000000"/>
                <w:sz w:val="18"/>
                <w:szCs w:val="18"/>
                <w:lang w:eastAsia="en-US"/>
              </w:rPr>
              <w:t>503.836,03</w:t>
            </w:r>
          </w:p>
        </w:tc>
        <w:tc>
          <w:tcPr>
            <w:tcW w:w="1182" w:type="dxa"/>
            <w:tcBorders>
              <w:top w:val="nil"/>
              <w:left w:val="nil"/>
              <w:bottom w:val="single" w:sz="8" w:space="0" w:color="auto"/>
              <w:right w:val="single" w:sz="8" w:space="0" w:color="auto"/>
            </w:tcBorders>
            <w:noWrap/>
            <w:vAlign w:val="center"/>
            <w:hideMark/>
          </w:tcPr>
          <w:p w14:paraId="0B7D8BB1" w14:textId="5941F4E9" w:rsidR="00943CAA" w:rsidRDefault="00EA54C9">
            <w:pPr>
              <w:ind w:left="-65" w:right="0"/>
              <w:jc w:val="right"/>
              <w:rPr>
                <w:rFonts w:cstheme="majorHAnsi"/>
                <w:color w:val="000000"/>
                <w:sz w:val="18"/>
                <w:szCs w:val="18"/>
                <w:lang w:eastAsia="en-US"/>
              </w:rPr>
            </w:pPr>
            <w:r w:rsidRPr="00EA54C9">
              <w:rPr>
                <w:color w:val="000000"/>
                <w:sz w:val="18"/>
                <w:szCs w:val="18"/>
                <w:lang w:eastAsia="en-US"/>
              </w:rPr>
              <w:t>50,19</w:t>
            </w:r>
            <w:r>
              <w:rPr>
                <w:color w:val="000000"/>
                <w:sz w:val="18"/>
                <w:szCs w:val="18"/>
                <w:lang w:eastAsia="en-US"/>
              </w:rPr>
              <w:t>%</w:t>
            </w:r>
          </w:p>
        </w:tc>
        <w:tc>
          <w:tcPr>
            <w:tcW w:w="1134" w:type="dxa"/>
            <w:tcBorders>
              <w:top w:val="nil"/>
              <w:left w:val="nil"/>
              <w:bottom w:val="single" w:sz="8" w:space="0" w:color="auto"/>
              <w:right w:val="single" w:sz="8" w:space="0" w:color="auto"/>
            </w:tcBorders>
            <w:noWrap/>
            <w:vAlign w:val="center"/>
            <w:hideMark/>
          </w:tcPr>
          <w:p w14:paraId="6A64B8D9" w14:textId="707926EE" w:rsidR="00943CAA" w:rsidRDefault="00196063">
            <w:pPr>
              <w:ind w:left="-65" w:right="0"/>
              <w:jc w:val="right"/>
              <w:rPr>
                <w:rFonts w:cstheme="majorHAnsi"/>
                <w:color w:val="000000"/>
                <w:sz w:val="18"/>
                <w:szCs w:val="18"/>
                <w:lang w:eastAsia="en-US"/>
              </w:rPr>
            </w:pPr>
            <w:r w:rsidRPr="00196063">
              <w:rPr>
                <w:color w:val="000000"/>
                <w:sz w:val="18"/>
                <w:szCs w:val="18"/>
                <w:lang w:eastAsia="en-US"/>
              </w:rPr>
              <w:t>23.420,00</w:t>
            </w:r>
          </w:p>
        </w:tc>
        <w:tc>
          <w:tcPr>
            <w:tcW w:w="1498" w:type="dxa"/>
            <w:tcBorders>
              <w:top w:val="nil"/>
              <w:left w:val="nil"/>
              <w:bottom w:val="single" w:sz="8" w:space="0" w:color="auto"/>
              <w:right w:val="single" w:sz="8" w:space="0" w:color="auto"/>
            </w:tcBorders>
            <w:noWrap/>
            <w:vAlign w:val="center"/>
            <w:hideMark/>
          </w:tcPr>
          <w:p w14:paraId="35145BD6" w14:textId="4212724A" w:rsidR="00943CAA" w:rsidRDefault="00EE3F0F">
            <w:pPr>
              <w:ind w:left="-65" w:right="-22"/>
              <w:jc w:val="right"/>
              <w:rPr>
                <w:rFonts w:cstheme="majorHAnsi"/>
                <w:color w:val="000000"/>
                <w:sz w:val="18"/>
                <w:szCs w:val="18"/>
                <w:lang w:eastAsia="en-US"/>
              </w:rPr>
            </w:pPr>
            <w:r w:rsidRPr="00EE3F0F">
              <w:rPr>
                <w:color w:val="000000"/>
                <w:sz w:val="18"/>
                <w:szCs w:val="18"/>
                <w:lang w:eastAsia="en-US"/>
              </w:rPr>
              <w:t>480.416,03</w:t>
            </w:r>
          </w:p>
        </w:tc>
      </w:tr>
    </w:tbl>
    <w:p w14:paraId="2DE81188" w14:textId="77777777" w:rsidR="00CF6A8D" w:rsidRDefault="00CF6A8D" w:rsidP="00CF6A8D">
      <w:pPr>
        <w:spacing w:after="0" w:line="240" w:lineRule="auto"/>
        <w:ind w:right="0"/>
        <w:rPr>
          <w:noProof w:val="0"/>
        </w:rPr>
      </w:pPr>
    </w:p>
    <w:p w14:paraId="3AF56C24" w14:textId="0F9E69DE" w:rsidR="00CF6A8D" w:rsidRDefault="00CF6A8D" w:rsidP="0023060D">
      <w:pPr>
        <w:spacing w:after="0" w:line="240" w:lineRule="auto"/>
        <w:ind w:right="0"/>
        <w:jc w:val="left"/>
        <w:rPr>
          <w:bCs w:val="0"/>
          <w:noProof w:val="0"/>
        </w:rPr>
      </w:pPr>
      <w:r>
        <w:rPr>
          <w:bCs w:val="0"/>
          <w:noProof w:val="0"/>
        </w:rPr>
        <w:t xml:space="preserve">Drugi odstavek 18. člena Uredbe </w:t>
      </w:r>
      <w:r>
        <w:rPr>
          <w:noProof w:val="0"/>
        </w:rPr>
        <w:t xml:space="preserve">o enotni metodologiji za pripravo in obravnavo investicijske dokumentacije na področju javnih financ </w:t>
      </w:r>
      <w:r>
        <w:rPr>
          <w:noProof w:val="0"/>
          <w:shd w:val="clear" w:color="auto" w:fill="FFFFFF"/>
        </w:rPr>
        <w:t>(Uradni list RS, št. 60/06, 54/10, 27/16)</w:t>
      </w:r>
      <w:r>
        <w:rPr>
          <w:bCs w:val="0"/>
          <w:noProof w:val="0"/>
        </w:rPr>
        <w:t xml:space="preserve"> med drugim določa, da </w:t>
      </w:r>
      <w:r>
        <w:rPr>
          <w:noProof w:val="0"/>
        </w:rPr>
        <w:t xml:space="preserve">se do dokumenta identifikacije investicijskega projekta opredeli investitor, ki s pisnim sklepom bodisi potrdi dokument identifikacije investicijskega projekta, bodisi ga zavrne. </w:t>
      </w:r>
      <w:bookmarkStart w:id="4" w:name="_Hlk218685103"/>
      <w:r>
        <w:rPr>
          <w:noProof w:val="0"/>
        </w:rPr>
        <w:t xml:space="preserve">Četrti odstavek 15. člena Odlok o proračunu Mestne občine Nova Gorica za leto 2026 (Uradni list RS, št. 110/2025) </w:t>
      </w:r>
      <w:bookmarkEnd w:id="4"/>
      <w:r>
        <w:rPr>
          <w:noProof w:val="0"/>
        </w:rPr>
        <w:t>določa, da se n</w:t>
      </w:r>
      <w:r>
        <w:rPr>
          <w:noProof w:val="0"/>
          <w:shd w:val="clear" w:color="auto" w:fill="FFFFFF"/>
        </w:rPr>
        <w:t>ovi projekti uvrstijo v načrt razvojnih programov, če investicijsko dokumentacijo potrdi mestni svet.</w:t>
      </w:r>
      <w:r>
        <w:rPr>
          <w:noProof w:val="0"/>
        </w:rPr>
        <w:t xml:space="preserve"> Ker projekt »</w:t>
      </w:r>
      <w:r w:rsidR="00761BD8" w:rsidRPr="00761BD8">
        <w:rPr>
          <w:noProof w:val="0"/>
        </w:rPr>
        <w:t>PRENOVA TENIŠKEGA CENTRA NOVA GORICA</w:t>
      </w:r>
      <w:r>
        <w:rPr>
          <w:noProof w:val="0"/>
        </w:rPr>
        <w:t xml:space="preserve">«, </w:t>
      </w:r>
      <w:r>
        <w:rPr>
          <w:bCs w:val="0"/>
          <w:noProof w:val="0"/>
        </w:rPr>
        <w:t>še ni uvrščen v veljavni Načrt razvojnih programov (NRP) Mestne občine Nova Gorica, je potrebno za njegovo uvrstitev v NRP potrditi predloženi DIIP.</w:t>
      </w:r>
    </w:p>
    <w:p w14:paraId="640267B6" w14:textId="316CA583" w:rsidR="008160DC" w:rsidRDefault="001E77FC" w:rsidP="001E77FC">
      <w:pPr>
        <w:spacing w:after="0" w:line="240" w:lineRule="auto"/>
        <w:ind w:left="0" w:right="0"/>
        <w:jc w:val="left"/>
        <w:rPr>
          <w:bCs w:val="0"/>
          <w:noProof w:val="0"/>
        </w:rPr>
      </w:pPr>
      <w:r>
        <w:rPr>
          <w:bCs w:val="0"/>
          <w:noProof w:val="0"/>
        </w:rPr>
        <w:tab/>
      </w:r>
    </w:p>
    <w:p w14:paraId="0B3F9A3D" w14:textId="0A74AF50" w:rsidR="00731380" w:rsidRDefault="00F50D05" w:rsidP="001E77FC">
      <w:pPr>
        <w:spacing w:after="0" w:line="240" w:lineRule="auto"/>
        <w:ind w:right="0"/>
        <w:jc w:val="left"/>
        <w:rPr>
          <w:rFonts w:eastAsia="Calibri"/>
          <w:b/>
          <w:noProof w:val="0"/>
          <w:lang w:eastAsia="en-US"/>
        </w:rPr>
      </w:pPr>
      <w:r w:rsidRPr="00F50D05">
        <w:rPr>
          <w:rFonts w:eastAsia="Calibri"/>
          <w:b/>
          <w:noProof w:val="0"/>
          <w:lang w:eastAsia="en-US"/>
        </w:rPr>
        <w:t>Mestnemu svetu Mestne občine Nova Gorica predlagamo, da predloženi sklep obravnava in sprejme.</w:t>
      </w:r>
    </w:p>
    <w:p w14:paraId="08745D89" w14:textId="77777777" w:rsidR="001E77FC" w:rsidRDefault="001E77FC" w:rsidP="001E77FC">
      <w:pPr>
        <w:spacing w:after="0" w:line="240" w:lineRule="auto"/>
        <w:ind w:right="0"/>
        <w:jc w:val="left"/>
        <w:rPr>
          <w:rFonts w:eastAsia="Calibri"/>
          <w:b/>
          <w:noProof w:val="0"/>
          <w:lang w:eastAsia="en-US"/>
        </w:rPr>
      </w:pPr>
    </w:p>
    <w:p w14:paraId="5DFA8373" w14:textId="77777777" w:rsidR="00DC372D" w:rsidRPr="001E77FC" w:rsidRDefault="00DC372D" w:rsidP="001E77FC">
      <w:pPr>
        <w:spacing w:after="0" w:line="240" w:lineRule="auto"/>
        <w:ind w:right="0"/>
        <w:jc w:val="left"/>
        <w:rPr>
          <w:rFonts w:eastAsia="Calibri"/>
          <w:b/>
          <w:noProof w:val="0"/>
          <w:lang w:eastAsia="en-US"/>
        </w:rPr>
      </w:pPr>
    </w:p>
    <w:p w14:paraId="17465817" w14:textId="5B01B195" w:rsidR="00A03315" w:rsidRDefault="00A03315" w:rsidP="00A03315">
      <w:pPr>
        <w:pStyle w:val="Podpisoseba"/>
        <w:spacing w:before="0" w:after="0"/>
        <w:ind w:left="709"/>
        <w:rPr>
          <w:bCs w:val="0"/>
        </w:rPr>
      </w:pPr>
      <w:r w:rsidRPr="00110838">
        <w:rPr>
          <w:bCs w:val="0"/>
        </w:rPr>
        <w:t>Pripravil</w:t>
      </w:r>
      <w:r>
        <w:rPr>
          <w:bCs w:val="0"/>
        </w:rPr>
        <w:t>(</w:t>
      </w:r>
      <w:r w:rsidRPr="00110838">
        <w:rPr>
          <w:bCs w:val="0"/>
        </w:rPr>
        <w:t>a</w:t>
      </w:r>
      <w:r>
        <w:rPr>
          <w:bCs w:val="0"/>
        </w:rPr>
        <w:t>)</w:t>
      </w:r>
      <w:r w:rsidR="001E77FC">
        <w:rPr>
          <w:bCs w:val="0"/>
        </w:rPr>
        <w:t>:</w:t>
      </w:r>
      <w:r w:rsidR="00BF6B02" w:rsidRPr="00BF6B02">
        <w:rPr>
          <w:b/>
          <w:bCs w:val="0"/>
        </w:rPr>
        <w:t xml:space="preserve"> </w:t>
      </w:r>
      <w:r w:rsidR="00BF6B02">
        <w:rPr>
          <w:b/>
          <w:bCs w:val="0"/>
        </w:rPr>
        <w:tab/>
      </w:r>
      <w:r w:rsidR="00BF6B02">
        <w:rPr>
          <w:b/>
          <w:bCs w:val="0"/>
        </w:rPr>
        <w:tab/>
      </w:r>
      <w:r w:rsidR="00BF6B02">
        <w:rPr>
          <w:b/>
          <w:bCs w:val="0"/>
        </w:rPr>
        <w:tab/>
      </w:r>
      <w:r w:rsidR="00BF6B02">
        <w:rPr>
          <w:b/>
          <w:bCs w:val="0"/>
        </w:rPr>
        <w:tab/>
      </w:r>
      <w:r w:rsidR="00BF6B02">
        <w:rPr>
          <w:b/>
          <w:bCs w:val="0"/>
        </w:rPr>
        <w:tab/>
      </w:r>
      <w:r w:rsidR="00BF6B02">
        <w:rPr>
          <w:b/>
          <w:bCs w:val="0"/>
        </w:rPr>
        <w:tab/>
      </w:r>
      <w:r w:rsidR="00D903DC">
        <w:rPr>
          <w:b/>
          <w:bCs w:val="0"/>
        </w:rPr>
        <w:t xml:space="preserve">      </w:t>
      </w:r>
      <w:r w:rsidR="00BF6B02" w:rsidRPr="00CF6A8D">
        <w:rPr>
          <w:b/>
          <w:bCs w:val="0"/>
        </w:rPr>
        <w:t>Marko Mikulin</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gridCol w:w="1407"/>
        <w:gridCol w:w="3549"/>
      </w:tblGrid>
      <w:tr w:rsidR="00BF6B02" w14:paraId="5EDE9153" w14:textId="77777777" w:rsidTr="00C818D4">
        <w:tc>
          <w:tcPr>
            <w:tcW w:w="4956" w:type="dxa"/>
            <w:gridSpan w:val="2"/>
          </w:tcPr>
          <w:p w14:paraId="00AE3031" w14:textId="34749767" w:rsidR="00BF6B02" w:rsidRPr="00E639CC" w:rsidRDefault="00BF6B02" w:rsidP="00BF6B02">
            <w:pPr>
              <w:pStyle w:val="Podpisoseba"/>
              <w:spacing w:before="0" w:after="0"/>
              <w:rPr>
                <w:b/>
                <w:color w:val="FFFFFF" w:themeColor="background1"/>
              </w:rPr>
            </w:pPr>
          </w:p>
        </w:tc>
        <w:tc>
          <w:tcPr>
            <w:tcW w:w="3549" w:type="dxa"/>
          </w:tcPr>
          <w:p w14:paraId="357B865E" w14:textId="026C558D" w:rsidR="00BF6B02" w:rsidRPr="00E639CC" w:rsidRDefault="00BF6B02" w:rsidP="00BF6B02">
            <w:pPr>
              <w:pStyle w:val="Podpisoseba"/>
              <w:spacing w:before="0" w:after="0"/>
              <w:rPr>
                <w:b/>
                <w:color w:val="FFFFFF" w:themeColor="background1"/>
              </w:rPr>
            </w:pPr>
            <w:r w:rsidRPr="00CF6A8D">
              <w:rPr>
                <w:bCs w:val="0"/>
              </w:rPr>
              <w:t xml:space="preserve">Vodja Razvojne pisarne                                                                               </w:t>
            </w:r>
          </w:p>
        </w:tc>
      </w:tr>
      <w:tr w:rsidR="00BF6B02" w14:paraId="6A2F508B" w14:textId="77777777" w:rsidTr="00C818D4">
        <w:trPr>
          <w:gridAfter w:val="2"/>
          <w:wAfter w:w="4956" w:type="dxa"/>
        </w:trPr>
        <w:tc>
          <w:tcPr>
            <w:tcW w:w="3549" w:type="dxa"/>
          </w:tcPr>
          <w:p w14:paraId="33414636" w14:textId="3D3918CD" w:rsidR="00BF6B02" w:rsidRPr="00D51EE1" w:rsidRDefault="00BF6B02" w:rsidP="00BF6B02">
            <w:pPr>
              <w:pStyle w:val="Podpisoseba"/>
              <w:spacing w:before="0" w:after="0"/>
              <w:rPr>
                <w:b/>
                <w:bCs w:val="0"/>
              </w:rPr>
            </w:pPr>
          </w:p>
        </w:tc>
      </w:tr>
      <w:tr w:rsidR="00BF6B02" w14:paraId="04CA288A" w14:textId="77777777" w:rsidTr="00C818D4">
        <w:trPr>
          <w:gridAfter w:val="2"/>
          <w:wAfter w:w="4956" w:type="dxa"/>
        </w:trPr>
        <w:tc>
          <w:tcPr>
            <w:tcW w:w="3549" w:type="dxa"/>
          </w:tcPr>
          <w:p w14:paraId="770E907E" w14:textId="5973FDC1" w:rsidR="00BF6B02" w:rsidRPr="00E639CC" w:rsidRDefault="00BF6B02" w:rsidP="00BF6B02">
            <w:pPr>
              <w:pStyle w:val="Podpisoseba"/>
              <w:spacing w:before="0" w:after="0"/>
              <w:rPr>
                <w:bCs w:val="0"/>
              </w:rPr>
            </w:pPr>
          </w:p>
        </w:tc>
      </w:tr>
    </w:tbl>
    <w:p w14:paraId="0B3E872C" w14:textId="77777777" w:rsidR="00BF6B02" w:rsidRDefault="00BF6B02" w:rsidP="001E77FC">
      <w:pPr>
        <w:spacing w:after="0" w:line="240" w:lineRule="auto"/>
        <w:ind w:left="0" w:right="0" w:firstLine="708"/>
        <w:jc w:val="left"/>
        <w:rPr>
          <w:rFonts w:eastAsia="Calibri"/>
          <w:noProof w:val="0"/>
          <w:lang w:eastAsia="en-US"/>
        </w:rPr>
      </w:pPr>
    </w:p>
    <w:p w14:paraId="2C7DF841" w14:textId="6190CE13" w:rsidR="00CF6A8D" w:rsidRDefault="00CF6A8D" w:rsidP="001E77FC">
      <w:pPr>
        <w:spacing w:after="0" w:line="240" w:lineRule="auto"/>
        <w:ind w:left="0" w:right="0" w:firstLine="708"/>
        <w:jc w:val="left"/>
        <w:rPr>
          <w:rFonts w:eastAsia="Calibri"/>
          <w:noProof w:val="0"/>
          <w:lang w:eastAsia="en-US"/>
        </w:rPr>
      </w:pPr>
      <w:r>
        <w:rPr>
          <w:rFonts w:eastAsia="Calibri"/>
          <w:noProof w:val="0"/>
          <w:lang w:eastAsia="en-US"/>
        </w:rPr>
        <w:t>PRILOGA:</w:t>
      </w:r>
    </w:p>
    <w:p w14:paraId="3383A950" w14:textId="3151A553" w:rsidR="00731380" w:rsidRPr="00DE25A0" w:rsidRDefault="00CF6A8D" w:rsidP="00DE25A0">
      <w:pPr>
        <w:pStyle w:val="Odstavekseznama"/>
        <w:numPr>
          <w:ilvl w:val="0"/>
          <w:numId w:val="22"/>
        </w:numPr>
        <w:spacing w:after="0" w:line="240" w:lineRule="auto"/>
        <w:ind w:right="0"/>
        <w:jc w:val="left"/>
        <w:rPr>
          <w:rFonts w:eastAsia="Aptos"/>
          <w:noProof w:val="0"/>
          <w:kern w:val="2"/>
          <w:lang w:eastAsia="en-US"/>
        </w:rPr>
      </w:pPr>
      <w:r w:rsidRPr="00DE25A0">
        <w:rPr>
          <w:rFonts w:eastAsia="Aptos"/>
          <w:noProof w:val="0"/>
          <w:kern w:val="2"/>
          <w:lang w:eastAsia="en-US"/>
        </w:rPr>
        <w:t>Dokument identifikacije investicijskega projekta »</w:t>
      </w:r>
      <w:r w:rsidR="00761BD8" w:rsidRPr="00DE25A0">
        <w:rPr>
          <w:rFonts w:eastAsia="Aptos"/>
          <w:noProof w:val="0"/>
          <w:kern w:val="2"/>
          <w:lang w:eastAsia="en-US"/>
        </w:rPr>
        <w:t>PRENOVA TENIŠKEGA CENTRA NOVA GORICA</w:t>
      </w:r>
      <w:r w:rsidRPr="00DE25A0">
        <w:rPr>
          <w:rFonts w:eastAsia="Aptos"/>
          <w:noProof w:val="0"/>
          <w:kern w:val="2"/>
          <w:lang w:eastAsia="en-US"/>
        </w:rPr>
        <w:t xml:space="preserve">«, </w:t>
      </w:r>
      <w:r w:rsidR="00F543B5" w:rsidRPr="00F543B5">
        <w:rPr>
          <w:rFonts w:eastAsia="Aptos"/>
          <w:noProof w:val="0"/>
          <w:kern w:val="2"/>
          <w:lang w:eastAsia="en-US"/>
        </w:rPr>
        <w:t xml:space="preserve">«, ki ga je izdelal Martin Murovec, poslovno svetovanje </w:t>
      </w:r>
      <w:proofErr w:type="spellStart"/>
      <w:r w:rsidR="00F543B5" w:rsidRPr="00F543B5">
        <w:rPr>
          <w:rFonts w:eastAsia="Aptos"/>
          <w:noProof w:val="0"/>
          <w:kern w:val="2"/>
          <w:lang w:eastAsia="en-US"/>
        </w:rPr>
        <w:t>s.p</w:t>
      </w:r>
      <w:proofErr w:type="spellEnd"/>
      <w:r w:rsidR="00F543B5" w:rsidRPr="00F543B5">
        <w:rPr>
          <w:rFonts w:eastAsia="Aptos"/>
          <w:noProof w:val="0"/>
          <w:kern w:val="2"/>
          <w:lang w:eastAsia="en-US"/>
        </w:rPr>
        <w:t>.</w:t>
      </w:r>
      <w:r w:rsidR="00F543B5">
        <w:rPr>
          <w:rFonts w:eastAsia="Aptos"/>
          <w:noProof w:val="0"/>
          <w:kern w:val="2"/>
          <w:lang w:eastAsia="en-US"/>
        </w:rPr>
        <w:t xml:space="preserve">, </w:t>
      </w:r>
      <w:r w:rsidR="00750207" w:rsidRPr="00DE25A0">
        <w:rPr>
          <w:rFonts w:eastAsia="Aptos"/>
          <w:noProof w:val="0"/>
          <w:kern w:val="2"/>
          <w:lang w:eastAsia="en-US"/>
        </w:rPr>
        <w:t>feb</w:t>
      </w:r>
      <w:r w:rsidRPr="00DE25A0">
        <w:rPr>
          <w:rFonts w:eastAsia="Aptos"/>
          <w:noProof w:val="0"/>
          <w:kern w:val="2"/>
          <w:lang w:eastAsia="en-US"/>
        </w:rPr>
        <w:t>. 202</w:t>
      </w:r>
      <w:r w:rsidR="00750207" w:rsidRPr="00DE25A0">
        <w:rPr>
          <w:rFonts w:eastAsia="Aptos"/>
          <w:noProof w:val="0"/>
          <w:kern w:val="2"/>
          <w:lang w:eastAsia="en-US"/>
        </w:rPr>
        <w:t>6</w:t>
      </w:r>
      <w:r w:rsidRPr="00DE25A0">
        <w:rPr>
          <w:rFonts w:eastAsia="Aptos"/>
          <w:noProof w:val="0"/>
          <w:kern w:val="2"/>
          <w:lang w:eastAsia="en-US"/>
        </w:rPr>
        <w:t>.</w:t>
      </w:r>
    </w:p>
    <w:sectPr w:rsidR="00731380" w:rsidRPr="00DE25A0"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B6ACE" w14:textId="77777777" w:rsidR="00A425CD" w:rsidRDefault="00A425CD" w:rsidP="00352A82">
      <w:r>
        <w:separator/>
      </w:r>
    </w:p>
  </w:endnote>
  <w:endnote w:type="continuationSeparator" w:id="0">
    <w:p w14:paraId="1C1D532A" w14:textId="77777777" w:rsidR="00A425CD" w:rsidRDefault="00A425CD"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29780" w14:textId="77777777" w:rsidR="00A425CD" w:rsidRDefault="00A425CD" w:rsidP="00352A82">
      <w:r>
        <w:separator/>
      </w:r>
    </w:p>
  </w:footnote>
  <w:footnote w:type="continuationSeparator" w:id="0">
    <w:p w14:paraId="2F3F63EC" w14:textId="77777777" w:rsidR="00A425CD" w:rsidRDefault="00A425CD"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592A956C">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70455AF"/>
    <w:multiLevelType w:val="hybridMultilevel"/>
    <w:tmpl w:val="B7E43FC6"/>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0A726CDE"/>
    <w:multiLevelType w:val="multilevel"/>
    <w:tmpl w:val="8DDE2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1ADE789E"/>
    <w:multiLevelType w:val="hybridMultilevel"/>
    <w:tmpl w:val="38BCDCF8"/>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15:restartNumberingAfterBreak="0">
    <w:nsid w:val="20CC7328"/>
    <w:multiLevelType w:val="multilevel"/>
    <w:tmpl w:val="36EC84DE"/>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7"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322F680C"/>
    <w:multiLevelType w:val="multilevel"/>
    <w:tmpl w:val="A2866F28"/>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9" w15:restartNumberingAfterBreak="0">
    <w:nsid w:val="323E22F7"/>
    <w:multiLevelType w:val="multilevel"/>
    <w:tmpl w:val="34E0C8D8"/>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0" w15:restartNumberingAfterBreak="0">
    <w:nsid w:val="3AAE594D"/>
    <w:multiLevelType w:val="multilevel"/>
    <w:tmpl w:val="5AECA912"/>
    <w:lvl w:ilvl="0">
      <w:start w:val="1"/>
      <w:numFmt w:val="bullet"/>
      <w:lvlText w:val=""/>
      <w:lvlJc w:val="left"/>
      <w:pPr>
        <w:tabs>
          <w:tab w:val="num" w:pos="1428"/>
        </w:tabs>
        <w:ind w:left="1428" w:hanging="360"/>
      </w:pPr>
      <w:rPr>
        <w:rFonts w:ascii="Symbol" w:hAnsi="Symbol" w:hint="default"/>
        <w:sz w:val="20"/>
      </w:rPr>
    </w:lvl>
    <w:lvl w:ilvl="1">
      <w:start w:val="1"/>
      <w:numFmt w:val="bullet"/>
      <w:lvlText w:val="o"/>
      <w:lvlJc w:val="left"/>
      <w:pPr>
        <w:tabs>
          <w:tab w:val="num" w:pos="2148"/>
        </w:tabs>
        <w:ind w:left="2148" w:hanging="360"/>
      </w:pPr>
      <w:rPr>
        <w:rFonts w:ascii="Courier New" w:hAnsi="Courier New" w:cs="Times New Roman" w:hint="default"/>
        <w:sz w:val="20"/>
      </w:rPr>
    </w:lvl>
    <w:lvl w:ilvl="2">
      <w:start w:val="1"/>
      <w:numFmt w:val="bullet"/>
      <w:lvlText w:val=""/>
      <w:lvlJc w:val="left"/>
      <w:pPr>
        <w:tabs>
          <w:tab w:val="num" w:pos="2868"/>
        </w:tabs>
        <w:ind w:left="2868" w:hanging="360"/>
      </w:pPr>
      <w:rPr>
        <w:rFonts w:ascii="Wingdings" w:hAnsi="Wingdings" w:hint="default"/>
        <w:sz w:val="20"/>
      </w:rPr>
    </w:lvl>
    <w:lvl w:ilvl="3">
      <w:start w:val="1"/>
      <w:numFmt w:val="bullet"/>
      <w:lvlText w:val=""/>
      <w:lvlJc w:val="left"/>
      <w:pPr>
        <w:tabs>
          <w:tab w:val="num" w:pos="3588"/>
        </w:tabs>
        <w:ind w:left="3588" w:hanging="360"/>
      </w:pPr>
      <w:rPr>
        <w:rFonts w:ascii="Wingdings" w:hAnsi="Wingdings" w:hint="default"/>
        <w:sz w:val="20"/>
      </w:rPr>
    </w:lvl>
    <w:lvl w:ilvl="4">
      <w:start w:val="1"/>
      <w:numFmt w:val="bullet"/>
      <w:lvlText w:val=""/>
      <w:lvlJc w:val="left"/>
      <w:pPr>
        <w:tabs>
          <w:tab w:val="num" w:pos="4308"/>
        </w:tabs>
        <w:ind w:left="4308" w:hanging="360"/>
      </w:pPr>
      <w:rPr>
        <w:rFonts w:ascii="Wingdings" w:hAnsi="Wingdings" w:hint="default"/>
        <w:sz w:val="20"/>
      </w:rPr>
    </w:lvl>
    <w:lvl w:ilvl="5">
      <w:start w:val="1"/>
      <w:numFmt w:val="bullet"/>
      <w:lvlText w:val=""/>
      <w:lvlJc w:val="left"/>
      <w:pPr>
        <w:tabs>
          <w:tab w:val="num" w:pos="5028"/>
        </w:tabs>
        <w:ind w:left="5028" w:hanging="360"/>
      </w:pPr>
      <w:rPr>
        <w:rFonts w:ascii="Wingdings" w:hAnsi="Wingdings" w:hint="default"/>
        <w:sz w:val="20"/>
      </w:rPr>
    </w:lvl>
    <w:lvl w:ilvl="6">
      <w:start w:val="1"/>
      <w:numFmt w:val="bullet"/>
      <w:lvlText w:val=""/>
      <w:lvlJc w:val="left"/>
      <w:pPr>
        <w:tabs>
          <w:tab w:val="num" w:pos="5748"/>
        </w:tabs>
        <w:ind w:left="5748" w:hanging="360"/>
      </w:pPr>
      <w:rPr>
        <w:rFonts w:ascii="Wingdings" w:hAnsi="Wingdings" w:hint="default"/>
        <w:sz w:val="20"/>
      </w:rPr>
    </w:lvl>
    <w:lvl w:ilvl="7">
      <w:start w:val="1"/>
      <w:numFmt w:val="bullet"/>
      <w:lvlText w:val=""/>
      <w:lvlJc w:val="left"/>
      <w:pPr>
        <w:tabs>
          <w:tab w:val="num" w:pos="6468"/>
        </w:tabs>
        <w:ind w:left="6468" w:hanging="360"/>
      </w:pPr>
      <w:rPr>
        <w:rFonts w:ascii="Wingdings" w:hAnsi="Wingdings" w:hint="default"/>
        <w:sz w:val="20"/>
      </w:rPr>
    </w:lvl>
    <w:lvl w:ilvl="8">
      <w:start w:val="1"/>
      <w:numFmt w:val="bullet"/>
      <w:lvlText w:val=""/>
      <w:lvlJc w:val="left"/>
      <w:pPr>
        <w:tabs>
          <w:tab w:val="num" w:pos="7188"/>
        </w:tabs>
        <w:ind w:left="7188" w:hanging="360"/>
      </w:pPr>
      <w:rPr>
        <w:rFonts w:ascii="Wingdings" w:hAnsi="Wingdings" w:hint="default"/>
        <w:sz w:val="20"/>
      </w:rPr>
    </w:lvl>
  </w:abstractNum>
  <w:abstractNum w:abstractNumId="11"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3702982"/>
    <w:multiLevelType w:val="hybridMultilevel"/>
    <w:tmpl w:val="1C82FCEA"/>
    <w:lvl w:ilvl="0" w:tplc="C90C6EB2">
      <w:start w:val="503"/>
      <w:numFmt w:val="bullet"/>
      <w:lvlText w:val="-"/>
      <w:lvlJc w:val="left"/>
      <w:pPr>
        <w:ind w:left="1069" w:hanging="360"/>
      </w:pPr>
      <w:rPr>
        <w:rFonts w:ascii="Verdana" w:eastAsia="Calibri"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4"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5"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6"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7" w15:restartNumberingAfterBreak="0">
    <w:nsid w:val="66B32941"/>
    <w:multiLevelType w:val="multilevel"/>
    <w:tmpl w:val="DDDA8B00"/>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8"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9" w15:restartNumberingAfterBreak="0">
    <w:nsid w:val="74D9785A"/>
    <w:multiLevelType w:val="hybridMultilevel"/>
    <w:tmpl w:val="05A4D20A"/>
    <w:lvl w:ilvl="0" w:tplc="BED8E086">
      <w:start w:val="1"/>
      <w:numFmt w:val="bullet"/>
      <w:lvlText w:val="-"/>
      <w:lvlJc w:val="left"/>
      <w:pPr>
        <w:ind w:left="2149" w:hanging="360"/>
      </w:pPr>
      <w:rPr>
        <w:rFonts w:ascii="Verdana" w:eastAsia="Times New Roman" w:hAnsi="Verdana" w:cs="Arial" w:hint="default"/>
      </w:rPr>
    </w:lvl>
    <w:lvl w:ilvl="1" w:tplc="04240003" w:tentative="1">
      <w:start w:val="1"/>
      <w:numFmt w:val="bullet"/>
      <w:lvlText w:val="o"/>
      <w:lvlJc w:val="left"/>
      <w:pPr>
        <w:ind w:left="2869" w:hanging="360"/>
      </w:pPr>
      <w:rPr>
        <w:rFonts w:ascii="Courier New" w:hAnsi="Courier New" w:cs="Courier New" w:hint="default"/>
      </w:rPr>
    </w:lvl>
    <w:lvl w:ilvl="2" w:tplc="04240005" w:tentative="1">
      <w:start w:val="1"/>
      <w:numFmt w:val="bullet"/>
      <w:lvlText w:val=""/>
      <w:lvlJc w:val="left"/>
      <w:pPr>
        <w:ind w:left="3589" w:hanging="360"/>
      </w:pPr>
      <w:rPr>
        <w:rFonts w:ascii="Wingdings" w:hAnsi="Wingdings" w:hint="default"/>
      </w:rPr>
    </w:lvl>
    <w:lvl w:ilvl="3" w:tplc="04240001" w:tentative="1">
      <w:start w:val="1"/>
      <w:numFmt w:val="bullet"/>
      <w:lvlText w:val=""/>
      <w:lvlJc w:val="left"/>
      <w:pPr>
        <w:ind w:left="4309" w:hanging="360"/>
      </w:pPr>
      <w:rPr>
        <w:rFonts w:ascii="Symbol" w:hAnsi="Symbol" w:hint="default"/>
      </w:rPr>
    </w:lvl>
    <w:lvl w:ilvl="4" w:tplc="04240003" w:tentative="1">
      <w:start w:val="1"/>
      <w:numFmt w:val="bullet"/>
      <w:lvlText w:val="o"/>
      <w:lvlJc w:val="left"/>
      <w:pPr>
        <w:ind w:left="5029" w:hanging="360"/>
      </w:pPr>
      <w:rPr>
        <w:rFonts w:ascii="Courier New" w:hAnsi="Courier New" w:cs="Courier New" w:hint="default"/>
      </w:rPr>
    </w:lvl>
    <w:lvl w:ilvl="5" w:tplc="04240005" w:tentative="1">
      <w:start w:val="1"/>
      <w:numFmt w:val="bullet"/>
      <w:lvlText w:val=""/>
      <w:lvlJc w:val="left"/>
      <w:pPr>
        <w:ind w:left="5749" w:hanging="360"/>
      </w:pPr>
      <w:rPr>
        <w:rFonts w:ascii="Wingdings" w:hAnsi="Wingdings" w:hint="default"/>
      </w:rPr>
    </w:lvl>
    <w:lvl w:ilvl="6" w:tplc="04240001" w:tentative="1">
      <w:start w:val="1"/>
      <w:numFmt w:val="bullet"/>
      <w:lvlText w:val=""/>
      <w:lvlJc w:val="left"/>
      <w:pPr>
        <w:ind w:left="6469" w:hanging="360"/>
      </w:pPr>
      <w:rPr>
        <w:rFonts w:ascii="Symbol" w:hAnsi="Symbol" w:hint="default"/>
      </w:rPr>
    </w:lvl>
    <w:lvl w:ilvl="7" w:tplc="04240003" w:tentative="1">
      <w:start w:val="1"/>
      <w:numFmt w:val="bullet"/>
      <w:lvlText w:val="o"/>
      <w:lvlJc w:val="left"/>
      <w:pPr>
        <w:ind w:left="7189" w:hanging="360"/>
      </w:pPr>
      <w:rPr>
        <w:rFonts w:ascii="Courier New" w:hAnsi="Courier New" w:cs="Courier New" w:hint="default"/>
      </w:rPr>
    </w:lvl>
    <w:lvl w:ilvl="8" w:tplc="04240005" w:tentative="1">
      <w:start w:val="1"/>
      <w:numFmt w:val="bullet"/>
      <w:lvlText w:val=""/>
      <w:lvlJc w:val="left"/>
      <w:pPr>
        <w:ind w:left="7909" w:hanging="360"/>
      </w:pPr>
      <w:rPr>
        <w:rFonts w:ascii="Wingdings" w:hAnsi="Wingdings" w:hint="default"/>
      </w:rPr>
    </w:lvl>
  </w:abstractNum>
  <w:abstractNum w:abstractNumId="20" w15:restartNumberingAfterBreak="0">
    <w:nsid w:val="763656A3"/>
    <w:multiLevelType w:val="multilevel"/>
    <w:tmpl w:val="FE406BBC"/>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21" w15:restartNumberingAfterBreak="0">
    <w:nsid w:val="7CDB3895"/>
    <w:multiLevelType w:val="hybridMultilevel"/>
    <w:tmpl w:val="F2925288"/>
    <w:lvl w:ilvl="0" w:tplc="96D27FE4">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num w:numId="1" w16cid:durableId="1577129964">
    <w:abstractNumId w:val="12"/>
  </w:num>
  <w:num w:numId="2" w16cid:durableId="1164929981">
    <w:abstractNumId w:val="16"/>
  </w:num>
  <w:num w:numId="3" w16cid:durableId="1314213452">
    <w:abstractNumId w:val="0"/>
  </w:num>
  <w:num w:numId="4" w16cid:durableId="629288842">
    <w:abstractNumId w:val="7"/>
  </w:num>
  <w:num w:numId="5" w16cid:durableId="738939049">
    <w:abstractNumId w:val="15"/>
  </w:num>
  <w:num w:numId="6" w16cid:durableId="1657220828">
    <w:abstractNumId w:val="18"/>
  </w:num>
  <w:num w:numId="7" w16cid:durableId="1256210005">
    <w:abstractNumId w:val="3"/>
  </w:num>
  <w:num w:numId="8" w16cid:durableId="620721476">
    <w:abstractNumId w:val="4"/>
  </w:num>
  <w:num w:numId="9" w16cid:durableId="1223718357">
    <w:abstractNumId w:val="11"/>
  </w:num>
  <w:num w:numId="10" w16cid:durableId="767116328">
    <w:abstractNumId w:val="14"/>
  </w:num>
  <w:num w:numId="11" w16cid:durableId="1379276865">
    <w:abstractNumId w:val="5"/>
  </w:num>
  <w:num w:numId="12" w16cid:durableId="1657682525">
    <w:abstractNumId w:val="21"/>
  </w:num>
  <w:num w:numId="13" w16cid:durableId="2142306939">
    <w:abstractNumId w:val="19"/>
  </w:num>
  <w:num w:numId="14" w16cid:durableId="1151600941">
    <w:abstractNumId w:val="2"/>
  </w:num>
  <w:num w:numId="15" w16cid:durableId="13931884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2585664">
    <w:abstractNumId w:val="20"/>
  </w:num>
  <w:num w:numId="17" w16cid:durableId="1852063014">
    <w:abstractNumId w:val="6"/>
  </w:num>
  <w:num w:numId="18" w16cid:durableId="1793552959">
    <w:abstractNumId w:val="17"/>
  </w:num>
  <w:num w:numId="19" w16cid:durableId="1731266464">
    <w:abstractNumId w:val="10"/>
  </w:num>
  <w:num w:numId="20" w16cid:durableId="1719813134">
    <w:abstractNumId w:val="8"/>
  </w:num>
  <w:num w:numId="21" w16cid:durableId="1620993838">
    <w:abstractNumId w:val="9"/>
  </w:num>
  <w:num w:numId="22" w16cid:durableId="18737599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5EC4"/>
    <w:rsid w:val="00016BD5"/>
    <w:rsid w:val="00016E1B"/>
    <w:rsid w:val="000276AB"/>
    <w:rsid w:val="0005678C"/>
    <w:rsid w:val="0007775A"/>
    <w:rsid w:val="000807CE"/>
    <w:rsid w:val="00083CA2"/>
    <w:rsid w:val="00090D2C"/>
    <w:rsid w:val="000B0305"/>
    <w:rsid w:val="000B577C"/>
    <w:rsid w:val="000D6C77"/>
    <w:rsid w:val="000E5815"/>
    <w:rsid w:val="000E70DA"/>
    <w:rsid w:val="000F3E79"/>
    <w:rsid w:val="00101B99"/>
    <w:rsid w:val="00103FE0"/>
    <w:rsid w:val="001048DD"/>
    <w:rsid w:val="00110838"/>
    <w:rsid w:val="001137D1"/>
    <w:rsid w:val="00115655"/>
    <w:rsid w:val="00115833"/>
    <w:rsid w:val="00121E4D"/>
    <w:rsid w:val="00143564"/>
    <w:rsid w:val="00145A3D"/>
    <w:rsid w:val="00151210"/>
    <w:rsid w:val="001661E3"/>
    <w:rsid w:val="00167093"/>
    <w:rsid w:val="00172F91"/>
    <w:rsid w:val="001732D3"/>
    <w:rsid w:val="00175A68"/>
    <w:rsid w:val="00192B9A"/>
    <w:rsid w:val="00196063"/>
    <w:rsid w:val="00196994"/>
    <w:rsid w:val="001A0CF9"/>
    <w:rsid w:val="001A774A"/>
    <w:rsid w:val="001B2389"/>
    <w:rsid w:val="001B56CB"/>
    <w:rsid w:val="001C3E79"/>
    <w:rsid w:val="001C491B"/>
    <w:rsid w:val="001C6438"/>
    <w:rsid w:val="001D7013"/>
    <w:rsid w:val="001E519B"/>
    <w:rsid w:val="001E77FC"/>
    <w:rsid w:val="00202918"/>
    <w:rsid w:val="00206F5A"/>
    <w:rsid w:val="0022510F"/>
    <w:rsid w:val="00226E0E"/>
    <w:rsid w:val="0023060D"/>
    <w:rsid w:val="002374C1"/>
    <w:rsid w:val="002378A3"/>
    <w:rsid w:val="002432E3"/>
    <w:rsid w:val="00250402"/>
    <w:rsid w:val="00251FBC"/>
    <w:rsid w:val="00253228"/>
    <w:rsid w:val="00256D6D"/>
    <w:rsid w:val="002600C7"/>
    <w:rsid w:val="002649B1"/>
    <w:rsid w:val="00276703"/>
    <w:rsid w:val="00281AD5"/>
    <w:rsid w:val="0028430E"/>
    <w:rsid w:val="0028622D"/>
    <w:rsid w:val="0029006F"/>
    <w:rsid w:val="00290E4D"/>
    <w:rsid w:val="00292182"/>
    <w:rsid w:val="00293DBF"/>
    <w:rsid w:val="002A1551"/>
    <w:rsid w:val="002A2E89"/>
    <w:rsid w:val="002B08B0"/>
    <w:rsid w:val="002B1610"/>
    <w:rsid w:val="002B3E5A"/>
    <w:rsid w:val="002D59F0"/>
    <w:rsid w:val="002E20B3"/>
    <w:rsid w:val="002E50B4"/>
    <w:rsid w:val="002F330A"/>
    <w:rsid w:val="002F4F3E"/>
    <w:rsid w:val="0031431D"/>
    <w:rsid w:val="00320D83"/>
    <w:rsid w:val="00321519"/>
    <w:rsid w:val="003243D4"/>
    <w:rsid w:val="00340A6C"/>
    <w:rsid w:val="00344157"/>
    <w:rsid w:val="00352A82"/>
    <w:rsid w:val="00355F3A"/>
    <w:rsid w:val="003654C6"/>
    <w:rsid w:val="00366240"/>
    <w:rsid w:val="003746C9"/>
    <w:rsid w:val="00381500"/>
    <w:rsid w:val="003815F8"/>
    <w:rsid w:val="00382921"/>
    <w:rsid w:val="00386692"/>
    <w:rsid w:val="0039457F"/>
    <w:rsid w:val="00396C37"/>
    <w:rsid w:val="003A0AE4"/>
    <w:rsid w:val="003A14F0"/>
    <w:rsid w:val="003A494A"/>
    <w:rsid w:val="003B11F7"/>
    <w:rsid w:val="003B1C1F"/>
    <w:rsid w:val="003B5A4F"/>
    <w:rsid w:val="003C3E8F"/>
    <w:rsid w:val="003C6C4B"/>
    <w:rsid w:val="003D5724"/>
    <w:rsid w:val="003F25A7"/>
    <w:rsid w:val="003F3284"/>
    <w:rsid w:val="003F3EB0"/>
    <w:rsid w:val="00405039"/>
    <w:rsid w:val="004067DC"/>
    <w:rsid w:val="0041261D"/>
    <w:rsid w:val="004129EE"/>
    <w:rsid w:val="004164F0"/>
    <w:rsid w:val="00436241"/>
    <w:rsid w:val="00445A64"/>
    <w:rsid w:val="004508C9"/>
    <w:rsid w:val="00463FA4"/>
    <w:rsid w:val="00476915"/>
    <w:rsid w:val="004806FB"/>
    <w:rsid w:val="00480E60"/>
    <w:rsid w:val="00486063"/>
    <w:rsid w:val="004953C5"/>
    <w:rsid w:val="004A4A58"/>
    <w:rsid w:val="004C04E1"/>
    <w:rsid w:val="004C772C"/>
    <w:rsid w:val="004D08B8"/>
    <w:rsid w:val="004D368B"/>
    <w:rsid w:val="004E242E"/>
    <w:rsid w:val="004E387D"/>
    <w:rsid w:val="004E68FC"/>
    <w:rsid w:val="004E6E87"/>
    <w:rsid w:val="004E76D9"/>
    <w:rsid w:val="004F1ADB"/>
    <w:rsid w:val="004F61D0"/>
    <w:rsid w:val="00500E47"/>
    <w:rsid w:val="00514093"/>
    <w:rsid w:val="005210F0"/>
    <w:rsid w:val="00532BD9"/>
    <w:rsid w:val="005458EA"/>
    <w:rsid w:val="0055164C"/>
    <w:rsid w:val="005562CF"/>
    <w:rsid w:val="00581BE7"/>
    <w:rsid w:val="005A4188"/>
    <w:rsid w:val="005A7EF0"/>
    <w:rsid w:val="005B06C0"/>
    <w:rsid w:val="005B3DE7"/>
    <w:rsid w:val="005B7F71"/>
    <w:rsid w:val="005D2A68"/>
    <w:rsid w:val="005D6917"/>
    <w:rsid w:val="005D7B87"/>
    <w:rsid w:val="005F47CB"/>
    <w:rsid w:val="005F7FCD"/>
    <w:rsid w:val="00605325"/>
    <w:rsid w:val="00612B00"/>
    <w:rsid w:val="00621BC7"/>
    <w:rsid w:val="0062252D"/>
    <w:rsid w:val="00641183"/>
    <w:rsid w:val="00651B99"/>
    <w:rsid w:val="00655E9F"/>
    <w:rsid w:val="00657769"/>
    <w:rsid w:val="0066085E"/>
    <w:rsid w:val="006620F0"/>
    <w:rsid w:val="00694798"/>
    <w:rsid w:val="00696009"/>
    <w:rsid w:val="006A26DE"/>
    <w:rsid w:val="006B0C3A"/>
    <w:rsid w:val="006B33D9"/>
    <w:rsid w:val="006B500F"/>
    <w:rsid w:val="006C20D9"/>
    <w:rsid w:val="006D0AED"/>
    <w:rsid w:val="006E4CCD"/>
    <w:rsid w:val="006E7FB6"/>
    <w:rsid w:val="006F1CF9"/>
    <w:rsid w:val="006F3123"/>
    <w:rsid w:val="006F4023"/>
    <w:rsid w:val="006F44FD"/>
    <w:rsid w:val="006F76C7"/>
    <w:rsid w:val="006F7D6F"/>
    <w:rsid w:val="0070079B"/>
    <w:rsid w:val="00714788"/>
    <w:rsid w:val="00715D35"/>
    <w:rsid w:val="00722FAC"/>
    <w:rsid w:val="00723864"/>
    <w:rsid w:val="00731380"/>
    <w:rsid w:val="00734A18"/>
    <w:rsid w:val="00740BEB"/>
    <w:rsid w:val="00750207"/>
    <w:rsid w:val="007548F3"/>
    <w:rsid w:val="007570B2"/>
    <w:rsid w:val="00761BD8"/>
    <w:rsid w:val="00763EEA"/>
    <w:rsid w:val="00770284"/>
    <w:rsid w:val="00774DD1"/>
    <w:rsid w:val="0077510F"/>
    <w:rsid w:val="00776009"/>
    <w:rsid w:val="0079172C"/>
    <w:rsid w:val="00791DB2"/>
    <w:rsid w:val="00793022"/>
    <w:rsid w:val="00796028"/>
    <w:rsid w:val="007966FA"/>
    <w:rsid w:val="007A42B0"/>
    <w:rsid w:val="007A4852"/>
    <w:rsid w:val="007A6DC2"/>
    <w:rsid w:val="007D48AB"/>
    <w:rsid w:val="007E1D9C"/>
    <w:rsid w:val="007E472E"/>
    <w:rsid w:val="007E4F69"/>
    <w:rsid w:val="007F5259"/>
    <w:rsid w:val="00810854"/>
    <w:rsid w:val="008160DC"/>
    <w:rsid w:val="008323F2"/>
    <w:rsid w:val="008631C4"/>
    <w:rsid w:val="0086350F"/>
    <w:rsid w:val="0087065B"/>
    <w:rsid w:val="00872909"/>
    <w:rsid w:val="00873CAB"/>
    <w:rsid w:val="008759F5"/>
    <w:rsid w:val="008802E3"/>
    <w:rsid w:val="008821D4"/>
    <w:rsid w:val="00893068"/>
    <w:rsid w:val="008949E6"/>
    <w:rsid w:val="008A260E"/>
    <w:rsid w:val="008A3474"/>
    <w:rsid w:val="008E721E"/>
    <w:rsid w:val="008F21D2"/>
    <w:rsid w:val="008F2684"/>
    <w:rsid w:val="008F38FF"/>
    <w:rsid w:val="008F5DCA"/>
    <w:rsid w:val="00905FF8"/>
    <w:rsid w:val="009060A3"/>
    <w:rsid w:val="009070A0"/>
    <w:rsid w:val="00913558"/>
    <w:rsid w:val="00923A6E"/>
    <w:rsid w:val="00927DDB"/>
    <w:rsid w:val="00940087"/>
    <w:rsid w:val="00943CAA"/>
    <w:rsid w:val="00945FE7"/>
    <w:rsid w:val="00946353"/>
    <w:rsid w:val="009568DD"/>
    <w:rsid w:val="00974365"/>
    <w:rsid w:val="00981E48"/>
    <w:rsid w:val="0098442C"/>
    <w:rsid w:val="00984B3B"/>
    <w:rsid w:val="009A2BFC"/>
    <w:rsid w:val="009A52DF"/>
    <w:rsid w:val="009B227A"/>
    <w:rsid w:val="009D183C"/>
    <w:rsid w:val="00A03315"/>
    <w:rsid w:val="00A12CE2"/>
    <w:rsid w:val="00A21C77"/>
    <w:rsid w:val="00A30E52"/>
    <w:rsid w:val="00A33C69"/>
    <w:rsid w:val="00A41D76"/>
    <w:rsid w:val="00A425CD"/>
    <w:rsid w:val="00A71D19"/>
    <w:rsid w:val="00A72ACB"/>
    <w:rsid w:val="00A7398A"/>
    <w:rsid w:val="00A9127C"/>
    <w:rsid w:val="00A9136F"/>
    <w:rsid w:val="00A946D1"/>
    <w:rsid w:val="00A95A58"/>
    <w:rsid w:val="00AA0A2F"/>
    <w:rsid w:val="00AA4BFD"/>
    <w:rsid w:val="00AB7294"/>
    <w:rsid w:val="00AD6CCC"/>
    <w:rsid w:val="00AE2063"/>
    <w:rsid w:val="00AE720F"/>
    <w:rsid w:val="00B33A73"/>
    <w:rsid w:val="00B442F4"/>
    <w:rsid w:val="00B456FF"/>
    <w:rsid w:val="00B51242"/>
    <w:rsid w:val="00B566C7"/>
    <w:rsid w:val="00B63DD7"/>
    <w:rsid w:val="00B6571E"/>
    <w:rsid w:val="00B745D8"/>
    <w:rsid w:val="00B9688F"/>
    <w:rsid w:val="00BA2DD2"/>
    <w:rsid w:val="00BA4540"/>
    <w:rsid w:val="00BB53A6"/>
    <w:rsid w:val="00BE06A7"/>
    <w:rsid w:val="00BE234C"/>
    <w:rsid w:val="00BE2600"/>
    <w:rsid w:val="00BE4139"/>
    <w:rsid w:val="00BE5B70"/>
    <w:rsid w:val="00BF6B02"/>
    <w:rsid w:val="00BF7E61"/>
    <w:rsid w:val="00C035A1"/>
    <w:rsid w:val="00C04AAD"/>
    <w:rsid w:val="00C10614"/>
    <w:rsid w:val="00C24958"/>
    <w:rsid w:val="00C341E9"/>
    <w:rsid w:val="00C44386"/>
    <w:rsid w:val="00C4604F"/>
    <w:rsid w:val="00C5335B"/>
    <w:rsid w:val="00C65F88"/>
    <w:rsid w:val="00C71C19"/>
    <w:rsid w:val="00C724FC"/>
    <w:rsid w:val="00C75F1C"/>
    <w:rsid w:val="00C7627D"/>
    <w:rsid w:val="00C87877"/>
    <w:rsid w:val="00C92079"/>
    <w:rsid w:val="00C928AC"/>
    <w:rsid w:val="00C973E8"/>
    <w:rsid w:val="00CC3F17"/>
    <w:rsid w:val="00CC7B54"/>
    <w:rsid w:val="00CD0869"/>
    <w:rsid w:val="00CD3261"/>
    <w:rsid w:val="00CF0B4F"/>
    <w:rsid w:val="00CF2AFF"/>
    <w:rsid w:val="00CF46F1"/>
    <w:rsid w:val="00CF6A8D"/>
    <w:rsid w:val="00D0231B"/>
    <w:rsid w:val="00D04537"/>
    <w:rsid w:val="00D0466C"/>
    <w:rsid w:val="00D14C9D"/>
    <w:rsid w:val="00D23609"/>
    <w:rsid w:val="00D30475"/>
    <w:rsid w:val="00D30496"/>
    <w:rsid w:val="00D31A7B"/>
    <w:rsid w:val="00D353BF"/>
    <w:rsid w:val="00D4594B"/>
    <w:rsid w:val="00D51EE1"/>
    <w:rsid w:val="00D54046"/>
    <w:rsid w:val="00D64E0C"/>
    <w:rsid w:val="00D7505F"/>
    <w:rsid w:val="00D81991"/>
    <w:rsid w:val="00D8326F"/>
    <w:rsid w:val="00D903DC"/>
    <w:rsid w:val="00D91FBB"/>
    <w:rsid w:val="00D9668C"/>
    <w:rsid w:val="00DA0FCB"/>
    <w:rsid w:val="00DA11BC"/>
    <w:rsid w:val="00DA37CD"/>
    <w:rsid w:val="00DA69BC"/>
    <w:rsid w:val="00DC2D47"/>
    <w:rsid w:val="00DC372D"/>
    <w:rsid w:val="00DD2394"/>
    <w:rsid w:val="00DD6E2C"/>
    <w:rsid w:val="00DE25A0"/>
    <w:rsid w:val="00DE5D4A"/>
    <w:rsid w:val="00DE7B81"/>
    <w:rsid w:val="00E16FF6"/>
    <w:rsid w:val="00E217AD"/>
    <w:rsid w:val="00E24A0F"/>
    <w:rsid w:val="00E257A7"/>
    <w:rsid w:val="00E43DB2"/>
    <w:rsid w:val="00E57102"/>
    <w:rsid w:val="00E62295"/>
    <w:rsid w:val="00E639CC"/>
    <w:rsid w:val="00E6519A"/>
    <w:rsid w:val="00E70DD6"/>
    <w:rsid w:val="00E70FB1"/>
    <w:rsid w:val="00E721C4"/>
    <w:rsid w:val="00E76F30"/>
    <w:rsid w:val="00E876FD"/>
    <w:rsid w:val="00E92242"/>
    <w:rsid w:val="00EA54C9"/>
    <w:rsid w:val="00EA5D4F"/>
    <w:rsid w:val="00EB11A9"/>
    <w:rsid w:val="00EB6079"/>
    <w:rsid w:val="00ED7977"/>
    <w:rsid w:val="00EE3F0F"/>
    <w:rsid w:val="00EE5DDF"/>
    <w:rsid w:val="00EF0DD6"/>
    <w:rsid w:val="00EF71F7"/>
    <w:rsid w:val="00F064FB"/>
    <w:rsid w:val="00F12361"/>
    <w:rsid w:val="00F14377"/>
    <w:rsid w:val="00F24C66"/>
    <w:rsid w:val="00F27F42"/>
    <w:rsid w:val="00F372C1"/>
    <w:rsid w:val="00F40810"/>
    <w:rsid w:val="00F4231E"/>
    <w:rsid w:val="00F50D05"/>
    <w:rsid w:val="00F52C97"/>
    <w:rsid w:val="00F543B5"/>
    <w:rsid w:val="00F63CB9"/>
    <w:rsid w:val="00F641CF"/>
    <w:rsid w:val="00F65BF3"/>
    <w:rsid w:val="00F7438A"/>
    <w:rsid w:val="00F76E55"/>
    <w:rsid w:val="00F811AF"/>
    <w:rsid w:val="00F819BE"/>
    <w:rsid w:val="00F9138F"/>
    <w:rsid w:val="00FA03D3"/>
    <w:rsid w:val="00FA3F40"/>
    <w:rsid w:val="00FB7287"/>
    <w:rsid w:val="00FE6DF2"/>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customStyle="1" w:styleId="Default">
    <w:name w:val="Default"/>
    <w:rsid w:val="006E4CCD"/>
    <w:pPr>
      <w:autoSpaceDE w:val="0"/>
      <w:autoSpaceDN w:val="0"/>
      <w:adjustRightInd w:val="0"/>
      <w:spacing w:after="0" w:line="240" w:lineRule="auto"/>
    </w:pPr>
    <w:rPr>
      <w:rFonts w:ascii="Arial" w:hAnsi="Arial" w:cs="Arial"/>
      <w:color w:val="000000"/>
      <w:sz w:val="24"/>
      <w:szCs w:val="24"/>
    </w:rPr>
  </w:style>
  <w:style w:type="character" w:styleId="Pripombasklic">
    <w:name w:val="annotation reference"/>
    <w:basedOn w:val="Privzetapisavaodstavka"/>
    <w:uiPriority w:val="99"/>
    <w:semiHidden/>
    <w:unhideWhenUsed/>
    <w:rsid w:val="00F064FB"/>
    <w:rPr>
      <w:sz w:val="16"/>
      <w:szCs w:val="16"/>
    </w:rPr>
  </w:style>
  <w:style w:type="paragraph" w:styleId="Pripombabesedilo">
    <w:name w:val="annotation text"/>
    <w:basedOn w:val="Navaden"/>
    <w:link w:val="PripombabesediloZnak"/>
    <w:uiPriority w:val="99"/>
    <w:unhideWhenUsed/>
    <w:rsid w:val="00F064FB"/>
    <w:pPr>
      <w:spacing w:line="240" w:lineRule="auto"/>
    </w:pPr>
  </w:style>
  <w:style w:type="character" w:customStyle="1" w:styleId="PripombabesediloZnak">
    <w:name w:val="Pripomba – besedilo Znak"/>
    <w:basedOn w:val="Privzetapisavaodstavka"/>
    <w:link w:val="Pripombabesedilo"/>
    <w:uiPriority w:val="99"/>
    <w:rsid w:val="00F064FB"/>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F064FB"/>
    <w:rPr>
      <w:b/>
    </w:rPr>
  </w:style>
  <w:style w:type="character" w:customStyle="1" w:styleId="ZadevapripombeZnak">
    <w:name w:val="Zadeva pripombe Znak"/>
    <w:basedOn w:val="PripombabesediloZnak"/>
    <w:link w:val="Zadevapripombe"/>
    <w:uiPriority w:val="99"/>
    <w:semiHidden/>
    <w:rsid w:val="00F064FB"/>
    <w:rPr>
      <w:rFonts w:ascii="Verdana" w:eastAsia="Times New Roman" w:hAnsi="Verdana" w:cs="Arial"/>
      <w:b/>
      <w:bCs/>
      <w:noProof/>
      <w:sz w:val="20"/>
      <w:szCs w:val="20"/>
      <w:lang w:eastAsia="sl-SI"/>
    </w:rPr>
  </w:style>
  <w:style w:type="paragraph" w:styleId="Revizija">
    <w:name w:val="Revision"/>
    <w:hidden/>
    <w:uiPriority w:val="99"/>
    <w:semiHidden/>
    <w:rsid w:val="007F5259"/>
    <w:pPr>
      <w:spacing w:after="0" w:line="240" w:lineRule="auto"/>
    </w:pPr>
    <w:rPr>
      <w:rFonts w:ascii="Verdana" w:eastAsia="Times New Roman" w:hAnsi="Verdana" w:cs="Arial"/>
      <w:bCs/>
      <w:noProof/>
      <w:sz w:val="20"/>
      <w:szCs w:val="20"/>
      <w:lang w:eastAsia="sl-SI"/>
    </w:rPr>
  </w:style>
  <w:style w:type="character" w:styleId="SledenaHiperpovezava">
    <w:name w:val="FollowedHyperlink"/>
    <w:basedOn w:val="Privzetapisavaodstavka"/>
    <w:uiPriority w:val="99"/>
    <w:semiHidden/>
    <w:unhideWhenUsed/>
    <w:rsid w:val="00B566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2025-07-11T10:52:37+00:00</Veljaod_x003a_>
    <Veljado xmlns="971fd287-4551-411b-a694-38c9be1b8a3f" xsi:nil="true"/>
    <TaxCatchAll xmlns="151e2135-251a-4a54-bb3f-b4383bb78d32" xsi:nil="true"/>
    <Datumobjave xmlns="971fd287-4551-411b-a694-38c9be1b8a3f">2025-07-11T10:52:37+00:00</Datumobja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1564A29-A00E-4D1D-B982-542F74417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AC3D4F-2013-416F-AA41-EBB7B0E53758}">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67836AD5-CCE6-41DB-8EB7-B7D8B4870D92}">
  <ds:schemaRefs>
    <ds:schemaRef ds:uri="http://schemas.microsoft.com/sharepoint/v3/contenttype/forms"/>
  </ds:schemaRefs>
</ds:datastoreItem>
</file>

<file path=customXml/itemProps4.xml><?xml version="1.0" encoding="utf-8"?>
<ds:datastoreItem xmlns:ds="http://schemas.openxmlformats.org/officeDocument/2006/customXml" ds:itemID="{FCA1F897-5817-45E7-B037-509837EAD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1080</Words>
  <Characters>6159</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Miran Ljucovič</cp:lastModifiedBy>
  <cp:revision>4</cp:revision>
  <cp:lastPrinted>2025-02-19T07:16:00Z</cp:lastPrinted>
  <dcterms:created xsi:type="dcterms:W3CDTF">2026-02-27T12:48:00Z</dcterms:created>
  <dcterms:modified xsi:type="dcterms:W3CDTF">2026-02-27T13:13:00Z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