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8940647" w:rsidR="0066085E" w:rsidRPr="00A718FD" w:rsidRDefault="0006647C" w:rsidP="0067333B">
      <w:pPr>
        <w:pStyle w:val="Nazivenote"/>
        <w:spacing w:line="288" w:lineRule="auto"/>
        <w:rPr>
          <w:b w:val="0"/>
          <w:bCs/>
          <w:sz w:val="16"/>
          <w:szCs w:val="16"/>
        </w:rPr>
      </w:pPr>
      <w:r w:rsidRPr="00A718FD">
        <w:rPr>
          <w:sz w:val="16"/>
          <w:szCs w:val="16"/>
        </w:rPr>
        <mc:AlternateContent>
          <mc:Choice Requires="wps">
            <w:drawing>
              <wp:anchor distT="45720" distB="45720" distL="114300" distR="114300" simplePos="0" relativeHeight="251658241" behindDoc="1" locked="0" layoutInCell="1" allowOverlap="1" wp14:anchorId="18D38E96" wp14:editId="7FCA3507">
                <wp:simplePos x="0" y="0"/>
                <wp:positionH relativeFrom="column">
                  <wp:posOffset>4799330</wp:posOffset>
                </wp:positionH>
                <wp:positionV relativeFrom="paragraph">
                  <wp:posOffset>77470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659BDFAA" w:rsidR="00445A64" w:rsidRPr="000E5815" w:rsidRDefault="007D5884" w:rsidP="00445A64">
                            <w:pPr>
                              <w:pStyle w:val="tevilka"/>
                              <w:rPr>
                                <w:sz w:val="80"/>
                                <w:szCs w:val="80"/>
                              </w:rPr>
                            </w:pPr>
                            <w:r>
                              <w:rPr>
                                <w:sz w:val="80"/>
                                <w:szCs w:val="8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6.1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" stroked="f">
                <v:textbox>
                  <w:txbxContent>
                    <w:p w14:paraId="79C32D9A" w14:textId="659BDFAA" w:rsidR="00445A64" w:rsidRPr="000E5815" w:rsidRDefault="007D5884" w:rsidP="00445A64">
                      <w:pPr>
                        <w:pStyle w:val="tevilka"/>
                        <w:rPr>
                          <w:sz w:val="80"/>
                          <w:szCs w:val="80"/>
                        </w:rPr>
                      </w:pPr>
                      <w:r>
                        <w:rPr>
                          <w:sz w:val="80"/>
                          <w:szCs w:val="80"/>
                        </w:rPr>
                        <w:t>10</w:t>
                      </w:r>
                    </w:p>
                  </w:txbxContent>
                </v:textbox>
                <w10:wrap type="tight"/>
              </v:shape>
            </w:pict>
          </mc:Fallback>
        </mc:AlternateContent>
      </w:r>
      <w:r w:rsidR="009060A3" w:rsidRPr="00A718FD">
        <w:rPr>
          <w:sz w:val="16"/>
          <w:szCs w:val="16"/>
        </w:rPr>
        <mc:AlternateContent>
          <mc:Choice Requires="wps">
            <w:drawing>
              <wp:anchor distT="0" distB="0" distL="114300" distR="114300" simplePos="0" relativeHeight="251658240" behindDoc="0" locked="0" layoutInCell="1" allowOverlap="1" wp14:anchorId="4A5FC2D6" wp14:editId="132A024F">
                <wp:simplePos x="0" y="0"/>
                <wp:positionH relativeFrom="page">
                  <wp:posOffset>5615940</wp:posOffset>
                </wp:positionH>
                <wp:positionV relativeFrom="page">
                  <wp:posOffset>1112520</wp:posOffset>
                </wp:positionV>
                <wp:extent cx="967740" cy="883920"/>
                <wp:effectExtent l="0" t="0" r="22860" b="1143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883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4C14C" id="Pravokotnik 18" o:spid="_x0000_s1026" alt="&quot;&quot;" style="position:absolute;margin-left:442.2pt;margin-top:87.6pt;width:76.2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" filled="f" strokecolor="black [3213]" strokeweight="1pt">
                <w10:wrap anchorx="page" anchory="page"/>
              </v:rect>
            </w:pict>
          </mc:Fallback>
        </mc:AlternateContent>
      </w:r>
      <w:r w:rsidR="008F5DCA" w:rsidRPr="00A718FD">
        <w:rPr>
          <w:sz w:val="16"/>
          <w:szCs w:val="16"/>
        </w:rPr>
        <w:t>Župan</w:t>
      </w:r>
      <w:r w:rsidR="00A7398A" w:rsidRPr="00A718FD">
        <w:rPr>
          <w:sz w:val="16"/>
          <w:szCs w:val="16"/>
        </w:rPr>
        <w:t xml:space="preserve"> </w:t>
      </w:r>
      <w:r w:rsidR="00722FAC" w:rsidRPr="00A718FD">
        <w:rPr>
          <w:sz w:val="16"/>
          <w:szCs w:val="16"/>
        </w:rPr>
        <w:br/>
      </w:r>
      <w:r w:rsidR="002B08B0" w:rsidRPr="00A718FD">
        <w:rPr>
          <w:b w:val="0"/>
          <w:bCs/>
          <w:sz w:val="16"/>
          <w:szCs w:val="16"/>
        </w:rPr>
        <w:t>Trg Edvarda Kardelja 1, 5000 Nova Gorica</w:t>
      </w:r>
    </w:p>
    <w:p w14:paraId="77EDCABD" w14:textId="77777777" w:rsidR="0066085E" w:rsidRPr="00C839C9" w:rsidRDefault="0066085E" w:rsidP="0067333B">
      <w:pPr>
        <w:pStyle w:val="Nazivenote"/>
        <w:spacing w:line="288" w:lineRule="auto"/>
        <w:rPr>
          <w:sz w:val="20"/>
          <w:szCs w:val="20"/>
        </w:rPr>
      </w:pPr>
    </w:p>
    <w:p w14:paraId="5B6C62D8" w14:textId="672F3108" w:rsidR="0066085E" w:rsidRPr="00C839C9" w:rsidRDefault="0066085E" w:rsidP="0067333B">
      <w:pPr>
        <w:pStyle w:val="stevilkadokumenta"/>
        <w:spacing w:line="288" w:lineRule="auto"/>
      </w:pPr>
      <w:r w:rsidRPr="00C839C9">
        <w:rPr>
          <w:rStyle w:val="ZvezaZnak"/>
          <w:bCs/>
          <w:sz w:val="20"/>
          <w:u w:val="none"/>
        </w:rPr>
        <w:t xml:space="preserve">Številka: </w:t>
      </w:r>
      <w:r w:rsidR="00E513FD" w:rsidRPr="00D01FF4">
        <w:rPr>
          <w:rStyle w:val="ZvezaZnak"/>
          <w:bCs/>
          <w:sz w:val="20"/>
          <w:u w:val="none"/>
        </w:rPr>
        <w:t>845</w:t>
      </w:r>
      <w:r w:rsidR="00117189" w:rsidRPr="00D01FF4">
        <w:rPr>
          <w:rStyle w:val="ZvezaZnak"/>
          <w:bCs/>
          <w:sz w:val="20"/>
          <w:u w:val="none"/>
        </w:rPr>
        <w:t>-</w:t>
      </w:r>
      <w:r w:rsidR="00046863" w:rsidRPr="00D01FF4">
        <w:rPr>
          <w:rStyle w:val="ZvezaZnak"/>
          <w:bCs/>
          <w:sz w:val="20"/>
          <w:u w:val="none"/>
        </w:rPr>
        <w:t>8/2025-27</w:t>
      </w:r>
      <w:r w:rsidR="00352A82" w:rsidRPr="0018522E">
        <w:rPr>
          <w:rStyle w:val="ZvezaZnak"/>
          <w:bCs/>
          <w:sz w:val="20"/>
          <w:u w:val="none"/>
        </w:rPr>
        <w:br/>
      </w:r>
      <w:r w:rsidRPr="0018522E">
        <w:t xml:space="preserve">Nova Gorica, </w:t>
      </w:r>
      <w:r w:rsidRPr="00D01FF4">
        <w:t xml:space="preserve">dne </w:t>
      </w:r>
      <w:r w:rsidR="00933216" w:rsidRPr="00D01FF4">
        <w:t>10</w:t>
      </w:r>
      <w:r w:rsidR="00807BC4" w:rsidRPr="00D01FF4">
        <w:t xml:space="preserve">. </w:t>
      </w:r>
      <w:r w:rsidR="00E513FD" w:rsidRPr="00D01FF4">
        <w:t xml:space="preserve">marca </w:t>
      </w:r>
      <w:r w:rsidR="00084F6E" w:rsidRPr="00D01FF4">
        <w:t>202</w:t>
      </w:r>
      <w:r w:rsidR="00E513FD" w:rsidRPr="00D01FF4">
        <w:t>6</w:t>
      </w:r>
    </w:p>
    <w:p w14:paraId="7731015D" w14:textId="77777777" w:rsidR="000807CE" w:rsidRPr="00C839C9" w:rsidRDefault="000807CE" w:rsidP="0067333B">
      <w:pPr>
        <w:pStyle w:val="stevilkadokumenta"/>
        <w:spacing w:line="288" w:lineRule="auto"/>
        <w:rPr>
          <w:rStyle w:val="ZvezaZnak"/>
          <w:bCs/>
          <w:sz w:val="20"/>
          <w:u w:val="none"/>
        </w:rPr>
      </w:pPr>
    </w:p>
    <w:p w14:paraId="2D9E2EAD" w14:textId="28716D67" w:rsidR="000807CE" w:rsidRPr="00C839C9" w:rsidRDefault="000807CE" w:rsidP="0067333B">
      <w:pPr>
        <w:pStyle w:val="gradivo"/>
        <w:spacing w:before="480" w:after="480" w:line="288" w:lineRule="auto"/>
        <w:rPr>
          <w:b/>
          <w:bCs w:val="0"/>
        </w:rPr>
      </w:pPr>
      <w:r w:rsidRPr="00C839C9">
        <w:rPr>
          <w:b/>
          <w:bCs w:val="0"/>
        </w:rPr>
        <w:t>MESTNI SVET MESTNE OBČINE NOVA GORICA</w:t>
      </w:r>
    </w:p>
    <w:p w14:paraId="42663E32" w14:textId="598C01A2" w:rsidR="008802E3" w:rsidRPr="00C839C9" w:rsidRDefault="0066085E" w:rsidP="0067333B">
      <w:pPr>
        <w:spacing w:line="288" w:lineRule="auto"/>
        <w:ind w:left="4395" w:hanging="3686"/>
      </w:pPr>
      <w:r w:rsidRPr="00C839C9">
        <w:rPr>
          <w:b/>
          <w:bCs w:val="0"/>
        </w:rPr>
        <w:t>ZADEVA</w:t>
      </w:r>
      <w:r w:rsidRPr="00C839C9">
        <w:t>:</w:t>
      </w:r>
      <w:r w:rsidRPr="00C839C9">
        <w:tab/>
        <w:t>PREDLOG ZA OBRAVNAVO NA SEJI MESTNEGA SVETA MESTNE OBČINE NOVA GORICA</w:t>
      </w:r>
    </w:p>
    <w:p w14:paraId="1D7223B1" w14:textId="27549098" w:rsidR="0066085E" w:rsidRPr="00C839C9" w:rsidRDefault="0066085E" w:rsidP="0067333B">
      <w:pPr>
        <w:pStyle w:val="Naslov1"/>
        <w:spacing w:before="240" w:after="240" w:line="288" w:lineRule="auto"/>
        <w:ind w:left="4395" w:hanging="3686"/>
        <w:rPr>
          <w:sz w:val="20"/>
          <w:szCs w:val="20"/>
        </w:rPr>
      </w:pPr>
      <w:r w:rsidRPr="00C839C9">
        <w:rPr>
          <w:sz w:val="20"/>
          <w:szCs w:val="20"/>
        </w:rPr>
        <w:t>NASLOV:</w:t>
      </w:r>
      <w:r w:rsidRPr="00C839C9">
        <w:rPr>
          <w:sz w:val="20"/>
          <w:szCs w:val="20"/>
        </w:rPr>
        <w:tab/>
      </w:r>
      <w:r w:rsidR="00763BF1" w:rsidRPr="003C75BA">
        <w:rPr>
          <w:sz w:val="20"/>
          <w:szCs w:val="20"/>
        </w:rPr>
        <w:t xml:space="preserve">Predlog </w:t>
      </w:r>
      <w:r w:rsidR="00AC06FB" w:rsidRPr="003C75BA">
        <w:rPr>
          <w:sz w:val="20"/>
          <w:szCs w:val="20"/>
        </w:rPr>
        <w:t xml:space="preserve">Sklepa o </w:t>
      </w:r>
      <w:r w:rsidR="0086095B" w:rsidRPr="003C75BA">
        <w:rPr>
          <w:sz w:val="20"/>
          <w:szCs w:val="20"/>
        </w:rPr>
        <w:t>soglasju za izplačilo dela plače za redno delovno uspešnost direktorja Javnega zavoda za gasilsko in reševalno dejavnost</w:t>
      </w:r>
      <w:r w:rsidR="003C75BA" w:rsidRPr="003C75BA">
        <w:rPr>
          <w:sz w:val="20"/>
          <w:szCs w:val="20"/>
        </w:rPr>
        <w:t xml:space="preserve"> – G</w:t>
      </w:r>
      <w:r w:rsidR="007D5884">
        <w:rPr>
          <w:sz w:val="20"/>
          <w:szCs w:val="20"/>
        </w:rPr>
        <w:t>asilska enota Nova Gorica</w:t>
      </w:r>
      <w:r w:rsidR="003C75BA" w:rsidRPr="003C75BA">
        <w:rPr>
          <w:sz w:val="20"/>
          <w:szCs w:val="20"/>
        </w:rPr>
        <w:t xml:space="preserve"> </w:t>
      </w:r>
      <w:r w:rsidR="003909AB">
        <w:rPr>
          <w:sz w:val="20"/>
          <w:szCs w:val="20"/>
        </w:rPr>
        <w:t>za leto 2025</w:t>
      </w:r>
    </w:p>
    <w:p w14:paraId="4EB48263" w14:textId="520D8D71" w:rsidR="0066085E" w:rsidRPr="00C839C9" w:rsidRDefault="0066085E" w:rsidP="0067333B">
      <w:pPr>
        <w:spacing w:line="288" w:lineRule="auto"/>
        <w:ind w:left="4395" w:hanging="3686"/>
      </w:pPr>
      <w:r w:rsidRPr="00C839C9">
        <w:rPr>
          <w:b/>
          <w:bCs w:val="0"/>
        </w:rPr>
        <w:t>GRADIVO PRIPRAVIL</w:t>
      </w:r>
      <w:r w:rsidRPr="00C839C9">
        <w:t>:</w:t>
      </w:r>
      <w:r w:rsidRPr="00C839C9">
        <w:tab/>
      </w:r>
      <w:r w:rsidR="004167B1">
        <w:t>Petra Sismond</w:t>
      </w:r>
      <w:r w:rsidR="00933216">
        <w:t>, višja svetovalka za družbene dejavnosti</w:t>
      </w:r>
    </w:p>
    <w:p w14:paraId="2589E91B" w14:textId="75C9D26A" w:rsidR="0066085E" w:rsidRPr="00C839C9" w:rsidRDefault="0066085E" w:rsidP="0067333B">
      <w:pPr>
        <w:spacing w:line="288" w:lineRule="auto"/>
        <w:ind w:left="4395" w:hanging="3686"/>
      </w:pPr>
      <w:r w:rsidRPr="00C839C9">
        <w:rPr>
          <w:b/>
          <w:bCs w:val="0"/>
        </w:rPr>
        <w:t>IZDELOVALEC GRADIVA:</w:t>
      </w:r>
      <w:r w:rsidR="00FB7287" w:rsidRPr="00C839C9">
        <w:tab/>
      </w:r>
      <w:r w:rsidR="00686F68" w:rsidRPr="00326097">
        <w:t>Mestna občina Nova Gorica</w:t>
      </w:r>
    </w:p>
    <w:p w14:paraId="11F58982" w14:textId="7B5B3E7C" w:rsidR="0066085E" w:rsidRPr="00C839C9" w:rsidRDefault="0066085E" w:rsidP="0067333B">
      <w:pPr>
        <w:spacing w:line="288" w:lineRule="auto"/>
        <w:ind w:left="4395" w:hanging="3686"/>
        <w:rPr>
          <w:b/>
          <w:bCs w:val="0"/>
        </w:rPr>
      </w:pPr>
      <w:r w:rsidRPr="00C839C9">
        <w:rPr>
          <w:b/>
          <w:bCs w:val="0"/>
        </w:rPr>
        <w:t>POROČEVALEC:</w:t>
      </w:r>
      <w:r w:rsidR="00FB7287" w:rsidRPr="00C839C9">
        <w:t xml:space="preserve"> </w:t>
      </w:r>
      <w:r w:rsidR="00FB7287" w:rsidRPr="00C839C9">
        <w:tab/>
      </w:r>
      <w:r w:rsidR="009A68CA">
        <w:t xml:space="preserve">mag. Marinka Saksida, </w:t>
      </w:r>
      <w:r w:rsidR="00D54FA4">
        <w:t>vodja Oddelka za družbene dejavnosti</w:t>
      </w:r>
    </w:p>
    <w:p w14:paraId="75A8D632" w14:textId="4941FC61" w:rsidR="0066085E" w:rsidRPr="00C839C9" w:rsidRDefault="0066085E" w:rsidP="0067333B">
      <w:pPr>
        <w:spacing w:line="288" w:lineRule="auto"/>
        <w:ind w:left="4395" w:hanging="3686"/>
      </w:pPr>
      <w:r w:rsidRPr="00C839C9">
        <w:rPr>
          <w:b/>
          <w:bCs w:val="0"/>
        </w:rPr>
        <w:t xml:space="preserve">PRISTOJNO DELOVNO </w:t>
      </w:r>
      <w:r w:rsidR="003924F9" w:rsidRPr="00C839C9">
        <w:rPr>
          <w:b/>
          <w:bCs w:val="0"/>
        </w:rPr>
        <w:t>TELO</w:t>
      </w:r>
      <w:r w:rsidRPr="00C839C9">
        <w:t xml:space="preserve">: </w:t>
      </w:r>
      <w:r w:rsidRPr="00C839C9">
        <w:tab/>
      </w:r>
      <w:r w:rsidR="001B5742">
        <w:t>Odbor za okolje in prostor</w:t>
      </w:r>
    </w:p>
    <w:p w14:paraId="4C9319DA" w14:textId="7B5A35DC" w:rsidR="0066085E" w:rsidRPr="00C839C9" w:rsidRDefault="0066085E" w:rsidP="0067333B">
      <w:pPr>
        <w:spacing w:line="288" w:lineRule="auto"/>
        <w:ind w:firstLine="708"/>
        <w:rPr>
          <w:b/>
          <w:bCs w:val="0"/>
        </w:rPr>
      </w:pPr>
      <w:r w:rsidRPr="00C839C9">
        <w:rPr>
          <w:b/>
          <w:bCs w:val="0"/>
        </w:rPr>
        <w:t xml:space="preserve">PREDLOG SKLEPA: </w:t>
      </w:r>
    </w:p>
    <w:p w14:paraId="267E24A6" w14:textId="4653BC4F" w:rsidR="00FB7287" w:rsidRPr="00C839C9" w:rsidRDefault="00FB7287" w:rsidP="0067333B">
      <w:pPr>
        <w:spacing w:line="288" w:lineRule="auto"/>
        <w:ind w:left="708"/>
      </w:pPr>
      <w:r w:rsidRPr="00C839C9">
        <w:t>Mestni svet Mestne občine Nova Gorica sprejme</w:t>
      </w:r>
      <w:r w:rsidR="00A02A24">
        <w:t xml:space="preserve"> </w:t>
      </w:r>
      <w:r w:rsidR="00326097">
        <w:t>Sklep o soglasju za izplačilo dela plače za redno delovno uspešnost direktorja Javnega zavoda za gasilsko in repševalno dejavnost – G</w:t>
      </w:r>
      <w:r w:rsidR="007D5884">
        <w:t>asilska enota Nova Gorica</w:t>
      </w:r>
      <w:r w:rsidR="00933216" w:rsidRPr="0018522E">
        <w:t xml:space="preserve"> za leto 2025.</w:t>
      </w:r>
      <w:bookmarkStart w:id="0" w:name="_Hlk195615944"/>
    </w:p>
    <w:p w14:paraId="4AD67041" w14:textId="78349459" w:rsidR="00FB7287" w:rsidRPr="00C839C9" w:rsidRDefault="00FB7287" w:rsidP="0067333B">
      <w:pPr>
        <w:spacing w:line="288" w:lineRule="auto"/>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839C9" w14:paraId="0FF38549" w14:textId="77777777" w:rsidTr="00FB7287">
        <w:tc>
          <w:tcPr>
            <w:tcW w:w="3549" w:type="dxa"/>
          </w:tcPr>
          <w:p w14:paraId="1D1D813B" w14:textId="77777777" w:rsidR="00FB7287" w:rsidRPr="00C839C9" w:rsidRDefault="00FB7287" w:rsidP="0067333B">
            <w:pPr>
              <w:pStyle w:val="Podpisoseba"/>
              <w:spacing w:before="0" w:after="0" w:line="288" w:lineRule="auto"/>
              <w:rPr>
                <w:b/>
                <w:color w:val="FFFFFF" w:themeColor="background1"/>
              </w:rPr>
            </w:pPr>
            <w:r w:rsidRPr="00C839C9">
              <w:rPr>
                <w:b/>
                <w:color w:val="FFFFFF" w:themeColor="background1"/>
              </w:rPr>
              <w:t>Desnik podpisnik</w:t>
            </w:r>
          </w:p>
        </w:tc>
      </w:tr>
      <w:tr w:rsidR="00FB7287" w:rsidRPr="00C839C9" w14:paraId="6D021AA2" w14:textId="77777777" w:rsidTr="00FB7287">
        <w:tc>
          <w:tcPr>
            <w:tcW w:w="3549" w:type="dxa"/>
          </w:tcPr>
          <w:p w14:paraId="7F514CF4" w14:textId="77777777" w:rsidR="00FB7287" w:rsidRPr="00C839C9" w:rsidRDefault="00FB7287" w:rsidP="0067333B">
            <w:pPr>
              <w:pStyle w:val="Podpisoseba"/>
              <w:spacing w:before="0" w:after="0" w:line="288" w:lineRule="auto"/>
              <w:rPr>
                <w:bCs w:val="0"/>
              </w:rPr>
            </w:pPr>
            <w:r w:rsidRPr="00C839C9">
              <w:rPr>
                <w:b/>
              </w:rPr>
              <w:t>Samo Turel</w:t>
            </w:r>
          </w:p>
        </w:tc>
      </w:tr>
      <w:tr w:rsidR="00FB7287" w:rsidRPr="00C839C9" w14:paraId="1EDB9A6B" w14:textId="77777777" w:rsidTr="00FB7287">
        <w:trPr>
          <w:trHeight w:val="530"/>
        </w:trPr>
        <w:tc>
          <w:tcPr>
            <w:tcW w:w="3549" w:type="dxa"/>
          </w:tcPr>
          <w:p w14:paraId="07F6B71D" w14:textId="5A44E495" w:rsidR="00FB7287" w:rsidRPr="00C839C9" w:rsidRDefault="00501C9C" w:rsidP="0067333B">
            <w:pPr>
              <w:pStyle w:val="Podpisoseba"/>
              <w:spacing w:before="0" w:after="0" w:line="288" w:lineRule="auto"/>
              <w:rPr>
                <w:bCs w:val="0"/>
              </w:rPr>
            </w:pPr>
            <w:r>
              <w:t>Ž</w:t>
            </w:r>
            <w:r w:rsidR="00FB7287" w:rsidRPr="00C839C9">
              <w:t>upan</w:t>
            </w:r>
          </w:p>
        </w:tc>
      </w:tr>
      <w:bookmarkEnd w:id="0"/>
    </w:tbl>
    <w:p w14:paraId="44177559" w14:textId="77777777" w:rsidR="00FB7287" w:rsidRDefault="00FB7287" w:rsidP="0067333B">
      <w:pPr>
        <w:spacing w:line="288" w:lineRule="auto"/>
        <w:rPr>
          <w:rStyle w:val="ZvezaZnak"/>
          <w:bCs/>
          <w:sz w:val="20"/>
          <w:u w:val="none"/>
        </w:rPr>
      </w:pPr>
    </w:p>
    <w:p w14:paraId="0B7D260C" w14:textId="77777777" w:rsidR="0067333B" w:rsidRPr="00C839C9" w:rsidRDefault="0067333B" w:rsidP="0067333B">
      <w:pPr>
        <w:spacing w:line="288" w:lineRule="auto"/>
        <w:rPr>
          <w:rStyle w:val="ZvezaZnak"/>
          <w:bCs/>
          <w:sz w:val="20"/>
          <w:u w:val="none"/>
        </w:rPr>
      </w:pPr>
    </w:p>
    <w:p w14:paraId="1C6841A1" w14:textId="0A7158D1" w:rsidR="0005678C" w:rsidRPr="00C839C9" w:rsidRDefault="0066085E" w:rsidP="0067333B">
      <w:pPr>
        <w:pStyle w:val="gradivo"/>
        <w:spacing w:line="288" w:lineRule="auto"/>
      </w:pPr>
      <w:r w:rsidRPr="00C839C9">
        <w:t>Gradivo</w:t>
      </w:r>
      <w:r w:rsidR="00F12361" w:rsidRPr="00C839C9">
        <w:t>:</w:t>
      </w:r>
    </w:p>
    <w:p w14:paraId="4EEFBC05" w14:textId="0DE2C3EB" w:rsidR="00B45A7F" w:rsidRDefault="0066085E" w:rsidP="001A3C46">
      <w:pPr>
        <w:pStyle w:val="gradivo"/>
        <w:numPr>
          <w:ilvl w:val="0"/>
          <w:numId w:val="10"/>
        </w:numPr>
        <w:spacing w:line="288" w:lineRule="auto"/>
      </w:pPr>
      <w:r w:rsidRPr="00C839C9">
        <w:t>Gradivo</w:t>
      </w:r>
      <w:r w:rsidR="00B45A7F">
        <w:t xml:space="preserve"> 1</w:t>
      </w:r>
      <w:r w:rsidR="003A35BE">
        <w:t>:</w:t>
      </w:r>
      <w:r w:rsidR="00F12361" w:rsidRPr="00C839C9">
        <w:t xml:space="preserve"> </w:t>
      </w:r>
      <w:r w:rsidRPr="00C839C9">
        <w:t>predlog sklepa</w:t>
      </w:r>
      <w:r w:rsidR="003A35BE">
        <w:t xml:space="preserve"> z</w:t>
      </w:r>
      <w:r w:rsidR="001A3C46">
        <w:t xml:space="preserve"> o</w:t>
      </w:r>
      <w:r w:rsidR="003A35BE">
        <w:t>brazložitvijo</w:t>
      </w:r>
    </w:p>
    <w:p w14:paraId="48543779" w14:textId="6484A853" w:rsidR="003A35BE" w:rsidRPr="00C839C9" w:rsidRDefault="00B45A7F" w:rsidP="001A3C46">
      <w:pPr>
        <w:pStyle w:val="gradivo"/>
        <w:numPr>
          <w:ilvl w:val="0"/>
          <w:numId w:val="10"/>
        </w:numPr>
        <w:spacing w:line="288" w:lineRule="auto"/>
      </w:pPr>
      <w:r>
        <w:t xml:space="preserve">Gradivo 2: </w:t>
      </w:r>
      <w:r w:rsidR="006C65A7">
        <w:t xml:space="preserve">kopija Vloge </w:t>
      </w:r>
      <w:r w:rsidR="005F1D0C">
        <w:t>za izdajo s</w:t>
      </w:r>
      <w:r w:rsidR="006C65A7">
        <w:t>oglasja k določitvi</w:t>
      </w:r>
      <w:r w:rsidR="005F1D0C">
        <w:t xml:space="preserve"> redne delovne uspešnosti direktorju Gasilske enote Nova Gorica za leto 2025</w:t>
      </w:r>
    </w:p>
    <w:p w14:paraId="29F8F0D4" w14:textId="77777777" w:rsidR="001C491B" w:rsidRPr="00C839C9" w:rsidRDefault="001C491B" w:rsidP="0067333B">
      <w:pPr>
        <w:spacing w:line="288" w:lineRule="auto"/>
        <w:sectPr w:rsidR="001C491B" w:rsidRPr="00C839C9"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731A4D" w:rsidRDefault="000E5815" w:rsidP="0067333B">
      <w:pPr>
        <w:pStyle w:val="Nazivenote"/>
        <w:spacing w:line="288" w:lineRule="auto"/>
        <w:rPr>
          <w:b w:val="0"/>
          <w:bCs/>
          <w:sz w:val="16"/>
          <w:szCs w:val="16"/>
        </w:rPr>
      </w:pPr>
      <w:r w:rsidRPr="00731A4D">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731A4D">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3F302"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1A4D">
        <w:rPr>
          <w:sz w:val="16"/>
          <w:szCs w:val="16"/>
        </w:rPr>
        <w:t xml:space="preserve">Mestni </w:t>
      </w:r>
      <w:r w:rsidR="005C6EAA" w:rsidRPr="00731A4D">
        <w:rPr>
          <w:sz w:val="16"/>
          <w:szCs w:val="16"/>
        </w:rPr>
        <w:t>s</w:t>
      </w:r>
      <w:r w:rsidR="00731380" w:rsidRPr="00731A4D">
        <w:rPr>
          <w:sz w:val="16"/>
          <w:szCs w:val="16"/>
        </w:rPr>
        <w:t>vet</w:t>
      </w:r>
      <w:r w:rsidR="00731380" w:rsidRPr="00731A4D">
        <w:rPr>
          <w:sz w:val="16"/>
          <w:szCs w:val="16"/>
        </w:rPr>
        <w:br/>
      </w:r>
      <w:r w:rsidR="00731380"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58D8DDBC" w14:textId="77777777" w:rsidR="000E5815" w:rsidRPr="00C839C9" w:rsidRDefault="000E5815" w:rsidP="0067333B">
      <w:pPr>
        <w:spacing w:line="288" w:lineRule="auto"/>
      </w:pPr>
    </w:p>
    <w:p w14:paraId="04C6751B" w14:textId="77777777" w:rsidR="00A334D8" w:rsidRDefault="00A334D8" w:rsidP="00894E70">
      <w:pPr>
        <w:spacing w:after="0" w:line="288" w:lineRule="auto"/>
        <w:ind w:left="708"/>
        <w:rPr>
          <w:rFonts w:eastAsia="Arial"/>
        </w:rPr>
      </w:pPr>
    </w:p>
    <w:p w14:paraId="29743C17" w14:textId="15C013DB" w:rsidR="00894E70" w:rsidRPr="00894E70" w:rsidRDefault="00894E70" w:rsidP="00894E70">
      <w:pPr>
        <w:spacing w:after="0" w:line="288" w:lineRule="auto"/>
        <w:ind w:left="708"/>
        <w:rPr>
          <w:rFonts w:eastAsia="Arial"/>
        </w:rPr>
      </w:pPr>
      <w:r w:rsidRPr="00894E70">
        <w:rPr>
          <w:rFonts w:eastAsia="Arial"/>
        </w:rPr>
        <w:t xml:space="preserve">Na podlagi 119. člena </w:t>
      </w:r>
      <w:bookmarkStart w:id="1" w:name="_Hlk172033984"/>
      <w:r w:rsidRPr="00894E70">
        <w:rPr>
          <w:rFonts w:eastAsia="Arial"/>
        </w:rPr>
        <w:t>Zakona o skupnih temeljih sistema plač v javnem sektorju (Uradni list RS, št. 95/24)</w:t>
      </w:r>
      <w:bookmarkEnd w:id="1"/>
      <w:r w:rsidRPr="00894E70">
        <w:rPr>
          <w:rFonts w:eastAsia="Arial"/>
        </w:rPr>
        <w:t xml:space="preserve">, </w:t>
      </w:r>
      <w:bookmarkStart w:id="2" w:name="_Hlk222735298"/>
      <w:r w:rsidR="008E0A5C">
        <w:rPr>
          <w:rFonts w:eastAsia="Arial"/>
        </w:rPr>
        <w:t>6</w:t>
      </w:r>
      <w:r w:rsidRPr="00894E70">
        <w:rPr>
          <w:rFonts w:eastAsia="Arial"/>
        </w:rPr>
        <w:t xml:space="preserve">. člena </w:t>
      </w:r>
      <w:r w:rsidR="008E0A5C" w:rsidRPr="008E0A5C">
        <w:rPr>
          <w:rFonts w:eastAsia="Arial"/>
        </w:rPr>
        <w:t>Uredb</w:t>
      </w:r>
      <w:r w:rsidR="008E0A5C">
        <w:rPr>
          <w:rFonts w:eastAsia="Arial"/>
        </w:rPr>
        <w:t>e</w:t>
      </w:r>
      <w:r w:rsidR="008E0A5C" w:rsidRPr="008E0A5C">
        <w:rPr>
          <w:rFonts w:eastAsia="Arial"/>
        </w:rPr>
        <w:t xml:space="preserve"> o plačah javnih uslužbencev plačne skupine B (Uradni list RS, št. 99/24, 109/24, 26/25, 29/25)</w:t>
      </w:r>
      <w:bookmarkEnd w:id="2"/>
      <w:r w:rsidRPr="00894E70">
        <w:rPr>
          <w:rFonts w:eastAsia="Arial"/>
        </w:rPr>
        <w:t xml:space="preserve"> in 19. člena Statuta Mestne občine Nova Gorica (Uradni list RS, št. 13/12, 18/17 in 18/19) je Mestni svet Mestne občine Nova Gorica na seji dne_______________ sprejel</w:t>
      </w:r>
    </w:p>
    <w:p w14:paraId="408548C4" w14:textId="77777777" w:rsidR="00326097" w:rsidRDefault="00326097" w:rsidP="0067333B">
      <w:pPr>
        <w:spacing w:after="0" w:line="288" w:lineRule="auto"/>
        <w:ind w:left="708"/>
        <w:rPr>
          <w:rFonts w:eastAsia="Arial"/>
        </w:rPr>
      </w:pPr>
    </w:p>
    <w:p w14:paraId="6E5400D5" w14:textId="77777777" w:rsidR="0046762E" w:rsidRDefault="0046762E" w:rsidP="0067333B">
      <w:pPr>
        <w:spacing w:after="0" w:line="288" w:lineRule="auto"/>
        <w:rPr>
          <w:rFonts w:eastAsia="Arial"/>
        </w:rPr>
      </w:pPr>
    </w:p>
    <w:p w14:paraId="7A43F0AE" w14:textId="77777777" w:rsidR="00A334D8" w:rsidRPr="00C839C9" w:rsidRDefault="00A334D8" w:rsidP="0067333B">
      <w:pPr>
        <w:spacing w:after="0" w:line="288" w:lineRule="auto"/>
        <w:rPr>
          <w:rFonts w:eastAsia="Arial"/>
        </w:rPr>
      </w:pPr>
    </w:p>
    <w:p w14:paraId="2886C783" w14:textId="77777777" w:rsidR="00617764" w:rsidRPr="00617764" w:rsidRDefault="00617764" w:rsidP="00617764">
      <w:pPr>
        <w:spacing w:after="0" w:line="288" w:lineRule="auto"/>
        <w:jc w:val="center"/>
        <w:rPr>
          <w:rFonts w:eastAsia="Arial"/>
          <w:b/>
        </w:rPr>
      </w:pPr>
      <w:r w:rsidRPr="00617764">
        <w:rPr>
          <w:rFonts w:eastAsia="Arial"/>
          <w:b/>
        </w:rPr>
        <w:t>S K L E P</w:t>
      </w:r>
    </w:p>
    <w:p w14:paraId="65FE6440" w14:textId="77777777" w:rsidR="00617764" w:rsidRDefault="00617764" w:rsidP="00617764">
      <w:pPr>
        <w:spacing w:after="0" w:line="288" w:lineRule="auto"/>
        <w:jc w:val="center"/>
        <w:rPr>
          <w:rFonts w:eastAsia="Arial"/>
          <w:b/>
        </w:rPr>
      </w:pPr>
      <w:r w:rsidRPr="00617764">
        <w:rPr>
          <w:rFonts w:eastAsia="Arial"/>
          <w:b/>
        </w:rPr>
        <w:t xml:space="preserve">o soglasju za izplačilo dela plače za redno delovno uspešnost </w:t>
      </w:r>
    </w:p>
    <w:p w14:paraId="3281DDDA" w14:textId="77777777" w:rsidR="00FC3620" w:rsidRDefault="00617764" w:rsidP="00617764">
      <w:pPr>
        <w:spacing w:after="0" w:line="288" w:lineRule="auto"/>
        <w:jc w:val="center"/>
        <w:rPr>
          <w:rFonts w:eastAsia="Arial"/>
          <w:b/>
        </w:rPr>
      </w:pPr>
      <w:r w:rsidRPr="00617764">
        <w:rPr>
          <w:rFonts w:eastAsia="Arial"/>
          <w:b/>
        </w:rPr>
        <w:t>direktorja Javnega zavoda za gasilsko in reševalno dejavnost-</w:t>
      </w:r>
    </w:p>
    <w:p w14:paraId="71B4AA01" w14:textId="13EFA588" w:rsidR="00617764" w:rsidRPr="00617764" w:rsidRDefault="00617764" w:rsidP="00FC3620">
      <w:pPr>
        <w:spacing w:after="0" w:line="288" w:lineRule="auto"/>
        <w:jc w:val="center"/>
        <w:rPr>
          <w:rFonts w:eastAsia="Arial"/>
          <w:b/>
        </w:rPr>
      </w:pPr>
      <w:r w:rsidRPr="00617764">
        <w:rPr>
          <w:rFonts w:eastAsia="Arial"/>
          <w:b/>
        </w:rPr>
        <w:t>GASILSKA ENOTA NOVA GORICA za leto 20</w:t>
      </w:r>
      <w:r>
        <w:rPr>
          <w:rFonts w:eastAsia="Arial"/>
          <w:b/>
        </w:rPr>
        <w:t>25</w:t>
      </w:r>
    </w:p>
    <w:p w14:paraId="23E3CD0B" w14:textId="77777777" w:rsidR="00617764" w:rsidRDefault="00617764" w:rsidP="0067333B">
      <w:pPr>
        <w:spacing w:after="0" w:line="288" w:lineRule="auto"/>
        <w:jc w:val="center"/>
        <w:rPr>
          <w:rFonts w:eastAsia="Arial"/>
          <w:b/>
        </w:rPr>
      </w:pPr>
    </w:p>
    <w:p w14:paraId="7A1E687B" w14:textId="77777777" w:rsidR="00A334D8" w:rsidRDefault="00A334D8" w:rsidP="0067333B">
      <w:pPr>
        <w:spacing w:after="0" w:line="288" w:lineRule="auto"/>
        <w:jc w:val="center"/>
        <w:rPr>
          <w:rFonts w:eastAsia="Arial"/>
          <w:b/>
        </w:rPr>
      </w:pPr>
    </w:p>
    <w:p w14:paraId="69DBBD1A" w14:textId="3A047954" w:rsidR="00C839C9" w:rsidRPr="000A4074" w:rsidRDefault="00C839C9" w:rsidP="0067333B">
      <w:pPr>
        <w:spacing w:after="0" w:line="288" w:lineRule="auto"/>
        <w:jc w:val="center"/>
        <w:rPr>
          <w:rFonts w:eastAsia="Arial"/>
          <w:bCs w:val="0"/>
        </w:rPr>
      </w:pPr>
      <w:r w:rsidRPr="000A4074">
        <w:rPr>
          <w:rFonts w:eastAsia="Arial"/>
          <w:bCs w:val="0"/>
        </w:rPr>
        <w:t xml:space="preserve">1. </w:t>
      </w:r>
    </w:p>
    <w:p w14:paraId="2DF26B95" w14:textId="77777777" w:rsidR="00C839C9" w:rsidRPr="00C839C9" w:rsidRDefault="00C839C9" w:rsidP="0067333B">
      <w:pPr>
        <w:spacing w:after="0" w:line="288" w:lineRule="auto"/>
        <w:rPr>
          <w:rFonts w:eastAsia="Arial"/>
          <w:b/>
        </w:rPr>
      </w:pPr>
    </w:p>
    <w:p w14:paraId="08D63F3C" w14:textId="1C822177" w:rsidR="000E002C" w:rsidRPr="000E002C" w:rsidRDefault="000E002C" w:rsidP="000E002C">
      <w:pPr>
        <w:spacing w:after="0" w:line="288" w:lineRule="auto"/>
        <w:ind w:left="708"/>
        <w:rPr>
          <w:rFonts w:eastAsia="Arial"/>
        </w:rPr>
      </w:pPr>
      <w:r w:rsidRPr="000E002C">
        <w:rPr>
          <w:rFonts w:eastAsia="Arial"/>
        </w:rPr>
        <w:t xml:space="preserve">Mestni svet Mestne občine Nova Gorica daje soglasje </w:t>
      </w:r>
      <w:bookmarkStart w:id="3" w:name="_Hlk164947810"/>
      <w:r w:rsidRPr="000E002C">
        <w:rPr>
          <w:rFonts w:eastAsia="Arial"/>
        </w:rPr>
        <w:t xml:space="preserve">za izplačilo dela plače za redno delovno uspešnost direktorja Javnega zavoda za gasilsko in reševalno dejavnost – GASILSKE ENOTA NOVA GORICA za leto </w:t>
      </w:r>
      <w:r w:rsidR="00FE6192" w:rsidRPr="00621F93">
        <w:rPr>
          <w:rFonts w:eastAsia="Arial"/>
        </w:rPr>
        <w:t>2025</w:t>
      </w:r>
      <w:r w:rsidRPr="000E002C">
        <w:rPr>
          <w:rFonts w:eastAsia="Arial"/>
        </w:rPr>
        <w:t xml:space="preserve"> v višini </w:t>
      </w:r>
      <w:r w:rsidRPr="000F5AFF">
        <w:rPr>
          <w:rFonts w:eastAsia="Arial"/>
        </w:rPr>
        <w:t xml:space="preserve">100% vrednosti </w:t>
      </w:r>
      <w:r w:rsidRPr="000E002C">
        <w:rPr>
          <w:rFonts w:eastAsia="Arial"/>
        </w:rPr>
        <w:t xml:space="preserve">meril za ugotavljanje dela plače za delovno uspešnost, ki jo je na podlagi meril za ugotavljanje delovne uspešnosti določil Svet zavoda Javnega zavoda za gasilsko in reševalno dejavnost – </w:t>
      </w:r>
      <w:r w:rsidR="001B6377" w:rsidRPr="000E002C">
        <w:rPr>
          <w:rFonts w:eastAsia="Arial"/>
        </w:rPr>
        <w:t>GASILSK</w:t>
      </w:r>
      <w:r w:rsidR="001B6377">
        <w:rPr>
          <w:rFonts w:eastAsia="Arial"/>
        </w:rPr>
        <w:t>A</w:t>
      </w:r>
      <w:r w:rsidR="001B6377" w:rsidRPr="000E002C">
        <w:rPr>
          <w:rFonts w:eastAsia="Arial"/>
        </w:rPr>
        <w:t xml:space="preserve"> </w:t>
      </w:r>
      <w:r w:rsidRPr="000E002C">
        <w:rPr>
          <w:rFonts w:eastAsia="Arial"/>
        </w:rPr>
        <w:t>ENOTA NOVA GORICA, v skladu s Pravilnikom o merilih za ugotavljanje delovne uspešnosti direktorjev na področju gasilsko reševalne dejavnosti (Uradni list RS, št. 28/06 in 95/24 – ZSTSPJS</w:t>
      </w:r>
      <w:r w:rsidR="004F589D">
        <w:rPr>
          <w:rFonts w:eastAsia="Arial"/>
        </w:rPr>
        <w:t xml:space="preserve"> in 6/26</w:t>
      </w:r>
      <w:r w:rsidRPr="000E002C">
        <w:rPr>
          <w:rFonts w:eastAsia="Arial"/>
        </w:rPr>
        <w:t>)</w:t>
      </w:r>
    </w:p>
    <w:bookmarkEnd w:id="3"/>
    <w:p w14:paraId="626F3ECB" w14:textId="77777777" w:rsidR="000A0BCF" w:rsidRDefault="000A0BCF" w:rsidP="0067333B">
      <w:pPr>
        <w:spacing w:after="0" w:line="288" w:lineRule="auto"/>
        <w:jc w:val="center"/>
        <w:rPr>
          <w:rFonts w:eastAsia="Arial"/>
          <w:b/>
        </w:rPr>
      </w:pPr>
    </w:p>
    <w:p w14:paraId="0967F8BD" w14:textId="77777777" w:rsidR="00A334D8" w:rsidRDefault="00A334D8" w:rsidP="0067333B">
      <w:pPr>
        <w:spacing w:after="0" w:line="288" w:lineRule="auto"/>
        <w:jc w:val="center"/>
        <w:rPr>
          <w:rFonts w:eastAsia="Arial"/>
          <w:b/>
        </w:rPr>
      </w:pPr>
    </w:p>
    <w:p w14:paraId="3DAE53ED" w14:textId="72708A1C" w:rsidR="00C839C9" w:rsidRPr="000A4074" w:rsidRDefault="00C839C9" w:rsidP="0067333B">
      <w:pPr>
        <w:spacing w:after="0" w:line="288" w:lineRule="auto"/>
        <w:jc w:val="center"/>
        <w:rPr>
          <w:rFonts w:eastAsia="Arial"/>
          <w:bCs w:val="0"/>
        </w:rPr>
      </w:pPr>
      <w:r w:rsidRPr="000A4074">
        <w:rPr>
          <w:rFonts w:eastAsia="Arial"/>
          <w:bCs w:val="0"/>
        </w:rPr>
        <w:t xml:space="preserve">2. </w:t>
      </w:r>
    </w:p>
    <w:p w14:paraId="63D68ADB" w14:textId="77777777" w:rsidR="00C839C9" w:rsidRPr="00C839C9" w:rsidRDefault="00C839C9" w:rsidP="0067333B">
      <w:pPr>
        <w:spacing w:after="0" w:line="288" w:lineRule="auto"/>
        <w:rPr>
          <w:rFonts w:eastAsia="Arial"/>
          <w:b/>
        </w:rPr>
      </w:pPr>
    </w:p>
    <w:p w14:paraId="499BAEF6" w14:textId="47FB9CEE" w:rsidR="000E002C" w:rsidRDefault="00D620C1" w:rsidP="0067333B">
      <w:pPr>
        <w:spacing w:after="0" w:line="288" w:lineRule="auto"/>
        <w:ind w:left="708"/>
        <w:rPr>
          <w:rFonts w:eastAsia="Arial"/>
        </w:rPr>
      </w:pPr>
      <w:r w:rsidRPr="00D620C1">
        <w:rPr>
          <w:rFonts w:eastAsia="Arial"/>
        </w:rPr>
        <w:t xml:space="preserve">Za plačilo redne delovne uspešnosti se nameni </w:t>
      </w:r>
      <w:r w:rsidRPr="000F5AFF">
        <w:rPr>
          <w:rFonts w:eastAsia="Arial"/>
        </w:rPr>
        <w:t>5%</w:t>
      </w:r>
      <w:r w:rsidRPr="008A764C">
        <w:rPr>
          <w:rFonts w:eastAsia="Arial"/>
        </w:rPr>
        <w:t xml:space="preserve"> </w:t>
      </w:r>
      <w:r w:rsidRPr="00D620C1">
        <w:rPr>
          <w:rFonts w:eastAsia="Arial"/>
        </w:rPr>
        <w:t>letnih sredstev za osnovno plačo direktorja</w:t>
      </w:r>
    </w:p>
    <w:p w14:paraId="4CC322D0" w14:textId="77777777" w:rsidR="00C839C9" w:rsidRDefault="00C839C9" w:rsidP="0067333B">
      <w:pPr>
        <w:spacing w:after="0" w:line="288" w:lineRule="auto"/>
        <w:rPr>
          <w:rFonts w:eastAsia="Arial"/>
        </w:rPr>
      </w:pPr>
    </w:p>
    <w:p w14:paraId="3ED5DC86" w14:textId="77777777" w:rsidR="00A334D8" w:rsidRDefault="00A334D8" w:rsidP="0067333B">
      <w:pPr>
        <w:spacing w:after="0" w:line="288" w:lineRule="auto"/>
        <w:rPr>
          <w:rFonts w:eastAsia="Arial"/>
        </w:rPr>
      </w:pPr>
    </w:p>
    <w:p w14:paraId="751B7102" w14:textId="2BBE82E5" w:rsidR="00C839C9" w:rsidRPr="000A4074" w:rsidRDefault="00C839C9" w:rsidP="0067333B">
      <w:pPr>
        <w:spacing w:after="0" w:line="288" w:lineRule="auto"/>
        <w:jc w:val="center"/>
        <w:rPr>
          <w:rFonts w:eastAsia="Arial"/>
          <w:bCs w:val="0"/>
        </w:rPr>
      </w:pPr>
      <w:r w:rsidRPr="000A4074">
        <w:rPr>
          <w:rFonts w:eastAsia="Arial"/>
          <w:bCs w:val="0"/>
        </w:rPr>
        <w:t>3.</w:t>
      </w:r>
    </w:p>
    <w:p w14:paraId="38CB45B3" w14:textId="77777777" w:rsidR="00C839C9" w:rsidRPr="00C839C9" w:rsidRDefault="00C839C9" w:rsidP="0067333B">
      <w:pPr>
        <w:spacing w:after="0" w:line="288" w:lineRule="auto"/>
        <w:rPr>
          <w:rFonts w:eastAsia="Arial"/>
          <w:b/>
        </w:rPr>
      </w:pPr>
    </w:p>
    <w:p w14:paraId="2E0F9A7F" w14:textId="2713E092" w:rsidR="000A0BCF" w:rsidRPr="000A0BCF" w:rsidRDefault="000A0BCF" w:rsidP="000A0BCF">
      <w:pPr>
        <w:spacing w:after="0" w:line="288" w:lineRule="auto"/>
        <w:ind w:left="708"/>
        <w:rPr>
          <w:rFonts w:eastAsia="Arial"/>
        </w:rPr>
      </w:pPr>
      <w:r w:rsidRPr="000A0BCF">
        <w:rPr>
          <w:rFonts w:eastAsia="Arial"/>
        </w:rPr>
        <w:t xml:space="preserve">Direktorju se del plače za redno delovno uspešnost za leto </w:t>
      </w:r>
      <w:r w:rsidR="001A3C46">
        <w:rPr>
          <w:rFonts w:eastAsia="Arial"/>
        </w:rPr>
        <w:t>2025</w:t>
      </w:r>
      <w:r w:rsidRPr="000A0BCF">
        <w:rPr>
          <w:rFonts w:eastAsia="Arial"/>
        </w:rPr>
        <w:t xml:space="preserve"> v višini </w:t>
      </w:r>
      <w:r w:rsidR="008A764C" w:rsidRPr="000F5AFF">
        <w:rPr>
          <w:rFonts w:eastAsia="Arial"/>
        </w:rPr>
        <w:t>2.036,85</w:t>
      </w:r>
      <w:r w:rsidRPr="000F5AFF">
        <w:rPr>
          <w:rFonts w:eastAsia="Arial"/>
        </w:rPr>
        <w:t xml:space="preserve"> </w:t>
      </w:r>
      <w:r w:rsidRPr="000A0BCF">
        <w:rPr>
          <w:rFonts w:eastAsia="Arial"/>
        </w:rPr>
        <w:t xml:space="preserve">EUR bruto izplača v letu </w:t>
      </w:r>
      <w:r w:rsidR="001A3C46">
        <w:rPr>
          <w:rFonts w:eastAsia="Arial"/>
        </w:rPr>
        <w:t>2026</w:t>
      </w:r>
      <w:r w:rsidRPr="000A0BCF">
        <w:rPr>
          <w:rFonts w:eastAsia="Arial"/>
        </w:rPr>
        <w:t xml:space="preserve">. </w:t>
      </w:r>
    </w:p>
    <w:p w14:paraId="2636D5F8" w14:textId="77777777" w:rsidR="0046762E" w:rsidRDefault="0046762E" w:rsidP="0067333B">
      <w:pPr>
        <w:spacing w:after="0" w:line="288" w:lineRule="auto"/>
        <w:ind w:firstLine="708"/>
        <w:rPr>
          <w:rFonts w:eastAsia="Arial"/>
        </w:rPr>
      </w:pPr>
    </w:p>
    <w:p w14:paraId="33EC9294" w14:textId="77777777" w:rsidR="00A334D8" w:rsidRDefault="00A334D8" w:rsidP="0067333B">
      <w:pPr>
        <w:spacing w:after="0" w:line="288" w:lineRule="auto"/>
        <w:ind w:firstLine="708"/>
        <w:rPr>
          <w:rFonts w:eastAsia="Arial"/>
        </w:rPr>
      </w:pPr>
    </w:p>
    <w:p w14:paraId="54F779D7" w14:textId="77777777" w:rsidR="00076AD1" w:rsidRDefault="00076AD1" w:rsidP="0067333B">
      <w:pPr>
        <w:spacing w:after="0" w:line="288" w:lineRule="auto"/>
        <w:ind w:firstLine="708"/>
        <w:rPr>
          <w:rFonts w:eastAsia="Arial"/>
        </w:rPr>
      </w:pPr>
    </w:p>
    <w:p w14:paraId="5EA4CD78" w14:textId="77777777" w:rsidR="00076AD1" w:rsidRDefault="00076AD1" w:rsidP="0067333B">
      <w:pPr>
        <w:spacing w:after="0" w:line="288" w:lineRule="auto"/>
        <w:ind w:firstLine="708"/>
        <w:rPr>
          <w:rFonts w:eastAsia="Arial"/>
        </w:rPr>
      </w:pPr>
    </w:p>
    <w:p w14:paraId="6C3E45B0" w14:textId="05AF3083" w:rsidR="00C839C9" w:rsidRPr="000A4074" w:rsidRDefault="00C839C9" w:rsidP="0067333B">
      <w:pPr>
        <w:spacing w:after="0" w:line="288" w:lineRule="auto"/>
        <w:jc w:val="center"/>
        <w:rPr>
          <w:rFonts w:eastAsia="Arial"/>
          <w:bCs w:val="0"/>
        </w:rPr>
      </w:pPr>
      <w:r w:rsidRPr="000A4074">
        <w:rPr>
          <w:rFonts w:eastAsia="Arial"/>
          <w:bCs w:val="0"/>
        </w:rPr>
        <w:lastRenderedPageBreak/>
        <w:t xml:space="preserve">4. </w:t>
      </w:r>
    </w:p>
    <w:p w14:paraId="2C04539F" w14:textId="77777777" w:rsidR="00C839C9" w:rsidRPr="00C839C9" w:rsidRDefault="00C839C9" w:rsidP="0067333B">
      <w:pPr>
        <w:spacing w:after="0" w:line="288" w:lineRule="auto"/>
        <w:rPr>
          <w:rFonts w:eastAsia="Arial"/>
          <w:b/>
        </w:rPr>
      </w:pPr>
    </w:p>
    <w:p w14:paraId="01DD2683" w14:textId="77777777" w:rsidR="00C03EC2" w:rsidRPr="00C03EC2" w:rsidRDefault="00C03EC2" w:rsidP="00C03EC2">
      <w:pPr>
        <w:spacing w:after="0" w:line="288" w:lineRule="auto"/>
        <w:ind w:left="708"/>
        <w:rPr>
          <w:rFonts w:eastAsia="Arial"/>
        </w:rPr>
      </w:pPr>
      <w:r w:rsidRPr="00C03EC2">
        <w:rPr>
          <w:rFonts w:eastAsia="Arial"/>
        </w:rPr>
        <w:t>Ta sklep velja takoj.</w:t>
      </w:r>
    </w:p>
    <w:p w14:paraId="1C1B2744" w14:textId="77777777" w:rsidR="00C03EC2" w:rsidRPr="00C03EC2" w:rsidRDefault="00C03EC2" w:rsidP="00C03EC2">
      <w:pPr>
        <w:spacing w:after="0" w:line="288" w:lineRule="auto"/>
        <w:ind w:left="708"/>
        <w:rPr>
          <w:rFonts w:eastAsia="Arial"/>
        </w:rPr>
      </w:pPr>
    </w:p>
    <w:p w14:paraId="6179D70D" w14:textId="77777777" w:rsidR="00146B4F" w:rsidRDefault="00146B4F" w:rsidP="0067333B">
      <w:pPr>
        <w:spacing w:after="0" w:line="288" w:lineRule="auto"/>
        <w:ind w:left="708"/>
        <w:rPr>
          <w:rFonts w:eastAsia="Arial"/>
        </w:rPr>
      </w:pPr>
    </w:p>
    <w:p w14:paraId="7A3C00FF" w14:textId="77777777" w:rsidR="00076AD1" w:rsidRDefault="00076AD1" w:rsidP="0067333B">
      <w:pPr>
        <w:spacing w:after="0" w:line="288" w:lineRule="auto"/>
        <w:ind w:left="708"/>
        <w:rPr>
          <w:rFonts w:eastAsia="Arial"/>
        </w:rPr>
      </w:pPr>
    </w:p>
    <w:p w14:paraId="4549E1F2" w14:textId="1851FA21" w:rsidR="00714788" w:rsidRPr="00C839C9" w:rsidRDefault="00352A82" w:rsidP="00076AD1">
      <w:pPr>
        <w:pStyle w:val="stevilkadokumenta"/>
        <w:spacing w:line="288" w:lineRule="auto"/>
      </w:pPr>
      <w:r w:rsidRPr="00C839C9">
        <w:rPr>
          <w:rStyle w:val="ZvezaZnak"/>
          <w:sz w:val="20"/>
          <w:u w:val="none"/>
        </w:rPr>
        <w:t xml:space="preserve">Številka: </w:t>
      </w:r>
      <w:r w:rsidR="000A4074">
        <w:rPr>
          <w:rStyle w:val="ZvezaZnak"/>
          <w:sz w:val="20"/>
          <w:u w:val="none"/>
        </w:rPr>
        <w:t>845-</w:t>
      </w:r>
      <w:r w:rsidR="00FD1CE5">
        <w:rPr>
          <w:rStyle w:val="ZvezaZnak"/>
          <w:sz w:val="20"/>
          <w:u w:val="none"/>
        </w:rPr>
        <w:t>8</w:t>
      </w:r>
      <w:r w:rsidR="00D54665">
        <w:rPr>
          <w:rStyle w:val="ZvezaZnak"/>
          <w:sz w:val="20"/>
          <w:u w:val="none"/>
        </w:rPr>
        <w:t>/2025-</w:t>
      </w:r>
      <w:r w:rsidRPr="00C839C9">
        <w:rPr>
          <w:rStyle w:val="ZvezaZnak"/>
          <w:sz w:val="20"/>
          <w:u w:val="none"/>
        </w:rPr>
        <w:br/>
      </w:r>
      <w:r w:rsidRPr="00C839C9">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C839C9" w14:paraId="3CD79ED9" w14:textId="77777777" w:rsidTr="009060A3">
        <w:tc>
          <w:tcPr>
            <w:tcW w:w="3549" w:type="dxa"/>
          </w:tcPr>
          <w:p w14:paraId="3281E915" w14:textId="77777777" w:rsidR="009060A3" w:rsidRPr="00C839C9" w:rsidRDefault="009060A3" w:rsidP="0067333B">
            <w:pPr>
              <w:pStyle w:val="Podpisoseba"/>
              <w:spacing w:before="0" w:after="0" w:line="288" w:lineRule="auto"/>
              <w:rPr>
                <w:b/>
                <w:color w:val="FFFFFF" w:themeColor="background1"/>
              </w:rPr>
            </w:pPr>
            <w:r w:rsidRPr="00C839C9">
              <w:rPr>
                <w:b/>
                <w:color w:val="FFFFFF" w:themeColor="background1"/>
              </w:rPr>
              <w:t>Desnik podpisnik</w:t>
            </w:r>
          </w:p>
        </w:tc>
      </w:tr>
      <w:tr w:rsidR="009060A3" w:rsidRPr="00C839C9" w14:paraId="0E78414C" w14:textId="77777777" w:rsidTr="009060A3">
        <w:tc>
          <w:tcPr>
            <w:tcW w:w="3549" w:type="dxa"/>
          </w:tcPr>
          <w:p w14:paraId="36F5CAF7" w14:textId="77777777" w:rsidR="009060A3" w:rsidRPr="00C839C9" w:rsidRDefault="009060A3" w:rsidP="0067333B">
            <w:pPr>
              <w:pStyle w:val="Podpisoseba"/>
              <w:spacing w:before="0" w:after="0" w:line="288" w:lineRule="auto"/>
              <w:rPr>
                <w:bCs w:val="0"/>
              </w:rPr>
            </w:pPr>
            <w:r w:rsidRPr="00C839C9">
              <w:rPr>
                <w:b/>
              </w:rPr>
              <w:t>Samo Turel</w:t>
            </w:r>
          </w:p>
        </w:tc>
      </w:tr>
      <w:tr w:rsidR="009060A3" w:rsidRPr="00C839C9" w14:paraId="296EC3FE" w14:textId="77777777" w:rsidTr="009060A3">
        <w:trPr>
          <w:trHeight w:val="530"/>
        </w:trPr>
        <w:tc>
          <w:tcPr>
            <w:tcW w:w="3549" w:type="dxa"/>
          </w:tcPr>
          <w:p w14:paraId="366DB2BD" w14:textId="02104981" w:rsidR="009060A3" w:rsidRPr="00C839C9" w:rsidRDefault="003A35BE" w:rsidP="0067333B">
            <w:pPr>
              <w:pStyle w:val="Podpisoseba"/>
              <w:spacing w:before="0" w:after="0" w:line="288" w:lineRule="auto"/>
              <w:rPr>
                <w:bCs w:val="0"/>
              </w:rPr>
            </w:pPr>
            <w:r>
              <w:t>Ž</w:t>
            </w:r>
            <w:r w:rsidR="009060A3" w:rsidRPr="00C839C9">
              <w:t>upan</w:t>
            </w:r>
          </w:p>
        </w:tc>
      </w:tr>
    </w:tbl>
    <w:p w14:paraId="1600E036" w14:textId="3AA6434C" w:rsidR="00714788" w:rsidRPr="00C839C9" w:rsidRDefault="00714788" w:rsidP="0067333B">
      <w:pPr>
        <w:spacing w:line="288" w:lineRule="auto"/>
      </w:pPr>
    </w:p>
    <w:p w14:paraId="021587B6" w14:textId="77777777" w:rsidR="00714788" w:rsidRPr="00C839C9" w:rsidRDefault="00714788" w:rsidP="0067333B">
      <w:pPr>
        <w:spacing w:line="288" w:lineRule="auto"/>
      </w:pPr>
    </w:p>
    <w:p w14:paraId="49C83A4E" w14:textId="77777777" w:rsidR="00731380" w:rsidRPr="00C839C9" w:rsidRDefault="00731380" w:rsidP="0067333B">
      <w:pPr>
        <w:spacing w:line="288" w:lineRule="auto"/>
      </w:pPr>
    </w:p>
    <w:p w14:paraId="06BE4516" w14:textId="77777777" w:rsidR="00731380" w:rsidRPr="00C839C9" w:rsidRDefault="00731380" w:rsidP="0067333B">
      <w:pPr>
        <w:spacing w:line="288" w:lineRule="auto"/>
        <w:sectPr w:rsidR="00731380" w:rsidRPr="00C839C9" w:rsidSect="00F26014">
          <w:pgSz w:w="11906" w:h="16838"/>
          <w:pgMar w:top="1418" w:right="1418" w:bottom="1418" w:left="1418" w:header="1304" w:footer="454" w:gutter="0"/>
          <w:cols w:space="708"/>
          <w:titlePg/>
          <w:docGrid w:linePitch="360"/>
        </w:sectPr>
      </w:pPr>
    </w:p>
    <w:p w14:paraId="5E21157B" w14:textId="3115CEF3" w:rsidR="00731380" w:rsidRPr="00D85EE0" w:rsidRDefault="00C50EB4" w:rsidP="0067333B">
      <w:pPr>
        <w:pStyle w:val="Nazivenote"/>
        <w:spacing w:line="288" w:lineRule="auto"/>
        <w:rPr>
          <w:b w:val="0"/>
          <w:bCs/>
          <w:sz w:val="16"/>
          <w:szCs w:val="16"/>
        </w:rPr>
      </w:pPr>
      <w:r w:rsidRPr="00D85EE0">
        <w:rPr>
          <w:sz w:val="16"/>
          <w:szCs w:val="16"/>
        </w:rPr>
        <w:lastRenderedPageBreak/>
        <w:t>Oddelek za družbene dejavnosti</w:t>
      </w:r>
      <w:r w:rsidR="00731380" w:rsidRPr="00D85EE0">
        <w:rPr>
          <w:sz w:val="16"/>
          <w:szCs w:val="16"/>
        </w:rPr>
        <w:br/>
      </w:r>
      <w:r w:rsidR="00731380" w:rsidRPr="00D85EE0">
        <w:rPr>
          <w:b w:val="0"/>
          <w:bCs/>
          <w:sz w:val="16"/>
          <w:szCs w:val="16"/>
        </w:rPr>
        <w:t>Trg Edvarda Kardelja 1, 5000 Nova Gorica</w:t>
      </w:r>
    </w:p>
    <w:p w14:paraId="31D67305" w14:textId="3415EB4E" w:rsidR="00731380" w:rsidRDefault="00435075" w:rsidP="0067333B">
      <w:pPr>
        <w:pStyle w:val="Naslov1"/>
        <w:spacing w:line="288" w:lineRule="auto"/>
        <w:rPr>
          <w:szCs w:val="22"/>
        </w:rPr>
      </w:pPr>
      <w:r w:rsidRPr="00D85EE0">
        <w:rPr>
          <w:szCs w:val="22"/>
        </w:rPr>
        <w:t>Obrazložitev</w:t>
      </w:r>
    </w:p>
    <w:p w14:paraId="148FE8F4" w14:textId="431917B2" w:rsidR="00AE7B58" w:rsidRPr="00881993" w:rsidRDefault="00AE7B58" w:rsidP="006A6CEF">
      <w:pPr>
        <w:pStyle w:val="Brezrazmikov"/>
        <w:ind w:left="705"/>
        <w:rPr>
          <w:rFonts w:ascii="Verdana" w:hAnsi="Verdana"/>
          <w:sz w:val="20"/>
          <w:szCs w:val="20"/>
          <w:shd w:val="clear" w:color="auto" w:fill="FFFFFF"/>
        </w:rPr>
      </w:pPr>
      <w:r w:rsidRPr="00FB31B4">
        <w:rPr>
          <w:rFonts w:ascii="Verdana" w:hAnsi="Verdana"/>
          <w:sz w:val="20"/>
          <w:szCs w:val="20"/>
        </w:rPr>
        <w:t>Pravni temelj za sprejem Sklepa o soglasju za izplačilo dela plače za redno delovno</w:t>
      </w:r>
      <w:r w:rsidRPr="006A6CEF">
        <w:rPr>
          <w:rFonts w:ascii="Verdana" w:hAnsi="Verdana"/>
          <w:sz w:val="20"/>
          <w:szCs w:val="20"/>
        </w:rPr>
        <w:t xml:space="preserve"> uspešnost direktorja Javnega zavoda za gasilsko in reševalno dejavnost – GASIL</w:t>
      </w:r>
      <w:r w:rsidR="00B4635C" w:rsidRPr="00FB31B4">
        <w:rPr>
          <w:rFonts w:ascii="Verdana" w:hAnsi="Verdana"/>
          <w:sz w:val="20"/>
          <w:szCs w:val="20"/>
        </w:rPr>
        <w:t>S</w:t>
      </w:r>
      <w:r w:rsidRPr="00FB31B4">
        <w:rPr>
          <w:rFonts w:ascii="Verdana" w:hAnsi="Verdana"/>
          <w:sz w:val="20"/>
          <w:szCs w:val="20"/>
        </w:rPr>
        <w:t xml:space="preserve">KA ENOTA NOVA GORICA (v nadaljevanju: javni zavod) za leto </w:t>
      </w:r>
      <w:r w:rsidR="00DA007E" w:rsidRPr="00FB31B4">
        <w:rPr>
          <w:rFonts w:ascii="Verdana" w:hAnsi="Verdana"/>
          <w:sz w:val="20"/>
          <w:szCs w:val="20"/>
        </w:rPr>
        <w:t>2025</w:t>
      </w:r>
      <w:r w:rsidRPr="00FB31B4">
        <w:rPr>
          <w:rFonts w:ascii="Verdana" w:hAnsi="Verdana"/>
          <w:sz w:val="20"/>
          <w:szCs w:val="20"/>
        </w:rPr>
        <w:t xml:space="preserve"> je </w:t>
      </w:r>
      <w:r w:rsidRPr="00FB31B4">
        <w:rPr>
          <w:rFonts w:ascii="Verdana" w:hAnsi="Verdana"/>
          <w:sz w:val="20"/>
          <w:szCs w:val="20"/>
          <w:lang w:eastAsia="en-US"/>
        </w:rPr>
        <w:t xml:space="preserve">119. člena Zakona o skupnih temeljih sistema plač v javnem sektorju (Uradni list RS, št. 95/24; v nadaljevanju: ZSTSPJS) in </w:t>
      </w:r>
      <w:r w:rsidR="00B4635C" w:rsidRPr="00881993">
        <w:rPr>
          <w:rFonts w:ascii="Verdana" w:eastAsia="Arial" w:hAnsi="Verdana"/>
          <w:sz w:val="20"/>
          <w:szCs w:val="20"/>
        </w:rPr>
        <w:t>6. člena Uredbe o plačah javnih uslužbencev plačne skupine B (Uradni list RS, št. 99/24, 109/24, 26/25, 29/25)</w:t>
      </w:r>
    </w:p>
    <w:p w14:paraId="6FE88811" w14:textId="77777777" w:rsidR="00AE7B58" w:rsidRPr="00FB31B4" w:rsidRDefault="00AE7B58" w:rsidP="006A6CEF">
      <w:pPr>
        <w:spacing w:after="0" w:line="240" w:lineRule="auto"/>
        <w:ind w:left="705"/>
        <w:rPr>
          <w:bCs w:val="0"/>
          <w:noProof w:val="0"/>
        </w:rPr>
      </w:pPr>
      <w:r w:rsidRPr="00FB31B4">
        <w:rPr>
          <w:bCs w:val="0"/>
          <w:noProof w:val="0"/>
        </w:rP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6B8F38E" w14:textId="77777777" w:rsidR="00AE7B58" w:rsidRPr="00FB31B4" w:rsidRDefault="00AE7B58" w:rsidP="00AD370A">
      <w:pPr>
        <w:spacing w:after="0" w:line="240" w:lineRule="auto"/>
        <w:rPr>
          <w:b/>
          <w:noProof w:val="0"/>
        </w:rPr>
      </w:pPr>
    </w:p>
    <w:p w14:paraId="40646055" w14:textId="77777777" w:rsidR="00AE7B58" w:rsidRPr="00FB31B4" w:rsidRDefault="00AE7B58" w:rsidP="00881993">
      <w:pPr>
        <w:spacing w:after="0" w:line="240" w:lineRule="auto"/>
        <w:ind w:left="705"/>
        <w:rPr>
          <w:bCs w:val="0"/>
          <w:noProof w:val="0"/>
        </w:rPr>
      </w:pPr>
      <w:r w:rsidRPr="00FB31B4">
        <w:rPr>
          <w:bCs w:val="0"/>
          <w:noProof w:val="0"/>
        </w:rPr>
        <w:t>Direktorjem v javnih zavodih se del plače za redno delovno uspešnost v okvirih, ki jih določa Zakon o sistemu plač v javnem sektorju (Uradni list RS, št. </w:t>
      </w:r>
      <w:hyperlink r:id="rId17" w:tgtFrame="_blank" w:tooltip="Zakon o sistemu plač v javnem sektorju (uradno prečiščeno besedilo) (ZSPJS-UPB13)" w:history="1">
        <w:r w:rsidRPr="00FB31B4">
          <w:rPr>
            <w:bCs w:val="0"/>
            <w:noProof w:val="0"/>
          </w:rPr>
          <w:t>108/09</w:t>
        </w:r>
      </w:hyperlink>
      <w:r w:rsidRPr="00FB31B4">
        <w:rPr>
          <w:bCs w:val="0"/>
          <w:noProof w:val="0"/>
        </w:rPr>
        <w:t xml:space="preserve">  – uradno prečiščeno besedilo, </w:t>
      </w:r>
      <w:hyperlink r:id="rId18" w:tgtFrame="_blank" w:tooltip="Zakon o spremembah Zakona o sistemu plač v javnem sektorju (ZSPJS-M)" w:history="1">
        <w:r w:rsidRPr="00FB31B4">
          <w:rPr>
            <w:bCs w:val="0"/>
            <w:noProof w:val="0"/>
          </w:rPr>
          <w:t>13/10</w:t>
        </w:r>
      </w:hyperlink>
      <w:r w:rsidRPr="00FB31B4">
        <w:rPr>
          <w:bCs w:val="0"/>
          <w:noProof w:val="0"/>
        </w:rPr>
        <w:t>, </w:t>
      </w:r>
      <w:hyperlink r:id="rId19" w:tgtFrame="_blank" w:tooltip="Zakon o spremembah in dopolnitvah Zakona o sistemu plač v javnem sektorju (ZSPJS-N)" w:history="1">
        <w:r w:rsidRPr="00FB31B4">
          <w:rPr>
            <w:bCs w:val="0"/>
            <w:noProof w:val="0"/>
          </w:rPr>
          <w:t>59/10</w:t>
        </w:r>
      </w:hyperlink>
      <w:r w:rsidRPr="00FB31B4">
        <w:rPr>
          <w:bCs w:val="0"/>
          <w:noProof w:val="0"/>
        </w:rPr>
        <w:t>, </w:t>
      </w:r>
      <w:hyperlink r:id="rId20" w:tgtFrame="_blank" w:tooltip="Zakon o spremembi Zakona o sistemu plač v javnem sektorju (ZSPJS-O)" w:history="1">
        <w:r w:rsidRPr="00FB31B4">
          <w:rPr>
            <w:bCs w:val="0"/>
            <w:noProof w:val="0"/>
          </w:rPr>
          <w:t>85/10</w:t>
        </w:r>
      </w:hyperlink>
      <w:r w:rsidRPr="00FB31B4">
        <w:rPr>
          <w:bCs w:val="0"/>
          <w:noProof w:val="0"/>
        </w:rPr>
        <w:t>, </w:t>
      </w:r>
      <w:hyperlink r:id="rId21" w:tgtFrame="_blank" w:tooltip="Zakon o spremembi Zakona o sistemu plač v javnem sektorju (ZSPJS-P)" w:history="1">
        <w:r w:rsidRPr="00FB31B4">
          <w:rPr>
            <w:bCs w:val="0"/>
            <w:noProof w:val="0"/>
          </w:rPr>
          <w:t>107/10</w:t>
        </w:r>
      </w:hyperlink>
      <w:r w:rsidRPr="00FB31B4">
        <w:rPr>
          <w:bCs w:val="0"/>
          <w:noProof w:val="0"/>
        </w:rPr>
        <w:t>, </w:t>
      </w:r>
      <w:hyperlink r:id="rId22" w:tgtFrame="_blank" w:tooltip="Avtentična razlaga 49.a člena Zakona o sistemu plač v javnem sektorju (ORZSPJS49a)" w:history="1">
        <w:r w:rsidRPr="00FB31B4">
          <w:rPr>
            <w:bCs w:val="0"/>
            <w:noProof w:val="0"/>
          </w:rPr>
          <w:t>35/11</w:t>
        </w:r>
      </w:hyperlink>
      <w:r w:rsidRPr="00FB31B4">
        <w:rPr>
          <w:bCs w:val="0"/>
          <w:noProof w:val="0"/>
        </w:rPr>
        <w:t>  – ORZSPJS49a, </w:t>
      </w:r>
      <w:hyperlink r:id="rId2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FB31B4">
          <w:rPr>
            <w:bCs w:val="0"/>
            <w:noProof w:val="0"/>
          </w:rPr>
          <w:t>27/12</w:t>
        </w:r>
      </w:hyperlink>
      <w:r w:rsidRPr="00FB31B4">
        <w:rPr>
          <w:bCs w:val="0"/>
          <w:noProof w:val="0"/>
        </w:rPr>
        <w:t xml:space="preserve">  – </w:t>
      </w:r>
      <w:proofErr w:type="spellStart"/>
      <w:r w:rsidRPr="00FB31B4">
        <w:rPr>
          <w:bCs w:val="0"/>
          <w:noProof w:val="0"/>
        </w:rPr>
        <w:t>odl</w:t>
      </w:r>
      <w:proofErr w:type="spellEnd"/>
      <w:r w:rsidRPr="00FB31B4">
        <w:rPr>
          <w:bCs w:val="0"/>
          <w:noProof w:val="0"/>
        </w:rPr>
        <w:t>. US, </w:t>
      </w:r>
      <w:hyperlink r:id="rId24" w:tgtFrame="_blank" w:tooltip="Zakon za uravnoteženje javnih financ (ZUJF)" w:history="1">
        <w:r w:rsidRPr="00FB31B4">
          <w:rPr>
            <w:bCs w:val="0"/>
            <w:noProof w:val="0"/>
          </w:rPr>
          <w:t>40/12</w:t>
        </w:r>
      </w:hyperlink>
      <w:r w:rsidRPr="00FB31B4">
        <w:rPr>
          <w:bCs w:val="0"/>
          <w:noProof w:val="0"/>
        </w:rPr>
        <w:t xml:space="preserve">  – ZUJF, </w:t>
      </w:r>
      <w:hyperlink r:id="rId25" w:tgtFrame="_blank" w:tooltip="Zakon o spremembi in dopolnitvah Zakona o sistemu plač v javnem sektorju (ZSPJS-R)" w:history="1">
        <w:r w:rsidRPr="00FB31B4">
          <w:rPr>
            <w:bCs w:val="0"/>
            <w:noProof w:val="0"/>
          </w:rPr>
          <w:t>46/13</w:t>
        </w:r>
      </w:hyperlink>
      <w:r w:rsidRPr="00FB31B4">
        <w:rPr>
          <w:bCs w:val="0"/>
          <w:noProof w:val="0"/>
        </w:rPr>
        <w:t>, </w:t>
      </w:r>
      <w:hyperlink r:id="rId26" w:tgtFrame="_blank" w:tooltip="Zakon o finančni upravi (ZFU)" w:history="1">
        <w:r w:rsidRPr="00FB31B4">
          <w:rPr>
            <w:bCs w:val="0"/>
            <w:noProof w:val="0"/>
          </w:rPr>
          <w:t>25/14</w:t>
        </w:r>
      </w:hyperlink>
      <w:r w:rsidRPr="00FB31B4">
        <w:rPr>
          <w:bCs w:val="0"/>
          <w:noProof w:val="0"/>
        </w:rPr>
        <w:t>  – ZFU, </w:t>
      </w:r>
      <w:hyperlink r:id="rId27" w:tgtFrame="_blank" w:tooltip="Zakon o spremembah Zakona o sistemu plač v javnem sektorju (ZSPJS-S)" w:history="1">
        <w:r w:rsidRPr="00FB31B4">
          <w:rPr>
            <w:bCs w:val="0"/>
            <w:noProof w:val="0"/>
          </w:rPr>
          <w:t>50/14</w:t>
        </w:r>
      </w:hyperlink>
      <w:r w:rsidRPr="00FB31B4">
        <w:rPr>
          <w:bCs w:val="0"/>
          <w:noProof w:val="0"/>
        </w:rPr>
        <w:t>, </w:t>
      </w:r>
      <w:hyperlink r:id="rId28" w:tgtFrame="_blank" w:tooltip="Zakon o ukrepih na področju plač in drugih stroškov dela v javnem sektorju za leto 2015 (ZUPPJS15)" w:history="1">
        <w:r w:rsidRPr="00FB31B4">
          <w:rPr>
            <w:bCs w:val="0"/>
            <w:noProof w:val="0"/>
          </w:rPr>
          <w:t>95/14</w:t>
        </w:r>
      </w:hyperlink>
      <w:r w:rsidRPr="00FB31B4">
        <w:rPr>
          <w:bCs w:val="0"/>
          <w:noProof w:val="0"/>
        </w:rPr>
        <w:t xml:space="preserve">  – ZUPPJS15, </w:t>
      </w:r>
      <w:hyperlink r:id="rId29" w:tgtFrame="_blank" w:tooltip="Zakon o dopolnitvi Zakona o sistemu plač v javnem sektorju (ZSPJS-T)" w:history="1">
        <w:r w:rsidRPr="00FB31B4">
          <w:rPr>
            <w:bCs w:val="0"/>
            <w:noProof w:val="0"/>
          </w:rPr>
          <w:t>82/15</w:t>
        </w:r>
      </w:hyperlink>
      <w:r w:rsidRPr="00FB31B4">
        <w:rPr>
          <w:bCs w:val="0"/>
          <w:noProof w:val="0"/>
        </w:rPr>
        <w:t>, </w:t>
      </w:r>
      <w:hyperlink r:id="rId30" w:tgtFrame="_blank" w:tooltip="Zakon o državnem odvetništvu (ZDOdv)" w:history="1">
        <w:r w:rsidRPr="00FB31B4">
          <w:rPr>
            <w:bCs w:val="0"/>
            <w:noProof w:val="0"/>
          </w:rPr>
          <w:t>23/17</w:t>
        </w:r>
      </w:hyperlink>
      <w:r w:rsidRPr="00FB31B4">
        <w:rPr>
          <w:bCs w:val="0"/>
          <w:noProof w:val="0"/>
        </w:rPr>
        <w:t xml:space="preserve"> – </w:t>
      </w:r>
      <w:proofErr w:type="spellStart"/>
      <w:r w:rsidRPr="00FB31B4">
        <w:rPr>
          <w:bCs w:val="0"/>
          <w:noProof w:val="0"/>
        </w:rPr>
        <w:t>ZDOdv</w:t>
      </w:r>
      <w:proofErr w:type="spellEnd"/>
      <w:r w:rsidRPr="00FB31B4">
        <w:rPr>
          <w:bCs w:val="0"/>
          <w:noProof w:val="0"/>
        </w:rPr>
        <w:t>, </w:t>
      </w:r>
      <w:hyperlink r:id="rId31" w:tgtFrame="_blank" w:tooltip="Zakon o spremembah Zakona o sistemu plač v javnem sektorju (ZSPJS-U)" w:history="1">
        <w:r w:rsidRPr="00FB31B4">
          <w:rPr>
            <w:bCs w:val="0"/>
            <w:noProof w:val="0"/>
          </w:rPr>
          <w:t>67/17</w:t>
        </w:r>
      </w:hyperlink>
      <w:r w:rsidRPr="00FB31B4">
        <w:rPr>
          <w:bCs w:val="0"/>
          <w:noProof w:val="0"/>
        </w:rPr>
        <w:t>, </w:t>
      </w:r>
      <w:hyperlink r:id="rId32" w:tgtFrame="_blank" w:tooltip="Zakon o spremembi in dopolnitvah Zakona o sistemu plač v javnem sektorju (ZSPJS-V)" w:history="1">
        <w:r w:rsidRPr="00FB31B4">
          <w:rPr>
            <w:bCs w:val="0"/>
            <w:noProof w:val="0"/>
          </w:rPr>
          <w:t>84/18</w:t>
        </w:r>
      </w:hyperlink>
      <w:r w:rsidRPr="00FB31B4">
        <w:rPr>
          <w:bCs w:val="0"/>
          <w:noProof w:val="0"/>
        </w:rPr>
        <w:t>, </w:t>
      </w:r>
      <w:hyperlink r:id="rId33" w:tgtFrame="_blank" w:tooltip="Zakon o spremembi Zakona o sistemu plač v javnem sektorju (ZSPJS-Z)" w:history="1">
        <w:r w:rsidRPr="00FB31B4">
          <w:rPr>
            <w:bCs w:val="0"/>
            <w:noProof w:val="0"/>
          </w:rPr>
          <w:t>204/21</w:t>
        </w:r>
      </w:hyperlink>
      <w:r w:rsidRPr="00FB31B4">
        <w:rPr>
          <w:bCs w:val="0"/>
          <w:noProof w:val="0"/>
        </w:rPr>
        <w:t>, </w:t>
      </w:r>
      <w:hyperlink r:id="rId34" w:tgtFrame="_blank" w:tooltip="Zakon o spremembah in dopolnitvah Zakona o sistemu plač v javnem sektorju (ZSPJS-AA)" w:history="1">
        <w:r w:rsidRPr="00FB31B4">
          <w:rPr>
            <w:bCs w:val="0"/>
            <w:noProof w:val="0"/>
          </w:rPr>
          <w:t>139/22</w:t>
        </w:r>
      </w:hyperlink>
      <w:r w:rsidRPr="00FB31B4">
        <w:rPr>
          <w:bCs w:val="0"/>
          <w:noProof w:val="0"/>
        </w:rPr>
        <w:t>, </w:t>
      </w:r>
      <w:hyperlink r:id="rId35" w:tgtFrame="_blank" w:tooltip="Zakon o spremembi Zakona o sistemu plač v javnem sektorju (ZSPJS-AB)" w:history="1">
        <w:r w:rsidRPr="00FB31B4">
          <w:rPr>
            <w:bCs w:val="0"/>
            <w:noProof w:val="0"/>
          </w:rPr>
          <w:t>38/24</w:t>
        </w:r>
      </w:hyperlink>
      <w:r w:rsidRPr="00FB31B4">
        <w:rPr>
          <w:bCs w:val="0"/>
          <w:noProof w:val="0"/>
        </w:rPr>
        <w:t>, </w:t>
      </w:r>
      <w:hyperlink r:id="rId36" w:tgtFrame="_blank" w:tooltip="Dopolnilna odločba o določitvi načina izvršitve odločbe Ustavnega sodišča št.U-I-772/21" w:history="1">
        <w:r w:rsidRPr="00FB31B4">
          <w:rPr>
            <w:bCs w:val="0"/>
            <w:noProof w:val="0"/>
          </w:rPr>
          <w:t>48/24</w:t>
        </w:r>
      </w:hyperlink>
      <w:r w:rsidRPr="00FB31B4">
        <w:rPr>
          <w:bCs w:val="0"/>
          <w:noProof w:val="0"/>
        </w:rPr>
        <w:t xml:space="preserve"> – </w:t>
      </w:r>
      <w:proofErr w:type="spellStart"/>
      <w:r w:rsidRPr="00FB31B4">
        <w:rPr>
          <w:bCs w:val="0"/>
          <w:noProof w:val="0"/>
        </w:rPr>
        <w:t>odl</w:t>
      </w:r>
      <w:proofErr w:type="spellEnd"/>
      <w:r w:rsidRPr="00FB31B4">
        <w:rPr>
          <w:bCs w:val="0"/>
          <w:noProof w:val="0"/>
        </w:rPr>
        <w:t>. US in </w:t>
      </w:r>
      <w:hyperlink r:id="rId37" w:tgtFrame="_blank" w:tooltip="Zakon o skupnih temeljih sistema plač v javnem sektorju (ZSTSPJS)" w:history="1">
        <w:r w:rsidRPr="00FB31B4">
          <w:rPr>
            <w:bCs w:val="0"/>
            <w:noProof w:val="0"/>
          </w:rPr>
          <w:t>95/24</w:t>
        </w:r>
      </w:hyperlink>
      <w:r w:rsidRPr="00FB31B4">
        <w:rPr>
          <w:bCs w:val="0"/>
          <w:noProof w:val="0"/>
        </w:rPr>
        <w:t>  – ZSTSPJS; v nadaljevanju: ZSPJS), izplačuje enkrat letno na podlagi poslovnega poročila, in sicer za redno delovno uspešnost v preteklem letu.</w:t>
      </w:r>
    </w:p>
    <w:p w14:paraId="65D07D3C" w14:textId="77777777" w:rsidR="00AE7B58" w:rsidRPr="00AE7B58" w:rsidRDefault="00AE7B58" w:rsidP="00D01FF4">
      <w:pPr>
        <w:spacing w:after="0" w:line="240" w:lineRule="auto"/>
        <w:rPr>
          <w:bCs w:val="0"/>
          <w:noProof w:val="0"/>
        </w:rPr>
      </w:pPr>
    </w:p>
    <w:p w14:paraId="4A20AD94" w14:textId="71771313" w:rsidR="00101D92" w:rsidRDefault="00101D92" w:rsidP="00B51CF5">
      <w:pPr>
        <w:spacing w:line="240" w:lineRule="auto"/>
        <w:ind w:left="705"/>
        <w:rPr>
          <w:bCs w:val="0"/>
          <w:noProof w:val="0"/>
        </w:rPr>
      </w:pPr>
      <w:r w:rsidRPr="00101D92">
        <w:rPr>
          <w:noProof w:val="0"/>
        </w:rPr>
        <w:t xml:space="preserve">V obdobju od 1. januarja 2025 do 31. decembra 2027 se </w:t>
      </w:r>
      <w:r w:rsidR="00936141">
        <w:rPr>
          <w:noProof w:val="0"/>
        </w:rPr>
        <w:t xml:space="preserve">na podlagi tretje točke 119. člena Zakona o skupnih temeljih </w:t>
      </w:r>
      <w:proofErr w:type="spellStart"/>
      <w:r w:rsidR="00B51CF5" w:rsidRPr="00B51CF5">
        <w:rPr>
          <w:bCs w:val="0"/>
          <w:noProof w:val="0"/>
        </w:rPr>
        <w:t>temeljih</w:t>
      </w:r>
      <w:proofErr w:type="spellEnd"/>
      <w:r w:rsidR="00B51CF5" w:rsidRPr="00B51CF5">
        <w:rPr>
          <w:bCs w:val="0"/>
          <w:noProof w:val="0"/>
        </w:rPr>
        <w:t xml:space="preserve"> sistema plač v javnem sektorj</w:t>
      </w:r>
      <w:r w:rsidR="00B51CF5">
        <w:rPr>
          <w:bCs w:val="0"/>
          <w:noProof w:val="0"/>
        </w:rPr>
        <w:t xml:space="preserve">u </w:t>
      </w:r>
      <w:r w:rsidRPr="00101D92">
        <w:rPr>
          <w:noProof w:val="0"/>
        </w:rPr>
        <w:t>za izplačilo dela plače za delovno uspešnost nameni enak odstotek sredstev za osnovne plače, kot je veljal v letu 2024.</w:t>
      </w:r>
    </w:p>
    <w:p w14:paraId="48968ED6" w14:textId="77777777" w:rsidR="00AE7B58" w:rsidRPr="00AE7B58" w:rsidRDefault="00AE7B58" w:rsidP="00881993">
      <w:pPr>
        <w:spacing w:after="0" w:line="240" w:lineRule="auto"/>
        <w:ind w:left="705"/>
        <w:rPr>
          <w:bCs w:val="0"/>
          <w:noProof w:val="0"/>
        </w:rPr>
      </w:pPr>
      <w:r w:rsidRPr="00AE7B58">
        <w:rPr>
          <w:bCs w:val="0"/>
          <w:noProof w:val="0"/>
        </w:rPr>
        <w:t xml:space="preserve">Organ, pristojen za imenovanje direktorja, mora pri odločanju o višini dela plače za redno delovno uspešnost pridobiti soglasje ustanovitelja. </w:t>
      </w:r>
    </w:p>
    <w:p w14:paraId="52F27405" w14:textId="77777777" w:rsidR="00AE7B58" w:rsidRPr="00AE7B58" w:rsidRDefault="00AE7B58" w:rsidP="00881993">
      <w:pPr>
        <w:spacing w:after="0" w:line="240" w:lineRule="auto"/>
        <w:rPr>
          <w:bCs w:val="0"/>
          <w:noProof w:val="0"/>
        </w:rPr>
      </w:pPr>
    </w:p>
    <w:p w14:paraId="3A59BA36" w14:textId="77777777" w:rsidR="00AE7B58" w:rsidRPr="00AE7B58" w:rsidRDefault="00AE7B58" w:rsidP="00881993">
      <w:pPr>
        <w:spacing w:after="0" w:line="240" w:lineRule="auto"/>
        <w:ind w:left="705"/>
        <w:rPr>
          <w:bCs w:val="0"/>
          <w:noProof w:val="0"/>
        </w:rPr>
      </w:pPr>
      <w:r w:rsidRPr="00AE7B58">
        <w:rPr>
          <w:bCs w:val="0"/>
          <w:noProof w:val="0"/>
        </w:rPr>
        <w:t xml:space="preserve">Vloga za izdajo soglasja mora vsebovati poslovno poročilo in utemeljitev izplačila dela plače za delovno uspešnost na podlagi meril, določenih s pravilnikom pristojnega ministrstva. </w:t>
      </w:r>
    </w:p>
    <w:p w14:paraId="1F496DA8" w14:textId="77777777" w:rsidR="00AE7B58" w:rsidRPr="00AE7B58" w:rsidRDefault="00AE7B58" w:rsidP="00881993">
      <w:pPr>
        <w:spacing w:after="0" w:line="240" w:lineRule="auto"/>
        <w:rPr>
          <w:bCs w:val="0"/>
          <w:noProof w:val="0"/>
        </w:rPr>
      </w:pPr>
    </w:p>
    <w:p w14:paraId="5F0076CF" w14:textId="77777777" w:rsidR="00AE7B58" w:rsidRDefault="00AE7B58" w:rsidP="00881993">
      <w:pPr>
        <w:spacing w:after="0" w:line="240" w:lineRule="auto"/>
        <w:ind w:left="703"/>
        <w:rPr>
          <w:bCs w:val="0"/>
          <w:noProof w:val="0"/>
        </w:rPr>
      </w:pPr>
      <w:r w:rsidRPr="00AE7B58">
        <w:rPr>
          <w:bCs w:val="0"/>
          <w:noProof w:val="0"/>
        </w:rPr>
        <w:t>Skladno s Pravilnikom o merilih za ugotavljanje delovne uspešnosti direktorjev na področju gasilsko reševalne dejavnosti (Uradni list RS, št. 28/06 in 95/24 -ZSTSPJS; v nadaljevanju: Pravilnik) se višina dela plače za delovno uspešnost direktorja določi na podlagi naslednjih meril, ki morajo biti izpolnjena v celoti:</w:t>
      </w:r>
    </w:p>
    <w:p w14:paraId="3FBF1A04" w14:textId="77777777" w:rsidR="00B178EE" w:rsidRDefault="00B178EE" w:rsidP="00881993">
      <w:pPr>
        <w:spacing w:after="0" w:line="240" w:lineRule="auto"/>
        <w:ind w:left="703"/>
        <w:rPr>
          <w:bCs w:val="0"/>
          <w:noProof w:val="0"/>
        </w:rPr>
      </w:pPr>
    </w:p>
    <w:p w14:paraId="52944951" w14:textId="77777777" w:rsidR="00DE068C" w:rsidRDefault="00DE068C" w:rsidP="00881993">
      <w:pPr>
        <w:numPr>
          <w:ilvl w:val="0"/>
          <w:numId w:val="41"/>
        </w:numPr>
        <w:spacing w:after="0" w:line="240" w:lineRule="auto"/>
        <w:rPr>
          <w:bCs w:val="0"/>
          <w:noProof w:val="0"/>
        </w:rPr>
      </w:pPr>
      <w:r w:rsidRPr="00DE068C">
        <w:rPr>
          <w:bCs w:val="0"/>
          <w:noProof w:val="0"/>
        </w:rPr>
        <w:t>izpolnjen program plana dela poklicne gasilske enote, ki ga potrdi svet zavoda (v višini 80% skupnega deleža) se ovrednoti po naslednjih merilih:</w:t>
      </w:r>
    </w:p>
    <w:p w14:paraId="470DE57C" w14:textId="77777777" w:rsidR="004A59BD" w:rsidRPr="00DE068C" w:rsidRDefault="004A59BD" w:rsidP="004A59BD">
      <w:pPr>
        <w:spacing w:after="0" w:line="240" w:lineRule="auto"/>
        <w:rPr>
          <w:bCs w:val="0"/>
          <w:noProof w:val="0"/>
        </w:rPr>
      </w:pPr>
    </w:p>
    <w:p w14:paraId="1DCD941A" w14:textId="77777777" w:rsidR="00DE068C" w:rsidRPr="00DE068C" w:rsidRDefault="00DE068C" w:rsidP="00881993">
      <w:pPr>
        <w:spacing w:after="0" w:line="240" w:lineRule="auto"/>
        <w:ind w:left="703"/>
        <w:rPr>
          <w:bCs w:val="0"/>
          <w:noProof w:val="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3168"/>
      </w:tblGrid>
      <w:tr w:rsidR="00DE068C" w:rsidRPr="00DE068C" w14:paraId="17F47744" w14:textId="77777777" w:rsidTr="00DE068C">
        <w:tc>
          <w:tcPr>
            <w:tcW w:w="4932" w:type="dxa"/>
          </w:tcPr>
          <w:p w14:paraId="72B75D98" w14:textId="77777777" w:rsidR="00DE068C" w:rsidRPr="00DE068C" w:rsidRDefault="00DE068C" w:rsidP="00881993">
            <w:pPr>
              <w:spacing w:after="0" w:line="240" w:lineRule="auto"/>
              <w:rPr>
                <w:bCs w:val="0"/>
                <w:noProof w:val="0"/>
              </w:rPr>
            </w:pPr>
            <w:r w:rsidRPr="00DE068C">
              <w:rPr>
                <w:bCs w:val="0"/>
                <w:noProof w:val="0"/>
              </w:rPr>
              <w:t>Merilo uspešnosti</w:t>
            </w:r>
          </w:p>
        </w:tc>
        <w:tc>
          <w:tcPr>
            <w:tcW w:w="3168" w:type="dxa"/>
          </w:tcPr>
          <w:p w14:paraId="7F8E7A3D" w14:textId="77777777" w:rsidR="00DE068C" w:rsidRPr="00DE068C" w:rsidRDefault="00DE068C" w:rsidP="00881993">
            <w:pPr>
              <w:spacing w:after="0" w:line="240" w:lineRule="auto"/>
              <w:rPr>
                <w:bCs w:val="0"/>
                <w:noProof w:val="0"/>
              </w:rPr>
            </w:pPr>
            <w:r w:rsidRPr="00DE068C">
              <w:rPr>
                <w:bCs w:val="0"/>
                <w:noProof w:val="0"/>
              </w:rPr>
              <w:t>Višina % priznane uspešnosti</w:t>
            </w:r>
          </w:p>
        </w:tc>
      </w:tr>
      <w:tr w:rsidR="00DE068C" w:rsidRPr="00DE068C" w14:paraId="4AED5FBD" w14:textId="77777777" w:rsidTr="00DE068C">
        <w:tc>
          <w:tcPr>
            <w:tcW w:w="4932" w:type="dxa"/>
          </w:tcPr>
          <w:p w14:paraId="18901DFC" w14:textId="77777777" w:rsidR="00DE068C" w:rsidRPr="00DE068C" w:rsidRDefault="00DE068C" w:rsidP="00881993">
            <w:pPr>
              <w:spacing w:after="0" w:line="240" w:lineRule="auto"/>
              <w:rPr>
                <w:bCs w:val="0"/>
                <w:noProof w:val="0"/>
              </w:rPr>
            </w:pPr>
            <w:r w:rsidRPr="00DE068C">
              <w:rPr>
                <w:bCs w:val="0"/>
                <w:noProof w:val="0"/>
              </w:rPr>
              <w:lastRenderedPageBreak/>
              <w:t>100% ali večja realizacija programa plana enote</w:t>
            </w:r>
          </w:p>
        </w:tc>
        <w:tc>
          <w:tcPr>
            <w:tcW w:w="3168" w:type="dxa"/>
          </w:tcPr>
          <w:p w14:paraId="6BDAFB73" w14:textId="77777777" w:rsidR="00DE068C" w:rsidRPr="00DE068C" w:rsidRDefault="00DE068C" w:rsidP="00881993">
            <w:pPr>
              <w:spacing w:after="0" w:line="240" w:lineRule="auto"/>
              <w:ind w:left="703"/>
              <w:rPr>
                <w:bCs w:val="0"/>
                <w:noProof w:val="0"/>
              </w:rPr>
            </w:pPr>
            <w:r w:rsidRPr="00DE068C">
              <w:rPr>
                <w:bCs w:val="0"/>
                <w:noProof w:val="0"/>
              </w:rPr>
              <w:t>100%</w:t>
            </w:r>
          </w:p>
        </w:tc>
      </w:tr>
      <w:tr w:rsidR="00DE068C" w:rsidRPr="00DE068C" w14:paraId="38D4D5FB" w14:textId="77777777" w:rsidTr="00DE068C">
        <w:tc>
          <w:tcPr>
            <w:tcW w:w="4932" w:type="dxa"/>
          </w:tcPr>
          <w:p w14:paraId="0F7EC455" w14:textId="77777777" w:rsidR="00DE068C" w:rsidRPr="00DE068C" w:rsidRDefault="00DE068C" w:rsidP="00881993">
            <w:pPr>
              <w:spacing w:after="0" w:line="240" w:lineRule="auto"/>
              <w:rPr>
                <w:bCs w:val="0"/>
                <w:noProof w:val="0"/>
              </w:rPr>
            </w:pPr>
            <w:r w:rsidRPr="00DE068C">
              <w:rPr>
                <w:bCs w:val="0"/>
                <w:noProof w:val="0"/>
              </w:rPr>
              <w:t>od 90% do 99% realizacija programa plana enote</w:t>
            </w:r>
          </w:p>
        </w:tc>
        <w:tc>
          <w:tcPr>
            <w:tcW w:w="3168" w:type="dxa"/>
          </w:tcPr>
          <w:p w14:paraId="0D3EAF39" w14:textId="77777777" w:rsidR="00DE068C" w:rsidRPr="00DE068C" w:rsidRDefault="00DE068C" w:rsidP="00881993">
            <w:pPr>
              <w:spacing w:after="0" w:line="240" w:lineRule="auto"/>
              <w:ind w:left="703"/>
              <w:rPr>
                <w:bCs w:val="0"/>
                <w:noProof w:val="0"/>
              </w:rPr>
            </w:pPr>
            <w:r w:rsidRPr="00DE068C">
              <w:rPr>
                <w:bCs w:val="0"/>
                <w:noProof w:val="0"/>
              </w:rPr>
              <w:t>70%</w:t>
            </w:r>
          </w:p>
        </w:tc>
      </w:tr>
      <w:tr w:rsidR="00DE068C" w:rsidRPr="00DE068C" w14:paraId="2693167F" w14:textId="77777777" w:rsidTr="00DE068C">
        <w:tc>
          <w:tcPr>
            <w:tcW w:w="4932" w:type="dxa"/>
          </w:tcPr>
          <w:p w14:paraId="5821C178" w14:textId="77777777" w:rsidR="00DE068C" w:rsidRPr="00DE068C" w:rsidRDefault="00DE068C" w:rsidP="00881993">
            <w:pPr>
              <w:spacing w:after="0" w:line="240" w:lineRule="auto"/>
              <w:rPr>
                <w:bCs w:val="0"/>
                <w:noProof w:val="0"/>
              </w:rPr>
            </w:pPr>
            <w:r w:rsidRPr="00DE068C">
              <w:rPr>
                <w:bCs w:val="0"/>
                <w:noProof w:val="0"/>
              </w:rPr>
              <w:t>od 80% do 89% realizacija programa plana enote</w:t>
            </w:r>
          </w:p>
        </w:tc>
        <w:tc>
          <w:tcPr>
            <w:tcW w:w="3168" w:type="dxa"/>
          </w:tcPr>
          <w:p w14:paraId="2207F6C8" w14:textId="77777777" w:rsidR="00DE068C" w:rsidRPr="00DE068C" w:rsidRDefault="00DE068C" w:rsidP="00881993">
            <w:pPr>
              <w:spacing w:after="0" w:line="240" w:lineRule="auto"/>
              <w:ind w:left="703"/>
              <w:rPr>
                <w:bCs w:val="0"/>
                <w:noProof w:val="0"/>
              </w:rPr>
            </w:pPr>
            <w:r w:rsidRPr="00DE068C">
              <w:rPr>
                <w:bCs w:val="0"/>
                <w:noProof w:val="0"/>
              </w:rPr>
              <w:t>30%</w:t>
            </w:r>
          </w:p>
        </w:tc>
      </w:tr>
      <w:tr w:rsidR="00DE068C" w:rsidRPr="00DE068C" w14:paraId="092CAFE0" w14:textId="77777777" w:rsidTr="00DE068C">
        <w:tc>
          <w:tcPr>
            <w:tcW w:w="4932" w:type="dxa"/>
          </w:tcPr>
          <w:p w14:paraId="73D2D6AF" w14:textId="77777777" w:rsidR="00DE068C" w:rsidRPr="00DE068C" w:rsidRDefault="00DE068C" w:rsidP="00881993">
            <w:pPr>
              <w:spacing w:after="0" w:line="240" w:lineRule="auto"/>
              <w:rPr>
                <w:bCs w:val="0"/>
                <w:noProof w:val="0"/>
              </w:rPr>
            </w:pPr>
            <w:r w:rsidRPr="00DE068C">
              <w:rPr>
                <w:bCs w:val="0"/>
                <w:noProof w:val="0"/>
              </w:rPr>
              <w:t>do 80% realizacija programa plana enote</w:t>
            </w:r>
          </w:p>
        </w:tc>
        <w:tc>
          <w:tcPr>
            <w:tcW w:w="3168" w:type="dxa"/>
          </w:tcPr>
          <w:p w14:paraId="7A82DB86" w14:textId="77777777" w:rsidR="00DE068C" w:rsidRPr="00DE068C" w:rsidRDefault="00DE068C" w:rsidP="00881993">
            <w:pPr>
              <w:spacing w:after="0" w:line="240" w:lineRule="auto"/>
              <w:ind w:left="703"/>
              <w:rPr>
                <w:bCs w:val="0"/>
                <w:noProof w:val="0"/>
              </w:rPr>
            </w:pPr>
            <w:r w:rsidRPr="00DE068C">
              <w:rPr>
                <w:bCs w:val="0"/>
                <w:noProof w:val="0"/>
              </w:rPr>
              <w:t>0%</w:t>
            </w:r>
          </w:p>
        </w:tc>
      </w:tr>
    </w:tbl>
    <w:p w14:paraId="1263D229" w14:textId="77777777" w:rsidR="00DE068C" w:rsidRPr="00DE068C" w:rsidRDefault="00DE068C" w:rsidP="00881993">
      <w:pPr>
        <w:spacing w:after="0" w:line="240" w:lineRule="auto"/>
        <w:ind w:left="703"/>
        <w:rPr>
          <w:bCs w:val="0"/>
          <w:noProof w:val="0"/>
        </w:rPr>
      </w:pPr>
    </w:p>
    <w:p w14:paraId="1A8221B3" w14:textId="77777777" w:rsidR="00DE068C" w:rsidRPr="00DE068C" w:rsidRDefault="00DE068C" w:rsidP="00881993">
      <w:pPr>
        <w:spacing w:after="0" w:line="240" w:lineRule="auto"/>
        <w:ind w:left="703"/>
        <w:rPr>
          <w:bCs w:val="0"/>
          <w:noProof w:val="0"/>
        </w:rPr>
      </w:pPr>
      <w:r w:rsidRPr="00DE068C">
        <w:rPr>
          <w:bCs w:val="0"/>
          <w:noProof w:val="0"/>
        </w:rPr>
        <w:t xml:space="preserve">Na oceno iz prejšnje alineje ne vplivajo nepredvideni dogodki ali zunanji dejavniki. </w:t>
      </w:r>
    </w:p>
    <w:p w14:paraId="0D53895A" w14:textId="77777777" w:rsidR="00DE068C" w:rsidRPr="00DE068C" w:rsidRDefault="00DE068C" w:rsidP="00881993">
      <w:pPr>
        <w:spacing w:after="0" w:line="240" w:lineRule="auto"/>
        <w:ind w:left="703"/>
        <w:rPr>
          <w:bCs w:val="0"/>
          <w:noProof w:val="0"/>
        </w:rPr>
      </w:pPr>
    </w:p>
    <w:p w14:paraId="58C8F372" w14:textId="77777777" w:rsidR="00DE068C" w:rsidRPr="00DE068C" w:rsidRDefault="00DE068C" w:rsidP="00881993">
      <w:pPr>
        <w:numPr>
          <w:ilvl w:val="0"/>
          <w:numId w:val="41"/>
        </w:numPr>
        <w:spacing w:after="0" w:line="240" w:lineRule="auto"/>
        <w:rPr>
          <w:bCs w:val="0"/>
          <w:noProof w:val="0"/>
        </w:rPr>
      </w:pPr>
      <w:r w:rsidRPr="00DE068C">
        <w:rPr>
          <w:bCs w:val="0"/>
          <w:noProof w:val="0"/>
        </w:rPr>
        <w:t>uspešnost izvajanja operativne dejavnosti (v višini 20% skupnega deleža) se ovrednoti po naslednjih merilih:</w:t>
      </w:r>
    </w:p>
    <w:p w14:paraId="30304DA2" w14:textId="77777777" w:rsidR="00DE068C" w:rsidRPr="00DE068C" w:rsidRDefault="00DE068C" w:rsidP="00881993">
      <w:pPr>
        <w:spacing w:after="0" w:line="240" w:lineRule="auto"/>
        <w:ind w:left="703"/>
        <w:rPr>
          <w:bCs w:val="0"/>
          <w:noProof w:val="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3168"/>
      </w:tblGrid>
      <w:tr w:rsidR="00DE068C" w:rsidRPr="00DE068C" w14:paraId="3A15D222" w14:textId="77777777" w:rsidTr="00DE068C">
        <w:tc>
          <w:tcPr>
            <w:tcW w:w="4932" w:type="dxa"/>
          </w:tcPr>
          <w:p w14:paraId="481F04EF" w14:textId="77777777" w:rsidR="00DE068C" w:rsidRPr="00DE068C" w:rsidRDefault="00DE068C" w:rsidP="00881993">
            <w:pPr>
              <w:spacing w:after="0" w:line="240" w:lineRule="auto"/>
              <w:rPr>
                <w:bCs w:val="0"/>
                <w:noProof w:val="0"/>
              </w:rPr>
            </w:pPr>
            <w:r w:rsidRPr="00DE068C">
              <w:rPr>
                <w:bCs w:val="0"/>
                <w:noProof w:val="0"/>
              </w:rPr>
              <w:t>Merilo uspešnosti</w:t>
            </w:r>
          </w:p>
        </w:tc>
        <w:tc>
          <w:tcPr>
            <w:tcW w:w="3168" w:type="dxa"/>
          </w:tcPr>
          <w:p w14:paraId="690D30CB" w14:textId="77777777" w:rsidR="00DE068C" w:rsidRPr="00DE068C" w:rsidRDefault="00DE068C" w:rsidP="00881993">
            <w:pPr>
              <w:spacing w:after="0" w:line="240" w:lineRule="auto"/>
              <w:rPr>
                <w:bCs w:val="0"/>
                <w:noProof w:val="0"/>
              </w:rPr>
            </w:pPr>
            <w:r w:rsidRPr="00DE068C">
              <w:rPr>
                <w:bCs w:val="0"/>
                <w:noProof w:val="0"/>
              </w:rPr>
              <w:t>Višina % priznane uspešnosti</w:t>
            </w:r>
          </w:p>
        </w:tc>
      </w:tr>
      <w:tr w:rsidR="00DE068C" w:rsidRPr="00DE068C" w14:paraId="09AC54F0" w14:textId="77777777" w:rsidTr="00DE068C">
        <w:tc>
          <w:tcPr>
            <w:tcW w:w="4932" w:type="dxa"/>
          </w:tcPr>
          <w:p w14:paraId="722B3BE3" w14:textId="77777777" w:rsidR="00DE068C" w:rsidRPr="00DE068C" w:rsidRDefault="00DE068C" w:rsidP="00881993">
            <w:pPr>
              <w:spacing w:after="0" w:line="240" w:lineRule="auto"/>
              <w:rPr>
                <w:bCs w:val="0"/>
                <w:noProof w:val="0"/>
              </w:rPr>
            </w:pPr>
            <w:r w:rsidRPr="00DE068C">
              <w:rPr>
                <w:bCs w:val="0"/>
                <w:noProof w:val="0"/>
              </w:rPr>
              <w:t>Ni bilo upravičenih pripomb na delovanje enote</w:t>
            </w:r>
          </w:p>
        </w:tc>
        <w:tc>
          <w:tcPr>
            <w:tcW w:w="3168" w:type="dxa"/>
          </w:tcPr>
          <w:p w14:paraId="7FA575FD" w14:textId="77777777" w:rsidR="00DE068C" w:rsidRPr="00DE068C" w:rsidRDefault="00DE068C" w:rsidP="00881993">
            <w:pPr>
              <w:spacing w:after="0" w:line="240" w:lineRule="auto"/>
              <w:ind w:left="703"/>
              <w:rPr>
                <w:bCs w:val="0"/>
                <w:noProof w:val="0"/>
              </w:rPr>
            </w:pPr>
            <w:r w:rsidRPr="00DE068C">
              <w:rPr>
                <w:bCs w:val="0"/>
                <w:noProof w:val="0"/>
              </w:rPr>
              <w:t>100%</w:t>
            </w:r>
          </w:p>
        </w:tc>
      </w:tr>
      <w:tr w:rsidR="00DE068C" w:rsidRPr="00DE068C" w14:paraId="7D2AA909" w14:textId="77777777" w:rsidTr="00DE068C">
        <w:tc>
          <w:tcPr>
            <w:tcW w:w="4932" w:type="dxa"/>
          </w:tcPr>
          <w:p w14:paraId="33432F90" w14:textId="77777777" w:rsidR="00DE068C" w:rsidRPr="00DE068C" w:rsidRDefault="00DE068C" w:rsidP="00881993">
            <w:pPr>
              <w:spacing w:after="0" w:line="240" w:lineRule="auto"/>
              <w:rPr>
                <w:bCs w:val="0"/>
                <w:noProof w:val="0"/>
              </w:rPr>
            </w:pPr>
            <w:r w:rsidRPr="00DE068C">
              <w:rPr>
                <w:bCs w:val="0"/>
                <w:noProof w:val="0"/>
              </w:rPr>
              <w:t>Od 1 do 10 upravičenih pripomb na delovanje enote</w:t>
            </w:r>
          </w:p>
        </w:tc>
        <w:tc>
          <w:tcPr>
            <w:tcW w:w="3168" w:type="dxa"/>
          </w:tcPr>
          <w:p w14:paraId="33847FE1" w14:textId="77777777" w:rsidR="00DE068C" w:rsidRPr="00DE068C" w:rsidRDefault="00DE068C" w:rsidP="00881993">
            <w:pPr>
              <w:spacing w:after="0" w:line="240" w:lineRule="auto"/>
              <w:ind w:left="703"/>
              <w:rPr>
                <w:bCs w:val="0"/>
                <w:noProof w:val="0"/>
              </w:rPr>
            </w:pPr>
            <w:r w:rsidRPr="00DE068C">
              <w:rPr>
                <w:bCs w:val="0"/>
                <w:noProof w:val="0"/>
              </w:rPr>
              <w:t>70%</w:t>
            </w:r>
          </w:p>
        </w:tc>
      </w:tr>
      <w:tr w:rsidR="00DE068C" w:rsidRPr="00DE068C" w14:paraId="6F2A2343" w14:textId="77777777" w:rsidTr="00DE068C">
        <w:tc>
          <w:tcPr>
            <w:tcW w:w="4932" w:type="dxa"/>
          </w:tcPr>
          <w:p w14:paraId="68A3B75A" w14:textId="77777777" w:rsidR="00DE068C" w:rsidRPr="00DE068C" w:rsidRDefault="00DE068C" w:rsidP="00881993">
            <w:pPr>
              <w:spacing w:after="0" w:line="240" w:lineRule="auto"/>
              <w:rPr>
                <w:bCs w:val="0"/>
                <w:noProof w:val="0"/>
              </w:rPr>
            </w:pPr>
            <w:r w:rsidRPr="00DE068C">
              <w:rPr>
                <w:bCs w:val="0"/>
                <w:noProof w:val="0"/>
              </w:rPr>
              <w:t>11 in več upravičenih pripomb na delovanje enote</w:t>
            </w:r>
          </w:p>
        </w:tc>
        <w:tc>
          <w:tcPr>
            <w:tcW w:w="3168" w:type="dxa"/>
          </w:tcPr>
          <w:p w14:paraId="6BBDE5EA" w14:textId="77777777" w:rsidR="00DE068C" w:rsidRPr="00DE068C" w:rsidRDefault="00DE068C" w:rsidP="00881993">
            <w:pPr>
              <w:spacing w:after="0" w:line="240" w:lineRule="auto"/>
              <w:ind w:left="703"/>
              <w:rPr>
                <w:bCs w:val="0"/>
                <w:noProof w:val="0"/>
              </w:rPr>
            </w:pPr>
            <w:r w:rsidRPr="00DE068C">
              <w:rPr>
                <w:bCs w:val="0"/>
                <w:noProof w:val="0"/>
              </w:rPr>
              <w:t>0%</w:t>
            </w:r>
          </w:p>
        </w:tc>
      </w:tr>
    </w:tbl>
    <w:p w14:paraId="3E97B8DA" w14:textId="77777777" w:rsidR="00DE068C" w:rsidRPr="00DE068C" w:rsidRDefault="00DE068C" w:rsidP="00881993">
      <w:pPr>
        <w:spacing w:after="0" w:line="240" w:lineRule="auto"/>
        <w:ind w:left="703"/>
        <w:rPr>
          <w:bCs w:val="0"/>
          <w:noProof w:val="0"/>
        </w:rPr>
      </w:pPr>
    </w:p>
    <w:p w14:paraId="5D9B523E" w14:textId="77777777" w:rsidR="00DE068C" w:rsidRPr="00DE068C" w:rsidRDefault="00DE068C" w:rsidP="00881993">
      <w:pPr>
        <w:spacing w:after="0" w:line="240" w:lineRule="auto"/>
        <w:ind w:left="703"/>
        <w:rPr>
          <w:bCs w:val="0"/>
          <w:noProof w:val="0"/>
        </w:rPr>
      </w:pPr>
      <w:r w:rsidRPr="00DE068C">
        <w:rPr>
          <w:bCs w:val="0"/>
          <w:noProof w:val="0"/>
        </w:rPr>
        <w:t>Presojo o upravičenosti uspešnosti iz prejšnjega odstavka poda svet zavoda.</w:t>
      </w:r>
    </w:p>
    <w:p w14:paraId="74114508" w14:textId="77777777" w:rsidR="00B178EE" w:rsidRDefault="00B178EE" w:rsidP="00881993">
      <w:pPr>
        <w:spacing w:after="0" w:line="240" w:lineRule="auto"/>
        <w:ind w:left="703"/>
        <w:rPr>
          <w:bCs w:val="0"/>
          <w:noProof w:val="0"/>
        </w:rPr>
      </w:pPr>
    </w:p>
    <w:p w14:paraId="44C33CD0" w14:textId="77777777" w:rsidR="00AC730B" w:rsidRPr="00AC730B" w:rsidRDefault="00AC730B" w:rsidP="00881993">
      <w:pPr>
        <w:spacing w:after="260" w:line="240" w:lineRule="auto"/>
        <w:ind w:left="705"/>
        <w:rPr>
          <w:bCs w:val="0"/>
          <w:noProof w:val="0"/>
        </w:rPr>
      </w:pPr>
      <w:r w:rsidRPr="00AC730B">
        <w:rPr>
          <w:bCs w:val="0"/>
          <w:noProof w:val="0"/>
        </w:rPr>
        <w:t>Direktorju pripada del plače za delovno uspešnost, če izpolni posamezno merilo. Doseženi odstotki iz 1. in 2. alineje se seštevajo. Višina dela plače za delovno uspešnost se izračuna tako, da se dobljeni odstotki pomnožijo z višino dveh osnovnih mesečnih plač direktorja.</w:t>
      </w:r>
    </w:p>
    <w:p w14:paraId="6885018B" w14:textId="77777777" w:rsidR="00AC730B" w:rsidRPr="00AC730B" w:rsidRDefault="00AC730B" w:rsidP="00881993">
      <w:pPr>
        <w:spacing w:after="260" w:line="240" w:lineRule="auto"/>
        <w:ind w:left="705"/>
        <w:rPr>
          <w:bCs w:val="0"/>
          <w:noProof w:val="0"/>
        </w:rPr>
      </w:pPr>
      <w:r w:rsidRPr="00AC730B">
        <w:rPr>
          <w:bCs w:val="0"/>
          <w:noProof w:val="0"/>
        </w:rPr>
        <w:t>Če javni zavod posluje z izgubo ali dobi negativno mnenje Računskega sodišča, direktorju ne pripada del plače iz naslova delovne uspešnosti za izvajanje javne službe.</w:t>
      </w:r>
    </w:p>
    <w:p w14:paraId="7A992E47" w14:textId="77777777" w:rsidR="00AC730B" w:rsidRPr="00AC730B" w:rsidRDefault="00AC730B" w:rsidP="00881993">
      <w:pPr>
        <w:spacing w:after="260" w:line="240" w:lineRule="auto"/>
        <w:ind w:left="705"/>
        <w:rPr>
          <w:bCs w:val="0"/>
          <w:noProof w:val="0"/>
        </w:rPr>
      </w:pPr>
      <w:r w:rsidRPr="00AC730B">
        <w:rPr>
          <w:bCs w:val="0"/>
          <w:noProof w:val="0"/>
        </w:rPr>
        <w:t xml:space="preserve">Na delovno uspešnost direktorja ne vpliva izguba iz prejšnjega odstavka, ki je nastala zaradi prekomerno povečanih stroškov poslovanja javnega zavoda zaradi naravne ali druge nesreče oziroma neizpolnjevanja obveznosti s strani ustanovitelja ali drugih, ki sofinancirajo dejavnost javnega zavoda, v skladu z letnimi pogodbami in načrti. Če direktor nastopi mandat med poslovnim letom, mu delovna uspešnost pripada sorazmerno trajanju mandata v tem poslovnem letu. </w:t>
      </w:r>
    </w:p>
    <w:p w14:paraId="1EA6CF4A" w14:textId="102B3FA8" w:rsidR="00AC730B" w:rsidRPr="00AC730B" w:rsidRDefault="00AC730B" w:rsidP="00803E52">
      <w:pPr>
        <w:spacing w:after="260" w:line="240" w:lineRule="auto"/>
        <w:ind w:left="705"/>
        <w:rPr>
          <w:bCs w:val="0"/>
          <w:noProof w:val="0"/>
        </w:rPr>
      </w:pPr>
      <w:r w:rsidRPr="00AC730B">
        <w:rPr>
          <w:bCs w:val="0"/>
          <w:noProof w:val="0"/>
        </w:rPr>
        <w:t xml:space="preserve">Javni zavod je </w:t>
      </w:r>
      <w:r w:rsidRPr="00803E52">
        <w:rPr>
          <w:bCs w:val="0"/>
          <w:noProof w:val="0"/>
        </w:rPr>
        <w:t xml:space="preserve">dne </w:t>
      </w:r>
      <w:r w:rsidR="00881993" w:rsidRPr="00D01FF4">
        <w:rPr>
          <w:bCs w:val="0"/>
          <w:noProof w:val="0"/>
        </w:rPr>
        <w:t>06.03.2026</w:t>
      </w:r>
      <w:r w:rsidRPr="00D01FF4">
        <w:rPr>
          <w:bCs w:val="0"/>
          <w:noProof w:val="0"/>
        </w:rPr>
        <w:t xml:space="preserve"> </w:t>
      </w:r>
      <w:r w:rsidRPr="00803E52">
        <w:rPr>
          <w:bCs w:val="0"/>
          <w:noProof w:val="0"/>
        </w:rPr>
        <w:t xml:space="preserve">Mestni občini Nova Gorica posredoval </w:t>
      </w:r>
      <w:bookmarkStart w:id="4" w:name="_Hlk65498362"/>
      <w:r w:rsidRPr="00803E52">
        <w:rPr>
          <w:bCs w:val="0"/>
          <w:noProof w:val="0"/>
        </w:rPr>
        <w:t xml:space="preserve">Letno poročilo Javnega zavoda za gasilsko in reševalno dejavnost-GASILSKA ENOTA NOVA GORICA za leto </w:t>
      </w:r>
      <w:bookmarkEnd w:id="4"/>
      <w:r w:rsidR="009E201F" w:rsidRPr="00803E52">
        <w:rPr>
          <w:bCs w:val="0"/>
          <w:noProof w:val="0"/>
        </w:rPr>
        <w:t>2025</w:t>
      </w:r>
      <w:r w:rsidRPr="00803E52">
        <w:rPr>
          <w:bCs w:val="0"/>
          <w:noProof w:val="0"/>
        </w:rPr>
        <w:t xml:space="preserve">, ki ga je zaključil s presežkom prihodkov nad odhodki v višini </w:t>
      </w:r>
      <w:r w:rsidR="004E1561" w:rsidRPr="00D01FF4">
        <w:rPr>
          <w:bCs w:val="0"/>
          <w:noProof w:val="0"/>
        </w:rPr>
        <w:t>42.936,04</w:t>
      </w:r>
      <w:r w:rsidRPr="00803E52">
        <w:rPr>
          <w:bCs w:val="0"/>
          <w:noProof w:val="0"/>
        </w:rPr>
        <w:t xml:space="preserve"> EUR ter m</w:t>
      </w:r>
      <w:r w:rsidRPr="00AC730B">
        <w:rPr>
          <w:bCs w:val="0"/>
          <w:noProof w:val="0"/>
        </w:rPr>
        <w:t xml:space="preserve">u v letu </w:t>
      </w:r>
      <w:r w:rsidR="009E201F">
        <w:rPr>
          <w:bCs w:val="0"/>
          <w:noProof w:val="0"/>
        </w:rPr>
        <w:t>2025</w:t>
      </w:r>
      <w:r w:rsidRPr="00AC730B">
        <w:rPr>
          <w:bCs w:val="0"/>
          <w:noProof w:val="0"/>
        </w:rPr>
        <w:t xml:space="preserve"> ni bilo izdano negativno mnenje Računskega sodišča. Poročilo je sprejel svet zavoda na seji dne </w:t>
      </w:r>
      <w:r w:rsidRPr="00D01FF4">
        <w:rPr>
          <w:bCs w:val="0"/>
          <w:noProof w:val="0"/>
        </w:rPr>
        <w:t>26.02.2025</w:t>
      </w:r>
      <w:r w:rsidRPr="00333347">
        <w:rPr>
          <w:bCs w:val="0"/>
          <w:noProof w:val="0"/>
        </w:rPr>
        <w:t xml:space="preserve">. </w:t>
      </w:r>
    </w:p>
    <w:p w14:paraId="146C1AE1" w14:textId="451D0531" w:rsidR="007A6C1C" w:rsidRPr="007A6C1C" w:rsidRDefault="00AC730B" w:rsidP="00C775A5">
      <w:pPr>
        <w:spacing w:after="260" w:line="240" w:lineRule="auto"/>
        <w:ind w:left="705"/>
        <w:rPr>
          <w:bCs w:val="0"/>
          <w:noProof w:val="0"/>
        </w:rPr>
      </w:pPr>
      <w:r w:rsidRPr="00AC730B">
        <w:rPr>
          <w:bCs w:val="0"/>
          <w:noProof w:val="0"/>
        </w:rPr>
        <w:t>O</w:t>
      </w:r>
      <w:r w:rsidRPr="00AC730B">
        <w:rPr>
          <w:noProof w:val="0"/>
        </w:rPr>
        <w:t>bčinska uprava Mestne občine Nova Gorica je v skladu z</w:t>
      </w:r>
      <w:r w:rsidRPr="00AC730B">
        <w:rPr>
          <w:bCs w:val="0"/>
          <w:noProof w:val="0"/>
        </w:rPr>
        <w:t xml:space="preserve"> 5</w:t>
      </w:r>
      <w:r w:rsidR="00FA7156">
        <w:rPr>
          <w:bCs w:val="0"/>
          <w:noProof w:val="0"/>
        </w:rPr>
        <w:t>9</w:t>
      </w:r>
      <w:r w:rsidRPr="00AC730B">
        <w:rPr>
          <w:bCs w:val="0"/>
          <w:noProof w:val="0"/>
        </w:rPr>
        <w:t xml:space="preserve">. člena Zakona o izvrševanju proračunov Republike Slovenije za leti </w:t>
      </w:r>
      <w:r w:rsidR="00FA7156">
        <w:rPr>
          <w:bCs w:val="0"/>
          <w:noProof w:val="0"/>
        </w:rPr>
        <w:t>2026</w:t>
      </w:r>
      <w:r w:rsidRPr="00AC730B">
        <w:rPr>
          <w:bCs w:val="0"/>
          <w:noProof w:val="0"/>
        </w:rPr>
        <w:t xml:space="preserve"> in </w:t>
      </w:r>
      <w:r w:rsidR="00FA7156">
        <w:rPr>
          <w:bCs w:val="0"/>
          <w:noProof w:val="0"/>
        </w:rPr>
        <w:t>2027</w:t>
      </w:r>
      <w:r w:rsidRPr="00AC730B">
        <w:rPr>
          <w:bCs w:val="0"/>
          <w:noProof w:val="0"/>
        </w:rPr>
        <w:t xml:space="preserve"> (Uradni list</w:t>
      </w:r>
      <w:r w:rsidR="007A6C1C">
        <w:rPr>
          <w:bCs w:val="0"/>
          <w:noProof w:val="0"/>
        </w:rPr>
        <w:t xml:space="preserve"> </w:t>
      </w:r>
      <w:r w:rsidR="007A6C1C" w:rsidRPr="007A6C1C">
        <w:rPr>
          <w:bCs w:val="0"/>
          <w:noProof w:val="0"/>
        </w:rPr>
        <w:t xml:space="preserve">RS, št. </w:t>
      </w:r>
      <w:r w:rsidR="008E5D98">
        <w:rPr>
          <w:bCs w:val="0"/>
          <w:noProof w:val="0"/>
        </w:rPr>
        <w:t>95/25 in 112/25 – ZJF-K</w:t>
      </w:r>
      <w:r w:rsidR="007A6C1C" w:rsidRPr="007A6C1C">
        <w:rPr>
          <w:bCs w:val="0"/>
          <w:noProof w:val="0"/>
        </w:rPr>
        <w:t xml:space="preserve">) </w:t>
      </w:r>
      <w:r w:rsidR="007A6C1C" w:rsidRPr="007A6C1C">
        <w:rPr>
          <w:noProof w:val="0"/>
        </w:rPr>
        <w:t xml:space="preserve">dne </w:t>
      </w:r>
      <w:r w:rsidR="009B5275" w:rsidRPr="00803E52">
        <w:rPr>
          <w:noProof w:val="0"/>
        </w:rPr>
        <w:t>02.03.2026</w:t>
      </w:r>
      <w:r w:rsidR="007A6C1C" w:rsidRPr="00803E52">
        <w:rPr>
          <w:noProof w:val="0"/>
        </w:rPr>
        <w:t xml:space="preserve"> </w:t>
      </w:r>
      <w:r w:rsidR="007A6C1C" w:rsidRPr="007A6C1C">
        <w:rPr>
          <w:noProof w:val="0"/>
        </w:rPr>
        <w:t xml:space="preserve">izdala soglasje k </w:t>
      </w:r>
      <w:r w:rsidR="007A6C1C" w:rsidRPr="007A6C1C">
        <w:rPr>
          <w:bCs w:val="0"/>
          <w:noProof w:val="0"/>
        </w:rPr>
        <w:t xml:space="preserve">Letnemu poročilu javnega zavoda leto </w:t>
      </w:r>
      <w:r w:rsidR="009E201F">
        <w:rPr>
          <w:bCs w:val="0"/>
          <w:noProof w:val="0"/>
        </w:rPr>
        <w:t>2025</w:t>
      </w:r>
      <w:r w:rsidR="007A6C1C" w:rsidRPr="007A6C1C">
        <w:rPr>
          <w:bCs w:val="0"/>
          <w:noProof w:val="0"/>
        </w:rPr>
        <w:t>.</w:t>
      </w:r>
    </w:p>
    <w:p w14:paraId="1B70A978" w14:textId="4DC47E06" w:rsidR="007A6C1C" w:rsidRPr="007A6C1C" w:rsidRDefault="007A6C1C" w:rsidP="00C775A5">
      <w:pPr>
        <w:spacing w:after="260" w:line="240" w:lineRule="auto"/>
        <w:ind w:left="705"/>
        <w:rPr>
          <w:bCs w:val="0"/>
          <w:noProof w:val="0"/>
        </w:rPr>
      </w:pPr>
      <w:r w:rsidRPr="007A6C1C">
        <w:rPr>
          <w:bCs w:val="0"/>
          <w:noProof w:val="0"/>
        </w:rPr>
        <w:t xml:space="preserve">Na podlagi ovrednotene delovne uspešnosti direktorja, ki jo je pripravil svet zavoda in je bila posredovana Oddelku za družbene dejavnosti </w:t>
      </w:r>
      <w:r w:rsidRPr="00C775A5">
        <w:rPr>
          <w:bCs w:val="0"/>
          <w:noProof w:val="0"/>
        </w:rPr>
        <w:t xml:space="preserve">dne </w:t>
      </w:r>
      <w:r w:rsidR="00411039" w:rsidRPr="00D01FF4">
        <w:rPr>
          <w:bCs w:val="0"/>
          <w:noProof w:val="0"/>
        </w:rPr>
        <w:t>06.03.2026</w:t>
      </w:r>
      <w:r w:rsidRPr="007A6C1C">
        <w:rPr>
          <w:bCs w:val="0"/>
          <w:noProof w:val="0"/>
        </w:rPr>
        <w:t>, je redna delovna uspešnost direktorja določena po posameznih merilih iz Pravilnika, ki morajo biti izpolnjena v celoti in so ovrednotena v naslednjih odstotkih:</w:t>
      </w:r>
    </w:p>
    <w:p w14:paraId="5223CB50" w14:textId="77777777" w:rsidR="007A6C1C" w:rsidRPr="007A6C1C" w:rsidRDefault="007A6C1C" w:rsidP="00D01FF4">
      <w:pPr>
        <w:numPr>
          <w:ilvl w:val="0"/>
          <w:numId w:val="41"/>
        </w:numPr>
        <w:spacing w:after="260" w:line="240" w:lineRule="auto"/>
        <w:rPr>
          <w:bCs w:val="0"/>
          <w:noProof w:val="0"/>
        </w:rPr>
      </w:pPr>
      <w:r w:rsidRPr="00B84FD2">
        <w:rPr>
          <w:b/>
          <w:noProof w:val="0"/>
        </w:rPr>
        <w:lastRenderedPageBreak/>
        <w:t>izpolnjen program plana dela poklicne gasilske enote</w:t>
      </w:r>
      <w:r w:rsidRPr="007A6C1C">
        <w:rPr>
          <w:bCs w:val="0"/>
          <w:noProof w:val="0"/>
        </w:rPr>
        <w:t>, ki ga potrdi svet zavoda (v višini 80% skupnega deleža) se ovrednoti po naslednjih merili: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7A6C1C" w:rsidRPr="007A6C1C" w14:paraId="4C4B7BEA" w14:textId="77777777" w:rsidTr="007A6C1C">
        <w:tc>
          <w:tcPr>
            <w:tcW w:w="5074" w:type="dxa"/>
          </w:tcPr>
          <w:p w14:paraId="06342B17" w14:textId="77777777" w:rsidR="007A6C1C" w:rsidRPr="007A6C1C" w:rsidRDefault="007A6C1C" w:rsidP="00D01FF4">
            <w:pPr>
              <w:spacing w:after="260" w:line="240" w:lineRule="auto"/>
              <w:rPr>
                <w:bCs w:val="0"/>
                <w:noProof w:val="0"/>
              </w:rPr>
            </w:pPr>
            <w:r w:rsidRPr="007A6C1C">
              <w:rPr>
                <w:bCs w:val="0"/>
                <w:noProof w:val="0"/>
              </w:rPr>
              <w:t>Merilo uspešnosti</w:t>
            </w:r>
          </w:p>
        </w:tc>
        <w:tc>
          <w:tcPr>
            <w:tcW w:w="3168" w:type="dxa"/>
          </w:tcPr>
          <w:p w14:paraId="1A65BE8A" w14:textId="77777777" w:rsidR="007A6C1C" w:rsidRPr="007A6C1C" w:rsidRDefault="007A6C1C" w:rsidP="00D01FF4">
            <w:pPr>
              <w:spacing w:after="260" w:line="240" w:lineRule="auto"/>
              <w:rPr>
                <w:bCs w:val="0"/>
                <w:noProof w:val="0"/>
              </w:rPr>
            </w:pPr>
            <w:r w:rsidRPr="007A6C1C">
              <w:rPr>
                <w:bCs w:val="0"/>
                <w:noProof w:val="0"/>
              </w:rPr>
              <w:t>Višina % priznane uspešnosti</w:t>
            </w:r>
          </w:p>
        </w:tc>
      </w:tr>
      <w:tr w:rsidR="007A6C1C" w:rsidRPr="007A6C1C" w14:paraId="6FF50898" w14:textId="77777777" w:rsidTr="007A6C1C">
        <w:tc>
          <w:tcPr>
            <w:tcW w:w="5074" w:type="dxa"/>
          </w:tcPr>
          <w:p w14:paraId="06DD9A4D" w14:textId="77777777" w:rsidR="007A6C1C" w:rsidRPr="007A6C1C" w:rsidRDefault="007A6C1C" w:rsidP="00D01FF4">
            <w:pPr>
              <w:spacing w:after="260" w:line="240" w:lineRule="auto"/>
              <w:rPr>
                <w:bCs w:val="0"/>
                <w:noProof w:val="0"/>
              </w:rPr>
            </w:pPr>
            <w:r w:rsidRPr="007A6C1C">
              <w:rPr>
                <w:bCs w:val="0"/>
                <w:noProof w:val="0"/>
              </w:rPr>
              <w:t>100% ali večja realizacija programa plana enote</w:t>
            </w:r>
          </w:p>
        </w:tc>
        <w:tc>
          <w:tcPr>
            <w:tcW w:w="3168" w:type="dxa"/>
          </w:tcPr>
          <w:p w14:paraId="7E752AB9" w14:textId="77777777" w:rsidR="007A6C1C" w:rsidRPr="007A6C1C" w:rsidRDefault="007A6C1C" w:rsidP="00D01FF4">
            <w:pPr>
              <w:spacing w:after="260" w:line="240" w:lineRule="auto"/>
              <w:ind w:left="705"/>
              <w:rPr>
                <w:bCs w:val="0"/>
                <w:noProof w:val="0"/>
              </w:rPr>
            </w:pPr>
            <w:r w:rsidRPr="007A6C1C">
              <w:rPr>
                <w:bCs w:val="0"/>
                <w:noProof w:val="0"/>
              </w:rPr>
              <w:t>100%</w:t>
            </w:r>
          </w:p>
        </w:tc>
      </w:tr>
      <w:tr w:rsidR="007A6C1C" w:rsidRPr="007A6C1C" w14:paraId="40AB9A19" w14:textId="77777777" w:rsidTr="007A6C1C">
        <w:tc>
          <w:tcPr>
            <w:tcW w:w="5074" w:type="dxa"/>
          </w:tcPr>
          <w:p w14:paraId="2657A622" w14:textId="77777777" w:rsidR="007A6C1C" w:rsidRPr="007A6C1C" w:rsidRDefault="007A6C1C" w:rsidP="00D01FF4">
            <w:pPr>
              <w:spacing w:after="260" w:line="240" w:lineRule="auto"/>
              <w:rPr>
                <w:bCs w:val="0"/>
                <w:noProof w:val="0"/>
              </w:rPr>
            </w:pPr>
            <w:r w:rsidRPr="007A6C1C">
              <w:rPr>
                <w:bCs w:val="0"/>
                <w:noProof w:val="0"/>
              </w:rPr>
              <w:t>od 90% do 99% realizacija programa plana enote</w:t>
            </w:r>
          </w:p>
        </w:tc>
        <w:tc>
          <w:tcPr>
            <w:tcW w:w="3168" w:type="dxa"/>
          </w:tcPr>
          <w:p w14:paraId="0B8D2405" w14:textId="77777777" w:rsidR="007A6C1C" w:rsidRPr="007A6C1C" w:rsidRDefault="007A6C1C" w:rsidP="00D01FF4">
            <w:pPr>
              <w:spacing w:after="260" w:line="240" w:lineRule="auto"/>
              <w:ind w:left="705"/>
              <w:rPr>
                <w:bCs w:val="0"/>
                <w:noProof w:val="0"/>
              </w:rPr>
            </w:pPr>
            <w:r w:rsidRPr="007A6C1C">
              <w:rPr>
                <w:bCs w:val="0"/>
                <w:noProof w:val="0"/>
              </w:rPr>
              <w:t>70%</w:t>
            </w:r>
          </w:p>
        </w:tc>
      </w:tr>
      <w:tr w:rsidR="007A6C1C" w:rsidRPr="007A6C1C" w14:paraId="5DDD1AF5" w14:textId="77777777" w:rsidTr="007A6C1C">
        <w:tc>
          <w:tcPr>
            <w:tcW w:w="5074" w:type="dxa"/>
          </w:tcPr>
          <w:p w14:paraId="12439976" w14:textId="77777777" w:rsidR="007A6C1C" w:rsidRPr="007A6C1C" w:rsidRDefault="007A6C1C" w:rsidP="00D01FF4">
            <w:pPr>
              <w:spacing w:after="260" w:line="240" w:lineRule="auto"/>
              <w:rPr>
                <w:bCs w:val="0"/>
                <w:noProof w:val="0"/>
              </w:rPr>
            </w:pPr>
            <w:r w:rsidRPr="007A6C1C">
              <w:rPr>
                <w:bCs w:val="0"/>
                <w:noProof w:val="0"/>
              </w:rPr>
              <w:t>od 80% do 89% realizacija programa plana enote</w:t>
            </w:r>
          </w:p>
        </w:tc>
        <w:tc>
          <w:tcPr>
            <w:tcW w:w="3168" w:type="dxa"/>
          </w:tcPr>
          <w:p w14:paraId="4662F851" w14:textId="77777777" w:rsidR="007A6C1C" w:rsidRPr="007A6C1C" w:rsidRDefault="007A6C1C" w:rsidP="00D01FF4">
            <w:pPr>
              <w:spacing w:after="260" w:line="240" w:lineRule="auto"/>
              <w:ind w:left="705"/>
              <w:rPr>
                <w:bCs w:val="0"/>
                <w:noProof w:val="0"/>
              </w:rPr>
            </w:pPr>
            <w:r w:rsidRPr="007A6C1C">
              <w:rPr>
                <w:bCs w:val="0"/>
                <w:noProof w:val="0"/>
              </w:rPr>
              <w:t>30%</w:t>
            </w:r>
          </w:p>
        </w:tc>
      </w:tr>
      <w:tr w:rsidR="007A6C1C" w:rsidRPr="007A6C1C" w14:paraId="15CF9557" w14:textId="77777777" w:rsidTr="007A6C1C">
        <w:tc>
          <w:tcPr>
            <w:tcW w:w="5074" w:type="dxa"/>
          </w:tcPr>
          <w:p w14:paraId="0660198D" w14:textId="77777777" w:rsidR="007A6C1C" w:rsidRPr="007A6C1C" w:rsidRDefault="007A6C1C" w:rsidP="00D01FF4">
            <w:pPr>
              <w:spacing w:after="260" w:line="240" w:lineRule="auto"/>
              <w:rPr>
                <w:bCs w:val="0"/>
                <w:noProof w:val="0"/>
              </w:rPr>
            </w:pPr>
            <w:r w:rsidRPr="007A6C1C">
              <w:rPr>
                <w:bCs w:val="0"/>
                <w:noProof w:val="0"/>
              </w:rPr>
              <w:t>do 80% realizacija programa plana enote</w:t>
            </w:r>
          </w:p>
        </w:tc>
        <w:tc>
          <w:tcPr>
            <w:tcW w:w="3168" w:type="dxa"/>
          </w:tcPr>
          <w:p w14:paraId="2FC0E2F5" w14:textId="77777777" w:rsidR="007A6C1C" w:rsidRPr="007A6C1C" w:rsidRDefault="007A6C1C" w:rsidP="00D01FF4">
            <w:pPr>
              <w:spacing w:after="260" w:line="240" w:lineRule="auto"/>
              <w:ind w:left="705"/>
              <w:rPr>
                <w:bCs w:val="0"/>
                <w:noProof w:val="0"/>
              </w:rPr>
            </w:pPr>
            <w:r w:rsidRPr="007A6C1C">
              <w:rPr>
                <w:bCs w:val="0"/>
                <w:noProof w:val="0"/>
              </w:rPr>
              <w:t>0%</w:t>
            </w:r>
          </w:p>
        </w:tc>
      </w:tr>
    </w:tbl>
    <w:p w14:paraId="41D84BE5" w14:textId="77777777" w:rsidR="007A6C1C" w:rsidRDefault="007A6C1C">
      <w:pPr>
        <w:spacing w:after="260" w:line="240" w:lineRule="auto"/>
        <w:ind w:left="705"/>
        <w:rPr>
          <w:bCs w:val="0"/>
          <w:noProof w:val="0"/>
        </w:rPr>
      </w:pPr>
    </w:p>
    <w:p w14:paraId="140281DB" w14:textId="4AEA9B7F" w:rsidR="00A45BF4" w:rsidRDefault="00A45BF4" w:rsidP="00A45BF4">
      <w:pPr>
        <w:widowControl w:val="0"/>
        <w:spacing w:after="280" w:line="240" w:lineRule="auto"/>
        <w:ind w:left="708"/>
        <w:rPr>
          <w:rFonts w:cs="Times New Roman"/>
          <w:bCs w:val="0"/>
          <w:noProof w:val="0"/>
          <w:color w:val="1D1D1D"/>
          <w:lang w:bidi="sl-SI"/>
        </w:rPr>
      </w:pPr>
      <w:r w:rsidRPr="00AE1C08">
        <w:rPr>
          <w:rFonts w:cs="Times New Roman"/>
          <w:bCs w:val="0"/>
          <w:noProof w:val="0"/>
          <w:color w:val="1D1D1D"/>
          <w:lang w:bidi="sl-SI"/>
        </w:rPr>
        <w:t xml:space="preserve">Cilji, ki so bili zastavljeni v Programu dela za leto 2025, so bili izpolnjeni oz. realizirani. Na področjih poslovanja, izvajanja dejavnosti, nadgradnje tehnične pripravljenosti operativne enote, preventive ter tržne dejavnosti </w:t>
      </w:r>
      <w:r w:rsidR="00AB6455">
        <w:rPr>
          <w:rFonts w:cs="Times New Roman"/>
          <w:bCs w:val="0"/>
          <w:noProof w:val="0"/>
          <w:color w:val="1D1D1D"/>
          <w:lang w:bidi="sl-SI"/>
        </w:rPr>
        <w:t xml:space="preserve">je javni zavod </w:t>
      </w:r>
      <w:r w:rsidRPr="00AE1C08">
        <w:rPr>
          <w:rFonts w:cs="Times New Roman"/>
          <w:bCs w:val="0"/>
          <w:noProof w:val="0"/>
          <w:color w:val="1D1D1D"/>
          <w:lang w:bidi="sl-SI"/>
        </w:rPr>
        <w:t>doseg</w:t>
      </w:r>
      <w:r w:rsidR="00AB6455">
        <w:rPr>
          <w:rFonts w:cs="Times New Roman"/>
          <w:bCs w:val="0"/>
          <w:noProof w:val="0"/>
          <w:color w:val="1D1D1D"/>
          <w:lang w:bidi="sl-SI"/>
        </w:rPr>
        <w:t>el</w:t>
      </w:r>
      <w:r w:rsidRPr="00AE1C08">
        <w:rPr>
          <w:rFonts w:cs="Times New Roman"/>
          <w:bCs w:val="0"/>
          <w:noProof w:val="0"/>
          <w:color w:val="1D1D1D"/>
          <w:lang w:bidi="sl-SI"/>
        </w:rPr>
        <w:t xml:space="preserve"> zastavljene cilje.</w:t>
      </w:r>
    </w:p>
    <w:p w14:paraId="4E236FB7" w14:textId="7901CEF0" w:rsidR="00056990" w:rsidRPr="00AE1C08" w:rsidRDefault="00056990" w:rsidP="00EA1947">
      <w:pPr>
        <w:widowControl w:val="0"/>
        <w:spacing w:after="0" w:line="240" w:lineRule="auto"/>
        <w:ind w:left="709"/>
        <w:rPr>
          <w:rFonts w:cs="Times New Roman"/>
          <w:bCs w:val="0"/>
          <w:noProof w:val="0"/>
          <w:color w:val="1D1D1D"/>
          <w:lang w:bidi="sl-SI"/>
        </w:rPr>
      </w:pPr>
      <w:r>
        <w:rPr>
          <w:rFonts w:cs="Times New Roman"/>
          <w:bCs w:val="0"/>
          <w:noProof w:val="0"/>
          <w:color w:val="1D1D1D"/>
          <w:lang w:bidi="sl-SI"/>
        </w:rPr>
        <w:t xml:space="preserve">Na podlagi zapisanih ciljev in realiziranih v letu 2025 je javni zavod izpostavil sledeče: </w:t>
      </w:r>
    </w:p>
    <w:p w14:paraId="234A6FA0" w14:textId="50248FAF"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brez zapletov </w:t>
      </w:r>
      <w:r w:rsidR="00056990">
        <w:rPr>
          <w:rFonts w:cs="Times New Roman"/>
          <w:bCs w:val="0"/>
          <w:noProof w:val="0"/>
          <w:color w:val="1D1D1D"/>
          <w:lang w:bidi="sl-SI"/>
        </w:rPr>
        <w:t>so bile</w:t>
      </w:r>
      <w:r w:rsidRPr="00AE1C08">
        <w:rPr>
          <w:rFonts w:cs="Times New Roman"/>
          <w:bCs w:val="0"/>
          <w:noProof w:val="0"/>
          <w:color w:val="1D1D1D"/>
          <w:lang w:bidi="sl-SI"/>
        </w:rPr>
        <w:t xml:space="preserve"> zaključ</w:t>
      </w:r>
      <w:r w:rsidR="00056990">
        <w:rPr>
          <w:rFonts w:cs="Times New Roman"/>
          <w:bCs w:val="0"/>
          <w:noProof w:val="0"/>
          <w:color w:val="1D1D1D"/>
          <w:lang w:bidi="sl-SI"/>
        </w:rPr>
        <w:t>ene</w:t>
      </w:r>
      <w:r w:rsidRPr="00AE1C08">
        <w:rPr>
          <w:rFonts w:cs="Times New Roman"/>
          <w:bCs w:val="0"/>
          <w:noProof w:val="0"/>
          <w:color w:val="1D1D1D"/>
          <w:lang w:bidi="sl-SI"/>
        </w:rPr>
        <w:t xml:space="preserve"> vse intervencije;</w:t>
      </w:r>
    </w:p>
    <w:p w14:paraId="79A915A7" w14:textId="6C106898"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uspešno </w:t>
      </w:r>
      <w:r w:rsidR="00056990">
        <w:rPr>
          <w:rFonts w:cs="Times New Roman"/>
          <w:bCs w:val="0"/>
          <w:noProof w:val="0"/>
          <w:color w:val="1D1D1D"/>
          <w:lang w:bidi="sl-SI"/>
        </w:rPr>
        <w:t>je bil izveden</w:t>
      </w:r>
      <w:r w:rsidRPr="00AE1C08">
        <w:rPr>
          <w:rFonts w:cs="Times New Roman"/>
          <w:bCs w:val="0"/>
          <w:noProof w:val="0"/>
          <w:color w:val="1D1D1D"/>
          <w:lang w:bidi="sl-SI"/>
        </w:rPr>
        <w:t xml:space="preserve"> postopek nabave AC - gasilske avtocisterne;</w:t>
      </w:r>
    </w:p>
    <w:p w14:paraId="66B0A146" w14:textId="52C8666D"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w:t>
      </w:r>
      <w:r w:rsidR="00056990">
        <w:rPr>
          <w:rFonts w:cs="Times New Roman"/>
          <w:bCs w:val="0"/>
          <w:noProof w:val="0"/>
          <w:color w:val="1D1D1D"/>
          <w:lang w:bidi="sl-SI"/>
        </w:rPr>
        <w:t xml:space="preserve">nabavljena je bila </w:t>
      </w:r>
      <w:r w:rsidRPr="00AE1C08">
        <w:rPr>
          <w:rFonts w:cs="Times New Roman"/>
          <w:bCs w:val="0"/>
          <w:noProof w:val="0"/>
          <w:color w:val="1D1D1D"/>
          <w:lang w:bidi="sl-SI"/>
        </w:rPr>
        <w:t>vs</w:t>
      </w:r>
      <w:r w:rsidR="00297ABD">
        <w:rPr>
          <w:rFonts w:cs="Times New Roman"/>
          <w:bCs w:val="0"/>
          <w:noProof w:val="0"/>
          <w:color w:val="1D1D1D"/>
          <w:lang w:bidi="sl-SI"/>
        </w:rPr>
        <w:t>a</w:t>
      </w:r>
      <w:r w:rsidRPr="00AE1C08">
        <w:rPr>
          <w:rFonts w:cs="Times New Roman"/>
          <w:bCs w:val="0"/>
          <w:noProof w:val="0"/>
          <w:color w:val="1D1D1D"/>
          <w:lang w:bidi="sl-SI"/>
        </w:rPr>
        <w:t xml:space="preserve"> načrtovan</w:t>
      </w:r>
      <w:r w:rsidR="00056990">
        <w:rPr>
          <w:rFonts w:cs="Times New Roman"/>
          <w:bCs w:val="0"/>
          <w:noProof w:val="0"/>
          <w:color w:val="1D1D1D"/>
          <w:lang w:bidi="sl-SI"/>
        </w:rPr>
        <w:t>a</w:t>
      </w:r>
      <w:r w:rsidRPr="00AE1C08">
        <w:rPr>
          <w:rFonts w:cs="Times New Roman"/>
          <w:bCs w:val="0"/>
          <w:noProof w:val="0"/>
          <w:color w:val="1D1D1D"/>
          <w:lang w:bidi="sl-SI"/>
        </w:rPr>
        <w:t xml:space="preserve"> gasilsk</w:t>
      </w:r>
      <w:r w:rsidR="00056990">
        <w:rPr>
          <w:rFonts w:cs="Times New Roman"/>
          <w:bCs w:val="0"/>
          <w:noProof w:val="0"/>
          <w:color w:val="1D1D1D"/>
          <w:lang w:bidi="sl-SI"/>
        </w:rPr>
        <w:t>a</w:t>
      </w:r>
      <w:r w:rsidRPr="00AE1C08">
        <w:rPr>
          <w:rFonts w:cs="Times New Roman"/>
          <w:bCs w:val="0"/>
          <w:noProof w:val="0"/>
          <w:color w:val="1D1D1D"/>
          <w:lang w:bidi="sl-SI"/>
        </w:rPr>
        <w:t xml:space="preserve"> oprem</w:t>
      </w:r>
      <w:r w:rsidR="00056990">
        <w:rPr>
          <w:rFonts w:cs="Times New Roman"/>
          <w:bCs w:val="0"/>
          <w:noProof w:val="0"/>
          <w:color w:val="1D1D1D"/>
          <w:lang w:bidi="sl-SI"/>
        </w:rPr>
        <w:t>a</w:t>
      </w:r>
      <w:r w:rsidRPr="00AE1C08">
        <w:rPr>
          <w:rFonts w:cs="Times New Roman"/>
          <w:bCs w:val="0"/>
          <w:noProof w:val="0"/>
          <w:color w:val="1D1D1D"/>
          <w:lang w:bidi="sl-SI"/>
        </w:rPr>
        <w:t xml:space="preserve"> s sredstvi požarnega sklada ter URSZR;</w:t>
      </w:r>
    </w:p>
    <w:p w14:paraId="2127F324" w14:textId="6C636138"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w:t>
      </w:r>
      <w:r w:rsidR="00C2523F">
        <w:rPr>
          <w:rFonts w:cs="Times New Roman"/>
          <w:bCs w:val="0"/>
          <w:noProof w:val="0"/>
          <w:color w:val="1D1D1D"/>
          <w:lang w:bidi="sl-SI"/>
        </w:rPr>
        <w:t xml:space="preserve">ažurirana je bila nova </w:t>
      </w:r>
      <w:r w:rsidRPr="00AE1C08">
        <w:rPr>
          <w:rFonts w:cs="Times New Roman"/>
          <w:bCs w:val="0"/>
          <w:noProof w:val="0"/>
          <w:color w:val="1D1D1D"/>
          <w:lang w:bidi="sl-SI"/>
        </w:rPr>
        <w:t>Sistemizacij</w:t>
      </w:r>
      <w:r w:rsidR="00C2523F">
        <w:rPr>
          <w:rFonts w:cs="Times New Roman"/>
          <w:bCs w:val="0"/>
          <w:noProof w:val="0"/>
          <w:color w:val="1D1D1D"/>
          <w:lang w:bidi="sl-SI"/>
        </w:rPr>
        <w:t>a</w:t>
      </w:r>
      <w:r w:rsidRPr="00AE1C08">
        <w:rPr>
          <w:rFonts w:cs="Times New Roman"/>
          <w:bCs w:val="0"/>
          <w:noProof w:val="0"/>
          <w:color w:val="1D1D1D"/>
          <w:lang w:bidi="sl-SI"/>
        </w:rPr>
        <w:t xml:space="preserve"> delovnih mest (več v nadaljevanju);</w:t>
      </w:r>
    </w:p>
    <w:p w14:paraId="14A77775" w14:textId="3B020051"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w:t>
      </w:r>
      <w:r w:rsidR="00B50B4B">
        <w:rPr>
          <w:rFonts w:cs="Times New Roman"/>
          <w:bCs w:val="0"/>
          <w:noProof w:val="0"/>
          <w:color w:val="1D1D1D"/>
          <w:lang w:bidi="sl-SI"/>
        </w:rPr>
        <w:t xml:space="preserve">javni zavod je </w:t>
      </w:r>
      <w:r w:rsidRPr="00AE1C08">
        <w:rPr>
          <w:rFonts w:cs="Times New Roman"/>
          <w:bCs w:val="0"/>
          <w:noProof w:val="0"/>
          <w:color w:val="1D1D1D"/>
          <w:lang w:bidi="sl-SI"/>
        </w:rPr>
        <w:t xml:space="preserve">aktivno začeli </w:t>
      </w:r>
      <w:r w:rsidR="00297ABD">
        <w:rPr>
          <w:rFonts w:cs="Times New Roman"/>
          <w:bCs w:val="0"/>
          <w:noProof w:val="0"/>
          <w:color w:val="1D1D1D"/>
          <w:lang w:bidi="sl-SI"/>
        </w:rPr>
        <w:t xml:space="preserve">pripravljati </w:t>
      </w:r>
      <w:r w:rsidRPr="00AE1C08">
        <w:rPr>
          <w:rFonts w:cs="Times New Roman"/>
          <w:bCs w:val="0"/>
          <w:noProof w:val="0"/>
          <w:color w:val="1D1D1D"/>
          <w:lang w:bidi="sl-SI"/>
        </w:rPr>
        <w:t>tehničn</w:t>
      </w:r>
      <w:r w:rsidR="00297ABD">
        <w:rPr>
          <w:rFonts w:cs="Times New Roman"/>
          <w:bCs w:val="0"/>
          <w:noProof w:val="0"/>
          <w:color w:val="1D1D1D"/>
          <w:lang w:bidi="sl-SI"/>
        </w:rPr>
        <w:t>o</w:t>
      </w:r>
      <w:r w:rsidRPr="00AE1C08">
        <w:rPr>
          <w:rFonts w:cs="Times New Roman"/>
          <w:bCs w:val="0"/>
          <w:noProof w:val="0"/>
          <w:color w:val="1D1D1D"/>
          <w:lang w:bidi="sl-SI"/>
        </w:rPr>
        <w:t xml:space="preserve"> dokumentacij</w:t>
      </w:r>
      <w:r w:rsidR="00297ABD">
        <w:rPr>
          <w:rFonts w:cs="Times New Roman"/>
          <w:bCs w:val="0"/>
          <w:noProof w:val="0"/>
          <w:color w:val="1D1D1D"/>
          <w:lang w:bidi="sl-SI"/>
        </w:rPr>
        <w:t>o</w:t>
      </w:r>
      <w:r w:rsidRPr="00AE1C08">
        <w:rPr>
          <w:rFonts w:cs="Times New Roman"/>
          <w:bCs w:val="0"/>
          <w:noProof w:val="0"/>
          <w:color w:val="1D1D1D"/>
          <w:lang w:bidi="sl-SI"/>
        </w:rPr>
        <w:t xml:space="preserve"> za nabavo vozila GVGP-2 (gasilsko vozilo za gozdne požare),</w:t>
      </w:r>
    </w:p>
    <w:p w14:paraId="779E9300" w14:textId="30C5EEF3"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izved</w:t>
      </w:r>
      <w:r w:rsidR="00297ABD">
        <w:rPr>
          <w:rFonts w:cs="Times New Roman"/>
          <w:bCs w:val="0"/>
          <w:noProof w:val="0"/>
          <w:color w:val="1D1D1D"/>
          <w:lang w:bidi="sl-SI"/>
        </w:rPr>
        <w:t xml:space="preserve">en je bil </w:t>
      </w:r>
      <w:r w:rsidRPr="00AE1C08">
        <w:rPr>
          <w:rFonts w:cs="Times New Roman"/>
          <w:bCs w:val="0"/>
          <w:noProof w:val="0"/>
          <w:color w:val="1D1D1D"/>
          <w:lang w:bidi="sl-SI"/>
        </w:rPr>
        <w:t xml:space="preserve">postopek naročila za vozilo GVM - VW </w:t>
      </w:r>
      <w:proofErr w:type="spellStart"/>
      <w:r w:rsidRPr="00AE1C08">
        <w:rPr>
          <w:rFonts w:cs="Times New Roman"/>
          <w:bCs w:val="0"/>
          <w:noProof w:val="0"/>
          <w:color w:val="1D1D1D"/>
          <w:lang w:bidi="sl-SI"/>
        </w:rPr>
        <w:t>Caddy</w:t>
      </w:r>
      <w:proofErr w:type="spellEnd"/>
      <w:r w:rsidRPr="00AE1C08">
        <w:rPr>
          <w:rFonts w:cs="Times New Roman"/>
          <w:bCs w:val="0"/>
          <w:noProof w:val="0"/>
          <w:color w:val="1D1D1D"/>
          <w:lang w:bidi="sl-SI"/>
        </w:rPr>
        <w:t xml:space="preserve"> (gasilsko vozilo za prevoz oseb);</w:t>
      </w:r>
    </w:p>
    <w:p w14:paraId="197A5C7E" w14:textId="6BA22F40"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s strani Službe za okolje in prostor (MONG) </w:t>
      </w:r>
      <w:r w:rsidR="00E00EDC">
        <w:rPr>
          <w:rFonts w:cs="Times New Roman"/>
          <w:bCs w:val="0"/>
          <w:noProof w:val="0"/>
          <w:color w:val="1D1D1D"/>
          <w:lang w:bidi="sl-SI"/>
        </w:rPr>
        <w:t>je javni zavod</w:t>
      </w:r>
      <w:r w:rsidRPr="00AE1C08">
        <w:rPr>
          <w:rFonts w:cs="Times New Roman"/>
          <w:bCs w:val="0"/>
          <w:noProof w:val="0"/>
          <w:color w:val="1D1D1D"/>
          <w:lang w:bidi="sl-SI"/>
        </w:rPr>
        <w:t xml:space="preserve"> pridobili pozitivno mnenje za postavitev začasnega šotora dimenzij 10x15 metrov za garažiranje gasilskih vozil na območju gasilskega doma Nova Gorica. V nadaljevanju sledi postopek ureditve;</w:t>
      </w:r>
    </w:p>
    <w:p w14:paraId="063AFA0F" w14:textId="567C5974"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nadgr</w:t>
      </w:r>
      <w:r w:rsidR="00E00EDC">
        <w:rPr>
          <w:rFonts w:cs="Times New Roman"/>
          <w:bCs w:val="0"/>
          <w:noProof w:val="0"/>
          <w:color w:val="1D1D1D"/>
          <w:lang w:bidi="sl-SI"/>
        </w:rPr>
        <w:t xml:space="preserve">ajeno je bilo </w:t>
      </w:r>
      <w:r w:rsidRPr="00AE1C08">
        <w:rPr>
          <w:rFonts w:cs="Times New Roman"/>
          <w:bCs w:val="0"/>
          <w:noProof w:val="0"/>
          <w:color w:val="1D1D1D"/>
          <w:lang w:bidi="sl-SI"/>
        </w:rPr>
        <w:t>sodelovanje s prostovoljnimi gasilskimi društvi tako, da veliko število zaposlenih v zavodu usposablja prostovoljne gasilce za pridobitev najrazličnejših gasilskih znanj;</w:t>
      </w:r>
    </w:p>
    <w:p w14:paraId="1F97D257" w14:textId="6BA4B3C6"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izved</w:t>
      </w:r>
      <w:r w:rsidR="00EA1947">
        <w:rPr>
          <w:rFonts w:cs="Times New Roman"/>
          <w:bCs w:val="0"/>
          <w:noProof w:val="0"/>
          <w:color w:val="1D1D1D"/>
          <w:lang w:bidi="sl-SI"/>
        </w:rPr>
        <w:t xml:space="preserve">en je bil </w:t>
      </w:r>
      <w:r w:rsidRPr="00AE1C08">
        <w:rPr>
          <w:rFonts w:cs="Times New Roman"/>
          <w:bCs w:val="0"/>
          <w:noProof w:val="0"/>
          <w:color w:val="1D1D1D"/>
          <w:lang w:bidi="sl-SI"/>
        </w:rPr>
        <w:t>postopek za nabavo večnamenskega modula - kotalnega prekucnika s ponjavo in nakladalno ploščadjo, v sklopu projekta SANITAS;</w:t>
      </w:r>
    </w:p>
    <w:p w14:paraId="1E6D129F" w14:textId="39ED9F8E"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w:t>
      </w:r>
      <w:r w:rsidR="00EA1947">
        <w:rPr>
          <w:rFonts w:cs="Times New Roman"/>
          <w:bCs w:val="0"/>
          <w:noProof w:val="0"/>
          <w:color w:val="1D1D1D"/>
          <w:lang w:bidi="sl-SI"/>
        </w:rPr>
        <w:t xml:space="preserve">izveden je bil </w:t>
      </w:r>
      <w:r w:rsidRPr="00AE1C08">
        <w:rPr>
          <w:rFonts w:cs="Times New Roman"/>
          <w:bCs w:val="0"/>
          <w:noProof w:val="0"/>
          <w:color w:val="1D1D1D"/>
          <w:lang w:bidi="sl-SI"/>
        </w:rPr>
        <w:t xml:space="preserve"> postopek za nabavo opreme za postavitev delovišča zdravstvene oskrbe (svetlobni stolpi, električni podaljški itd.) _v sklopu projekta SANITAS;</w:t>
      </w:r>
    </w:p>
    <w:p w14:paraId="59702E62" w14:textId="11DC6384"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w:t>
      </w:r>
      <w:r w:rsidR="00A82871">
        <w:rPr>
          <w:rFonts w:cs="Times New Roman"/>
          <w:bCs w:val="0"/>
          <w:noProof w:val="0"/>
          <w:color w:val="1D1D1D"/>
          <w:lang w:bidi="sl-SI"/>
        </w:rPr>
        <w:t xml:space="preserve">javni zavod je </w:t>
      </w:r>
      <w:r w:rsidRPr="00AE1C08">
        <w:rPr>
          <w:rFonts w:cs="Times New Roman"/>
          <w:bCs w:val="0"/>
          <w:noProof w:val="0"/>
          <w:color w:val="1D1D1D"/>
          <w:lang w:bidi="sl-SI"/>
        </w:rPr>
        <w:t>uspešno pridobil 2 nova EU projekta, in sicer FIRESAFENET (kot Vodilni partner) in SANITAS (kot pridružen partner);</w:t>
      </w:r>
    </w:p>
    <w:p w14:paraId="15C9F7DB" w14:textId="08219B0E" w:rsidR="00971000" w:rsidRPr="00AE1C08" w:rsidRDefault="00971000" w:rsidP="00EA1947">
      <w:pPr>
        <w:widowControl w:val="0"/>
        <w:spacing w:after="0" w:line="240" w:lineRule="auto"/>
        <w:ind w:left="709"/>
        <w:rPr>
          <w:rFonts w:cs="Times New Roman"/>
          <w:bCs w:val="0"/>
          <w:noProof w:val="0"/>
          <w:color w:val="1D1D1D"/>
          <w:lang w:bidi="sl-SI"/>
        </w:rPr>
      </w:pPr>
      <w:r w:rsidRPr="00AE1C08">
        <w:rPr>
          <w:rFonts w:cs="Times New Roman"/>
          <w:bCs w:val="0"/>
          <w:noProof w:val="0"/>
          <w:color w:val="1D1D1D"/>
          <w:lang w:bidi="sl-SI"/>
        </w:rPr>
        <w:t xml:space="preserve">• </w:t>
      </w:r>
      <w:r w:rsidR="00A82871">
        <w:rPr>
          <w:rFonts w:cs="Times New Roman"/>
          <w:bCs w:val="0"/>
          <w:noProof w:val="0"/>
          <w:color w:val="1D1D1D"/>
          <w:lang w:bidi="sl-SI"/>
        </w:rPr>
        <w:t xml:space="preserve">javni </w:t>
      </w:r>
      <w:r w:rsidRPr="00AE1C08">
        <w:rPr>
          <w:rFonts w:cs="Times New Roman"/>
          <w:bCs w:val="0"/>
          <w:noProof w:val="0"/>
          <w:color w:val="1D1D1D"/>
          <w:lang w:bidi="sl-SI"/>
        </w:rPr>
        <w:t xml:space="preserve">zavod je uspešno nadaljeval z izvajanjem štirih (4) EU projektov, in sicer: IN4Safety, KARST-SAFE (kot partner v projektu), KARST FIREWALL 5.0 in KARST ADAPT (kot pridružen partner v projektu) v okviru programa </w:t>
      </w:r>
      <w:proofErr w:type="spellStart"/>
      <w:r w:rsidRPr="00AE1C08">
        <w:rPr>
          <w:rFonts w:cs="Times New Roman"/>
          <w:bCs w:val="0"/>
          <w:noProof w:val="0"/>
          <w:color w:val="1D1D1D"/>
          <w:lang w:bidi="sl-SI"/>
        </w:rPr>
        <w:t>Interreg</w:t>
      </w:r>
      <w:proofErr w:type="spellEnd"/>
      <w:r w:rsidRPr="00AE1C08">
        <w:rPr>
          <w:rFonts w:cs="Times New Roman"/>
          <w:bCs w:val="0"/>
          <w:noProof w:val="0"/>
          <w:color w:val="1D1D1D"/>
          <w:lang w:bidi="sl-SI"/>
        </w:rPr>
        <w:t xml:space="preserve"> Italija- Slovenija.</w:t>
      </w:r>
    </w:p>
    <w:p w14:paraId="68A1B485" w14:textId="34DE67C0" w:rsidR="00FA0E09" w:rsidRPr="00803E52" w:rsidRDefault="00FA0E09" w:rsidP="00FA0E09">
      <w:pPr>
        <w:spacing w:after="260" w:line="240" w:lineRule="auto"/>
        <w:ind w:left="705"/>
        <w:rPr>
          <w:bCs w:val="0"/>
          <w:noProof w:val="0"/>
        </w:rPr>
      </w:pPr>
      <w:r w:rsidRPr="00803E52">
        <w:rPr>
          <w:bCs w:val="0"/>
          <w:noProof w:val="0"/>
        </w:rPr>
        <w:t xml:space="preserve">• V letu 2025 </w:t>
      </w:r>
      <w:r w:rsidR="003B751F">
        <w:rPr>
          <w:bCs w:val="0"/>
          <w:noProof w:val="0"/>
        </w:rPr>
        <w:t xml:space="preserve">je javni zavod </w:t>
      </w:r>
      <w:r w:rsidRPr="00803E52">
        <w:rPr>
          <w:bCs w:val="0"/>
          <w:noProof w:val="0"/>
        </w:rPr>
        <w:t xml:space="preserve">prijavili pet (5) novih projektov na različne razpise, in sicer tri (3) projekte v okviru programa EU Horizont </w:t>
      </w:r>
      <w:proofErr w:type="spellStart"/>
      <w:r w:rsidRPr="00803E52">
        <w:rPr>
          <w:bCs w:val="0"/>
          <w:noProof w:val="0"/>
        </w:rPr>
        <w:t>Europe</w:t>
      </w:r>
      <w:proofErr w:type="spellEnd"/>
      <w:r w:rsidRPr="00803E52">
        <w:rPr>
          <w:bCs w:val="0"/>
          <w:noProof w:val="0"/>
        </w:rPr>
        <w:t xml:space="preserve">, en (1) projekt v okviru programa </w:t>
      </w:r>
      <w:proofErr w:type="spellStart"/>
      <w:r w:rsidRPr="00803E52">
        <w:rPr>
          <w:bCs w:val="0"/>
          <w:noProof w:val="0"/>
        </w:rPr>
        <w:t>Erasmus</w:t>
      </w:r>
      <w:proofErr w:type="spellEnd"/>
      <w:r w:rsidRPr="00803E52">
        <w:rPr>
          <w:bCs w:val="0"/>
          <w:noProof w:val="0"/>
        </w:rPr>
        <w:t xml:space="preserve">+ ter en (1) projekt v okviru programa </w:t>
      </w:r>
      <w:proofErr w:type="spellStart"/>
      <w:r w:rsidRPr="00803E52">
        <w:rPr>
          <w:bCs w:val="0"/>
          <w:noProof w:val="0"/>
        </w:rPr>
        <w:t>Interreg</w:t>
      </w:r>
      <w:proofErr w:type="spellEnd"/>
      <w:r w:rsidRPr="00803E52">
        <w:rPr>
          <w:bCs w:val="0"/>
          <w:noProof w:val="0"/>
        </w:rPr>
        <w:t xml:space="preserve"> Central </w:t>
      </w:r>
      <w:proofErr w:type="spellStart"/>
      <w:r w:rsidRPr="00803E52">
        <w:rPr>
          <w:bCs w:val="0"/>
          <w:noProof w:val="0"/>
        </w:rPr>
        <w:t>Europe</w:t>
      </w:r>
      <w:proofErr w:type="spellEnd"/>
      <w:r w:rsidR="004E5745">
        <w:rPr>
          <w:bCs w:val="0"/>
          <w:noProof w:val="0"/>
        </w:rPr>
        <w:t>.</w:t>
      </w:r>
    </w:p>
    <w:p w14:paraId="7BDA4E98" w14:textId="4806B093" w:rsidR="00FA0E09" w:rsidRPr="00803E52" w:rsidRDefault="00FA0E09" w:rsidP="00FA0E09">
      <w:pPr>
        <w:spacing w:after="260" w:line="240" w:lineRule="auto"/>
        <w:ind w:left="705"/>
        <w:rPr>
          <w:bCs w:val="0"/>
          <w:noProof w:val="0"/>
        </w:rPr>
      </w:pPr>
      <w:r w:rsidRPr="00803E52">
        <w:rPr>
          <w:bCs w:val="0"/>
          <w:noProof w:val="0"/>
        </w:rPr>
        <w:lastRenderedPageBreak/>
        <w:t xml:space="preserve">• </w:t>
      </w:r>
      <w:r w:rsidRPr="00906441">
        <w:rPr>
          <w:bCs w:val="0"/>
          <w:noProof w:val="0"/>
        </w:rPr>
        <w:t>bde</w:t>
      </w:r>
      <w:r w:rsidR="00192E1F" w:rsidRPr="00906441">
        <w:rPr>
          <w:bCs w:val="0"/>
          <w:noProof w:val="0"/>
        </w:rPr>
        <w:t>nje</w:t>
      </w:r>
      <w:r w:rsidRPr="00906441">
        <w:rPr>
          <w:bCs w:val="0"/>
          <w:noProof w:val="0"/>
        </w:rPr>
        <w:t xml:space="preserve"> nad finančnimi sredstvi </w:t>
      </w:r>
      <w:r w:rsidRPr="00803E52">
        <w:rPr>
          <w:bCs w:val="0"/>
          <w:noProof w:val="0"/>
        </w:rPr>
        <w:t>za investicije in tako v letu 2025 prihranili 247.292,34 € za nakup novega vozila HTV-2D ter za naslednja vozila po planu nabav.</w:t>
      </w:r>
    </w:p>
    <w:p w14:paraId="086BE8C9" w14:textId="6E01408D" w:rsidR="00FB5AF8" w:rsidRPr="00803E52" w:rsidRDefault="00FB5AF8" w:rsidP="007B699E">
      <w:pPr>
        <w:spacing w:after="0" w:line="240" w:lineRule="auto"/>
        <w:ind w:left="703"/>
        <w:rPr>
          <w:bCs w:val="0"/>
          <w:noProof w:val="0"/>
        </w:rPr>
      </w:pPr>
      <w:r w:rsidRPr="00803E52">
        <w:rPr>
          <w:bCs w:val="0"/>
          <w:noProof w:val="0"/>
        </w:rPr>
        <w:t xml:space="preserve">Direktor je zaradi ugotovljenih neskladij v razporeditvi zaposlenih, saj nekateri niso bili razporejeni na ustrezna sistemizirana delovna mesta oziroma ta niso bila usklajena z veljavno zakonodajo in kolektivno pogodbo, sprejel odločitev o celoviti prenovi sistemizacije delovnih mest v Gasilski enoti Nova Gorica. V ta namen je </w:t>
      </w:r>
      <w:r w:rsidR="003F573F">
        <w:rPr>
          <w:bCs w:val="0"/>
          <w:noProof w:val="0"/>
        </w:rPr>
        <w:t xml:space="preserve">bila </w:t>
      </w:r>
      <w:r w:rsidRPr="00803E52">
        <w:rPr>
          <w:bCs w:val="0"/>
          <w:noProof w:val="0"/>
        </w:rPr>
        <w:t>imenova</w:t>
      </w:r>
      <w:r w:rsidR="003F573F">
        <w:rPr>
          <w:bCs w:val="0"/>
          <w:noProof w:val="0"/>
        </w:rPr>
        <w:t>na</w:t>
      </w:r>
      <w:r w:rsidRPr="00803E52">
        <w:rPr>
          <w:bCs w:val="0"/>
          <w:noProof w:val="0"/>
        </w:rPr>
        <w:t xml:space="preserve"> delovn</w:t>
      </w:r>
      <w:r w:rsidR="003F573F">
        <w:rPr>
          <w:bCs w:val="0"/>
          <w:noProof w:val="0"/>
        </w:rPr>
        <w:t>a</w:t>
      </w:r>
      <w:r w:rsidRPr="00803E52">
        <w:rPr>
          <w:bCs w:val="0"/>
          <w:noProof w:val="0"/>
        </w:rPr>
        <w:t xml:space="preserve"> skupin</w:t>
      </w:r>
      <w:r w:rsidR="003F573F">
        <w:rPr>
          <w:bCs w:val="0"/>
          <w:noProof w:val="0"/>
        </w:rPr>
        <w:t>a</w:t>
      </w:r>
      <w:r w:rsidRPr="00803E52">
        <w:rPr>
          <w:bCs w:val="0"/>
          <w:noProof w:val="0"/>
        </w:rPr>
        <w:t>, ki je izvedla pregled obstoječega stanja in pripravila predlog nove, posodobljene sistemizacije.</w:t>
      </w:r>
    </w:p>
    <w:p w14:paraId="2ECE2BBB" w14:textId="77777777" w:rsidR="00FB5AF8" w:rsidRDefault="00FB5AF8" w:rsidP="007B699E">
      <w:pPr>
        <w:spacing w:after="0" w:line="240" w:lineRule="auto"/>
        <w:ind w:left="703"/>
        <w:rPr>
          <w:bCs w:val="0"/>
          <w:noProof w:val="0"/>
        </w:rPr>
      </w:pPr>
      <w:r w:rsidRPr="00803E52">
        <w:rPr>
          <w:bCs w:val="0"/>
          <w:noProof w:val="0"/>
        </w:rPr>
        <w:t>Prenova je bila izvedena v sodelovanju z vodstvom, sindikatom in zaposlenimi ter usklajena z določili Kolektivne pogodbe za dejavnost poklicnega gasilstva in dejanskimi operativnimi potrebami enote. Direktor je z novo sistemizacijo zagotovil pravilno in zakonito razporeditev zaposlenih na ustrezna delovna mesta, jasno opredelitev nalog, odgovornosti in pogojev za zasedbo ter uredil pogoje za pregleden karierni razvoj zaposlenih.</w:t>
      </w:r>
    </w:p>
    <w:p w14:paraId="2F905929" w14:textId="77777777" w:rsidR="00A26C39" w:rsidRPr="00803E52" w:rsidRDefault="00A26C39" w:rsidP="007B699E">
      <w:pPr>
        <w:spacing w:after="0" w:line="240" w:lineRule="auto"/>
        <w:ind w:left="703"/>
        <w:rPr>
          <w:bCs w:val="0"/>
          <w:noProof w:val="0"/>
        </w:rPr>
      </w:pPr>
    </w:p>
    <w:p w14:paraId="36706E11" w14:textId="77777777" w:rsidR="00FB5AF8" w:rsidRPr="00803E52" w:rsidRDefault="00FB5AF8" w:rsidP="00FB5AF8">
      <w:pPr>
        <w:spacing w:after="260" w:line="240" w:lineRule="auto"/>
        <w:ind w:left="705"/>
        <w:rPr>
          <w:bCs w:val="0"/>
          <w:noProof w:val="0"/>
        </w:rPr>
      </w:pPr>
      <w:r w:rsidRPr="00803E52">
        <w:rPr>
          <w:bCs w:val="0"/>
          <w:noProof w:val="0"/>
        </w:rPr>
        <w:t>Direktor je prenovo sistemizacije tudi predstavil ustanoviteljem ter jim strokovno obrazložil razloge za spremembe, ugotovljena neskladja in prednosti nove ureditve. S tem je zagotovil transparentnost postopka ter uredil področje sistemizacije na način, ki omogoča večjo pravno skladnost, boljšo organizacijo dela ter dolgoročno stabilno in učinkovito delovanje Gasilske enote Nova Gorica.</w:t>
      </w:r>
    </w:p>
    <w:p w14:paraId="123B4072" w14:textId="53B0C50B" w:rsidR="00FB5AF8" w:rsidRPr="00803E52" w:rsidRDefault="00FB5AF8" w:rsidP="00FB5AF8">
      <w:pPr>
        <w:spacing w:after="260" w:line="240" w:lineRule="auto"/>
        <w:ind w:left="705"/>
        <w:rPr>
          <w:bCs w:val="0"/>
          <w:noProof w:val="0"/>
        </w:rPr>
      </w:pPr>
      <w:r w:rsidRPr="00803E52">
        <w:rPr>
          <w:bCs w:val="0"/>
          <w:noProof w:val="0"/>
        </w:rPr>
        <w:t>Z namenom dolgoročne in sistemske rešitve je direktor dne, 8. 8. 2025 na občine soustanoviteljice naslovil uradno pobudo za začetek aktivnosti za izgradnjo novega gasilskega doma. Pobuda</w:t>
      </w:r>
      <w:r w:rsidR="00EC6EFE">
        <w:rPr>
          <w:bCs w:val="0"/>
          <w:noProof w:val="0"/>
        </w:rPr>
        <w:t xml:space="preserve"> je</w:t>
      </w:r>
      <w:r w:rsidRPr="00803E52">
        <w:rPr>
          <w:bCs w:val="0"/>
          <w:noProof w:val="0"/>
        </w:rPr>
        <w:t xml:space="preserve"> temelji</w:t>
      </w:r>
      <w:r w:rsidR="00EC6EFE">
        <w:rPr>
          <w:bCs w:val="0"/>
          <w:noProof w:val="0"/>
        </w:rPr>
        <w:t>la</w:t>
      </w:r>
      <w:r w:rsidRPr="00803E52">
        <w:rPr>
          <w:bCs w:val="0"/>
          <w:noProof w:val="0"/>
        </w:rPr>
        <w:t xml:space="preserve"> na strokovnih, operativnih, varnostnih in finančnih razlogih ter izpostavlja nujnost zagotovitve sodobne, varne in funkcionalne infrastrukture, ki bo omogočala učinkovito izvajanje javne gasilske službe ter nadaljnji razvoj zavoda.</w:t>
      </w:r>
    </w:p>
    <w:p w14:paraId="062406B9" w14:textId="77777777" w:rsidR="00FB5AF8" w:rsidRPr="00803E52" w:rsidRDefault="00FB5AF8" w:rsidP="00D73A1E">
      <w:pPr>
        <w:spacing w:after="0" w:line="240" w:lineRule="auto"/>
        <w:ind w:left="703"/>
        <w:rPr>
          <w:bCs w:val="0"/>
          <w:noProof w:val="0"/>
        </w:rPr>
      </w:pPr>
      <w:r w:rsidRPr="00803E52">
        <w:rPr>
          <w:bCs w:val="0"/>
          <w:noProof w:val="0"/>
        </w:rPr>
        <w:t xml:space="preserve">V letu 2025 je direktor dodatno pristopil k iskanju možnih trajnih rešitev, 22.10. 2025 je podpredsedniku vlade in županu MONG naslovil pobudo za proučitev možnosti vključitve Poklicne gasilske enote v načrtovani razvoj območja nekdanjega </w:t>
      </w:r>
      <w:proofErr w:type="spellStart"/>
      <w:r w:rsidRPr="00803E52">
        <w:rPr>
          <w:bCs w:val="0"/>
          <w:noProof w:val="0"/>
        </w:rPr>
        <w:t>MlP</w:t>
      </w:r>
      <w:proofErr w:type="spellEnd"/>
      <w:r w:rsidRPr="00803E52">
        <w:rPr>
          <w:bCs w:val="0"/>
          <w:noProof w:val="0"/>
        </w:rPr>
        <w:t>-a v Novi Gorici, kjer je družba DSU d.o.o. objavila vabila za prodajo nepremičnin.</w:t>
      </w:r>
    </w:p>
    <w:p w14:paraId="2F228840" w14:textId="77777777" w:rsidR="00FB5AF8" w:rsidRPr="00803E52" w:rsidRDefault="00FB5AF8" w:rsidP="00D73A1E">
      <w:pPr>
        <w:spacing w:after="0" w:line="240" w:lineRule="auto"/>
        <w:ind w:left="703"/>
        <w:rPr>
          <w:bCs w:val="0"/>
          <w:noProof w:val="0"/>
        </w:rPr>
      </w:pPr>
      <w:r w:rsidRPr="00803E52">
        <w:rPr>
          <w:bCs w:val="0"/>
          <w:noProof w:val="0"/>
        </w:rPr>
        <w:t>Uprava Republike Slovenije za zaščito in reševanje - izpostava Nova Gorica načrtuje vzpostavitev nove regijske izpostave na tem območju.</w:t>
      </w:r>
    </w:p>
    <w:p w14:paraId="1DC14E7F" w14:textId="5AD1DD0F" w:rsidR="00105A0B" w:rsidRDefault="00FB5AF8" w:rsidP="00FB5AF8">
      <w:pPr>
        <w:spacing w:after="260" w:line="240" w:lineRule="auto"/>
        <w:ind w:left="705"/>
        <w:rPr>
          <w:bCs w:val="0"/>
          <w:noProof w:val="0"/>
        </w:rPr>
      </w:pPr>
      <w:r w:rsidRPr="00803E52">
        <w:rPr>
          <w:bCs w:val="0"/>
          <w:noProof w:val="0"/>
        </w:rPr>
        <w:t>Direktor je v pobudi izpostavil smiselnost celostnega pristopa in možnost vzpostavitve skupnega centra zaščite in reševanja, ki bi združeval ključne službe sistema zaščite in reševanja na eni lokaciji, vključno s Poklicno gasilsko enoto.</w:t>
      </w:r>
    </w:p>
    <w:p w14:paraId="52F9186F" w14:textId="6B7CEA66" w:rsidR="00466CAD" w:rsidRDefault="00466CAD" w:rsidP="001564DB">
      <w:pPr>
        <w:spacing w:after="0" w:line="240" w:lineRule="auto"/>
        <w:ind w:left="705"/>
        <w:rPr>
          <w:bCs w:val="0"/>
          <w:noProof w:val="0"/>
        </w:rPr>
      </w:pPr>
      <w:r>
        <w:rPr>
          <w:bCs w:val="0"/>
          <w:noProof w:val="0"/>
        </w:rPr>
        <w:t>Vzpostavitev skupnega centra zaščite in reševanja bi omogočila:</w:t>
      </w:r>
    </w:p>
    <w:p w14:paraId="56A2276B" w14:textId="11192728" w:rsidR="00466CAD" w:rsidRDefault="00091428" w:rsidP="001564DB">
      <w:pPr>
        <w:pStyle w:val="Odstavekseznama"/>
        <w:numPr>
          <w:ilvl w:val="0"/>
          <w:numId w:val="41"/>
        </w:numPr>
        <w:spacing w:after="0" w:line="240" w:lineRule="auto"/>
        <w:rPr>
          <w:bCs w:val="0"/>
          <w:noProof w:val="0"/>
        </w:rPr>
      </w:pPr>
      <w:r>
        <w:rPr>
          <w:bCs w:val="0"/>
          <w:noProof w:val="0"/>
        </w:rPr>
        <w:t>z</w:t>
      </w:r>
      <w:r w:rsidRPr="00091428">
        <w:rPr>
          <w:bCs w:val="0"/>
          <w:noProof w:val="0"/>
        </w:rPr>
        <w:t xml:space="preserve">družitev ključnih služb (URSZR, klicni </w:t>
      </w:r>
      <w:r>
        <w:rPr>
          <w:bCs w:val="0"/>
          <w:noProof w:val="0"/>
        </w:rPr>
        <w:t>center, poklicno gasilstvo in druge službe sistema zaščite in reševanje) na eni lokaciji,</w:t>
      </w:r>
    </w:p>
    <w:p w14:paraId="4D9DB51B" w14:textId="39E6DDF2" w:rsidR="00091428" w:rsidRDefault="00091428" w:rsidP="001564DB">
      <w:pPr>
        <w:pStyle w:val="Odstavekseznama"/>
        <w:numPr>
          <w:ilvl w:val="0"/>
          <w:numId w:val="41"/>
        </w:numPr>
        <w:spacing w:after="0" w:line="240" w:lineRule="auto"/>
        <w:rPr>
          <w:bCs w:val="0"/>
          <w:noProof w:val="0"/>
        </w:rPr>
      </w:pPr>
      <w:r>
        <w:rPr>
          <w:bCs w:val="0"/>
          <w:noProof w:val="0"/>
        </w:rPr>
        <w:t>vzpostavitev sodobne infrastrukture za vozila, kontejnerje in specializiran</w:t>
      </w:r>
      <w:r w:rsidR="00A65680">
        <w:rPr>
          <w:bCs w:val="0"/>
          <w:noProof w:val="0"/>
        </w:rPr>
        <w:t>o opremo, namenjeno ukrepanju ob naravnih in drugih nesrečah,</w:t>
      </w:r>
    </w:p>
    <w:p w14:paraId="0D8B7084" w14:textId="090056B1" w:rsidR="00A65680" w:rsidRDefault="00A65680" w:rsidP="00091428">
      <w:pPr>
        <w:pStyle w:val="Odstavekseznama"/>
        <w:numPr>
          <w:ilvl w:val="0"/>
          <w:numId w:val="41"/>
        </w:numPr>
        <w:spacing w:after="260" w:line="240" w:lineRule="auto"/>
        <w:rPr>
          <w:bCs w:val="0"/>
          <w:noProof w:val="0"/>
        </w:rPr>
      </w:pPr>
      <w:r>
        <w:rPr>
          <w:bCs w:val="0"/>
          <w:noProof w:val="0"/>
        </w:rPr>
        <w:t>boljše pogoje za usposabljanje, logistiko in skupno delovanje služb ter</w:t>
      </w:r>
    </w:p>
    <w:p w14:paraId="47D265BF" w14:textId="31B4A797" w:rsidR="00A65680" w:rsidRDefault="00A65680" w:rsidP="00091428">
      <w:pPr>
        <w:pStyle w:val="Odstavekseznama"/>
        <w:numPr>
          <w:ilvl w:val="0"/>
          <w:numId w:val="41"/>
        </w:numPr>
        <w:spacing w:after="260" w:line="240" w:lineRule="auto"/>
        <w:rPr>
          <w:bCs w:val="0"/>
          <w:noProof w:val="0"/>
        </w:rPr>
      </w:pPr>
      <w:r>
        <w:rPr>
          <w:bCs w:val="0"/>
          <w:noProof w:val="0"/>
        </w:rPr>
        <w:t>učinkovi</w:t>
      </w:r>
      <w:r w:rsidR="00BB1DD2">
        <w:rPr>
          <w:bCs w:val="0"/>
          <w:noProof w:val="0"/>
        </w:rPr>
        <w:t xml:space="preserve">tejšo organizacijo odziva ob nesrečah v regiji. </w:t>
      </w:r>
    </w:p>
    <w:p w14:paraId="675FF5A0" w14:textId="4D31AEAA" w:rsidR="004B205F" w:rsidRPr="00803E52" w:rsidRDefault="00BB1DD2" w:rsidP="00174188">
      <w:pPr>
        <w:spacing w:after="260" w:line="240" w:lineRule="auto"/>
        <w:ind w:left="703"/>
        <w:rPr>
          <w:bCs w:val="0"/>
          <w:noProof w:val="0"/>
        </w:rPr>
      </w:pPr>
      <w:r>
        <w:rPr>
          <w:bCs w:val="0"/>
          <w:noProof w:val="0"/>
        </w:rPr>
        <w:t xml:space="preserve">Poklicna gasilska enota Nova Gorica je v letu 2025 izvedla 443 posredovanj, ki so bila evidentirana v 440 intervencijah. Od tega je bilo 438 intervencij opravljanih </w:t>
      </w:r>
      <w:r w:rsidR="00174188">
        <w:rPr>
          <w:bCs w:val="0"/>
          <w:noProof w:val="0"/>
        </w:rPr>
        <w:t xml:space="preserve">na območju občin soustanoviteljic zavoda, 2 intervenciji pa v </w:t>
      </w:r>
      <w:r w:rsidR="004B205F" w:rsidRPr="00803E52">
        <w:rPr>
          <w:bCs w:val="0"/>
          <w:noProof w:val="0"/>
        </w:rPr>
        <w:t xml:space="preserve">Občini Ajdovščina. Razlika med številom posredovanj in številom intervencij izhaja iz dejstva, da je bilo pri posameznih intervencijah zaradi njihovega večdnevnega poteka potrebno večkratno posredovanje oziroma več izvozov. V letu 2025 so bili evidentirani trije </w:t>
      </w:r>
      <w:r w:rsidR="004B205F" w:rsidRPr="00803E52">
        <w:rPr>
          <w:bCs w:val="0"/>
          <w:noProof w:val="0"/>
        </w:rPr>
        <w:lastRenderedPageBreak/>
        <w:t>(3) takšni primeri, pri čemer je v vseh treh šlo za intervencije zaradi sproščanja nevarnih snovi.</w:t>
      </w:r>
    </w:p>
    <w:p w14:paraId="675EE54C" w14:textId="77777777" w:rsidR="004B205F" w:rsidRPr="00803E52" w:rsidRDefault="004B205F" w:rsidP="004B205F">
      <w:pPr>
        <w:spacing w:after="260" w:line="240" w:lineRule="auto"/>
        <w:ind w:left="705"/>
        <w:rPr>
          <w:bCs w:val="0"/>
          <w:noProof w:val="0"/>
        </w:rPr>
      </w:pPr>
      <w:r w:rsidRPr="00803E52">
        <w:rPr>
          <w:bCs w:val="0"/>
          <w:noProof w:val="0"/>
        </w:rPr>
        <w:t>V letu 2025 na srečo nismo obravnavali nobene večje oziroma kompleksnejše intervencije, ki bi zahtevala obsežnejše aktiviranje sil ali dolgotrajnejše posredovanje.</w:t>
      </w:r>
    </w:p>
    <w:p w14:paraId="3E8F7D36" w14:textId="2A5C5E27" w:rsidR="004B205F" w:rsidRPr="00803E52" w:rsidRDefault="004B205F" w:rsidP="004B205F">
      <w:pPr>
        <w:spacing w:after="260" w:line="240" w:lineRule="auto"/>
        <w:ind w:left="705"/>
        <w:rPr>
          <w:bCs w:val="0"/>
          <w:noProof w:val="0"/>
        </w:rPr>
      </w:pPr>
      <w:r w:rsidRPr="00803E52">
        <w:rPr>
          <w:bCs w:val="0"/>
          <w:noProof w:val="0"/>
        </w:rPr>
        <w:t xml:space="preserve">V primerjavi z ostalimi 14 poklicnimi gasilskimi enotami v Sloveniji se po številu posredovanj v obravnavanem letu </w:t>
      </w:r>
      <w:r w:rsidR="007F3F5B">
        <w:rPr>
          <w:bCs w:val="0"/>
          <w:noProof w:val="0"/>
        </w:rPr>
        <w:t>javni zavod</w:t>
      </w:r>
      <w:r w:rsidRPr="00803E52">
        <w:rPr>
          <w:bCs w:val="0"/>
          <w:noProof w:val="0"/>
        </w:rPr>
        <w:t xml:space="preserve"> na 7. mesto, kar </w:t>
      </w:r>
      <w:r w:rsidR="007103C4">
        <w:rPr>
          <w:bCs w:val="0"/>
          <w:noProof w:val="0"/>
        </w:rPr>
        <w:t xml:space="preserve">pomani, da je javni zavod </w:t>
      </w:r>
      <w:r w:rsidRPr="00803E52">
        <w:rPr>
          <w:bCs w:val="0"/>
          <w:noProof w:val="0"/>
        </w:rPr>
        <w:t>umešč</w:t>
      </w:r>
      <w:r w:rsidR="007103C4">
        <w:rPr>
          <w:bCs w:val="0"/>
          <w:noProof w:val="0"/>
        </w:rPr>
        <w:t>en</w:t>
      </w:r>
      <w:r w:rsidRPr="00803E52">
        <w:rPr>
          <w:bCs w:val="0"/>
          <w:noProof w:val="0"/>
        </w:rPr>
        <w:t xml:space="preserve"> v tako imenovano zlato sredino slovenskih poklicnih gasilskih enot.</w:t>
      </w:r>
    </w:p>
    <w:p w14:paraId="21C349F9" w14:textId="57C7A6CF" w:rsidR="004B205F" w:rsidRPr="00803E52" w:rsidRDefault="004B205F" w:rsidP="004B205F">
      <w:pPr>
        <w:spacing w:after="260" w:line="240" w:lineRule="auto"/>
        <w:ind w:left="705"/>
        <w:rPr>
          <w:bCs w:val="0"/>
          <w:noProof w:val="0"/>
        </w:rPr>
      </w:pPr>
      <w:r w:rsidRPr="00803E52">
        <w:rPr>
          <w:bCs w:val="0"/>
          <w:noProof w:val="0"/>
        </w:rPr>
        <w:t xml:space="preserve">Ob primerjavi </w:t>
      </w:r>
      <w:r w:rsidR="007103C4">
        <w:rPr>
          <w:bCs w:val="0"/>
          <w:noProof w:val="0"/>
        </w:rPr>
        <w:t>z javnih zavodom</w:t>
      </w:r>
      <w:r w:rsidRPr="00803E52">
        <w:rPr>
          <w:bCs w:val="0"/>
          <w:noProof w:val="0"/>
        </w:rPr>
        <w:t xml:space="preserve"> po velikosti in organizaciji primerljivi</w:t>
      </w:r>
      <w:r w:rsidR="006766E8">
        <w:rPr>
          <w:bCs w:val="0"/>
          <w:noProof w:val="0"/>
        </w:rPr>
        <w:t>h</w:t>
      </w:r>
      <w:r w:rsidRPr="00803E52">
        <w:rPr>
          <w:bCs w:val="0"/>
          <w:noProof w:val="0"/>
        </w:rPr>
        <w:t xml:space="preserve"> poklicni</w:t>
      </w:r>
      <w:r w:rsidR="006766E8">
        <w:rPr>
          <w:bCs w:val="0"/>
          <w:noProof w:val="0"/>
        </w:rPr>
        <w:t>h</w:t>
      </w:r>
      <w:r w:rsidRPr="00803E52">
        <w:rPr>
          <w:bCs w:val="0"/>
          <w:noProof w:val="0"/>
        </w:rPr>
        <w:t xml:space="preserve"> gasilski</w:t>
      </w:r>
      <w:r w:rsidR="006766E8">
        <w:rPr>
          <w:bCs w:val="0"/>
          <w:noProof w:val="0"/>
        </w:rPr>
        <w:t>h</w:t>
      </w:r>
      <w:r w:rsidRPr="00803E52">
        <w:rPr>
          <w:bCs w:val="0"/>
          <w:noProof w:val="0"/>
        </w:rPr>
        <w:t xml:space="preserve"> enot (Jesenice, Krško, Novo mesto, Sežana, Domžale, Velenje, Ravne na Koroškem), glede na število operativnih gasilcev in kategorijo enote, pa </w:t>
      </w:r>
      <w:r w:rsidR="006766E8">
        <w:rPr>
          <w:bCs w:val="0"/>
          <w:noProof w:val="0"/>
        </w:rPr>
        <w:t xml:space="preserve">javni zavod </w:t>
      </w:r>
      <w:r w:rsidRPr="00803E52">
        <w:rPr>
          <w:bCs w:val="0"/>
          <w:noProof w:val="0"/>
        </w:rPr>
        <w:t>dosega 2. mesto po številu posredovanj.</w:t>
      </w:r>
    </w:p>
    <w:p w14:paraId="5BF9A8A0" w14:textId="77777777" w:rsidR="004B205F" w:rsidRPr="00803E52" w:rsidRDefault="004B205F" w:rsidP="004B205F">
      <w:pPr>
        <w:spacing w:after="260" w:line="240" w:lineRule="auto"/>
        <w:ind w:left="705"/>
        <w:rPr>
          <w:bCs w:val="0"/>
          <w:noProof w:val="0"/>
        </w:rPr>
      </w:pPr>
      <w:r w:rsidRPr="00803E52">
        <w:rPr>
          <w:bCs w:val="0"/>
          <w:noProof w:val="0"/>
        </w:rPr>
        <w:t>V letu 2025 je zavod v povprečju statistično opravil 1,21 intervencije na dan, kar odraža stalno operativno obremenjenost enote skozi vse leto.</w:t>
      </w:r>
    </w:p>
    <w:p w14:paraId="13C6F3CB" w14:textId="77777777" w:rsidR="004B205F" w:rsidRPr="00803E52" w:rsidRDefault="004B205F" w:rsidP="004B205F">
      <w:pPr>
        <w:spacing w:after="260" w:line="240" w:lineRule="auto"/>
        <w:ind w:left="705"/>
        <w:rPr>
          <w:bCs w:val="0"/>
          <w:noProof w:val="0"/>
        </w:rPr>
      </w:pPr>
      <w:r w:rsidRPr="00803E52">
        <w:rPr>
          <w:bCs w:val="0"/>
          <w:noProof w:val="0"/>
        </w:rPr>
        <w:t>Finančni prilivi tako s strani občin soustanoviteljic, ter države so bili redni, kar je bila prioriteta vodstva zavoda. Redno ter brez zamika so se izpolnjevale vse finančne obveznosti tako do zaposlenih kot do dobaviteljev.</w:t>
      </w:r>
    </w:p>
    <w:p w14:paraId="451D23A8" w14:textId="52837B47" w:rsidR="00D04E47" w:rsidRPr="00803E52" w:rsidRDefault="004B205F" w:rsidP="00AE1C08">
      <w:pPr>
        <w:spacing w:after="260" w:line="240" w:lineRule="auto"/>
        <w:ind w:left="705"/>
        <w:rPr>
          <w:bCs w:val="0"/>
          <w:noProof w:val="0"/>
        </w:rPr>
      </w:pPr>
      <w:r w:rsidRPr="00803E52">
        <w:rPr>
          <w:bCs w:val="0"/>
          <w:noProof w:val="0"/>
        </w:rPr>
        <w:t>Na podlagi zapisanega, svet zavoda določa, da se ta kriterij ovrednoti v višini 100 %.</w:t>
      </w:r>
    </w:p>
    <w:p w14:paraId="53F12889" w14:textId="0B1E0836" w:rsidR="00D657A6" w:rsidRPr="00D657A6" w:rsidRDefault="00D657A6" w:rsidP="004B205F">
      <w:pPr>
        <w:numPr>
          <w:ilvl w:val="0"/>
          <w:numId w:val="41"/>
        </w:numPr>
        <w:spacing w:after="260" w:line="240" w:lineRule="auto"/>
        <w:rPr>
          <w:bCs w:val="0"/>
          <w:noProof w:val="0"/>
        </w:rPr>
      </w:pPr>
      <w:r w:rsidRPr="00B84FD2">
        <w:rPr>
          <w:b/>
          <w:noProof w:val="0"/>
        </w:rPr>
        <w:t>uspešnost izvajanja operativne dejavnosti</w:t>
      </w:r>
      <w:r w:rsidRPr="00D657A6">
        <w:rPr>
          <w:bCs w:val="0"/>
          <w:noProof w:val="0"/>
        </w:rPr>
        <w:t xml:space="preserve"> (v višini 20% skupnega deleža) se ovrednoti po naslednjih merilih:</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D657A6" w:rsidRPr="00D657A6" w14:paraId="2860824E" w14:textId="77777777" w:rsidTr="000E5D12">
        <w:tc>
          <w:tcPr>
            <w:tcW w:w="5074" w:type="dxa"/>
          </w:tcPr>
          <w:p w14:paraId="34238783" w14:textId="77777777" w:rsidR="00D657A6" w:rsidRPr="00D657A6" w:rsidRDefault="00D657A6" w:rsidP="00D35DD7">
            <w:pPr>
              <w:spacing w:after="260" w:line="240" w:lineRule="auto"/>
              <w:rPr>
                <w:bCs w:val="0"/>
                <w:noProof w:val="0"/>
              </w:rPr>
            </w:pPr>
            <w:r w:rsidRPr="00D657A6">
              <w:rPr>
                <w:bCs w:val="0"/>
                <w:noProof w:val="0"/>
              </w:rPr>
              <w:t>Merilo uspešnosti</w:t>
            </w:r>
          </w:p>
        </w:tc>
        <w:tc>
          <w:tcPr>
            <w:tcW w:w="3168" w:type="dxa"/>
          </w:tcPr>
          <w:p w14:paraId="52127006" w14:textId="77777777" w:rsidR="00D657A6" w:rsidRPr="00D657A6" w:rsidRDefault="00D657A6" w:rsidP="00D35DD7">
            <w:pPr>
              <w:spacing w:after="260" w:line="240" w:lineRule="auto"/>
              <w:rPr>
                <w:bCs w:val="0"/>
                <w:noProof w:val="0"/>
              </w:rPr>
            </w:pPr>
            <w:r w:rsidRPr="00D657A6">
              <w:rPr>
                <w:bCs w:val="0"/>
                <w:noProof w:val="0"/>
              </w:rPr>
              <w:t>Višina % priznane uspešnosti</w:t>
            </w:r>
          </w:p>
        </w:tc>
      </w:tr>
      <w:tr w:rsidR="00D657A6" w:rsidRPr="00D657A6" w14:paraId="2C6EC52D" w14:textId="77777777" w:rsidTr="000E5D12">
        <w:tc>
          <w:tcPr>
            <w:tcW w:w="5074" w:type="dxa"/>
          </w:tcPr>
          <w:p w14:paraId="1973A1EF" w14:textId="77777777" w:rsidR="00D657A6" w:rsidRPr="00D657A6" w:rsidRDefault="00D657A6" w:rsidP="00D35DD7">
            <w:pPr>
              <w:spacing w:after="260" w:line="240" w:lineRule="auto"/>
              <w:rPr>
                <w:bCs w:val="0"/>
                <w:noProof w:val="0"/>
              </w:rPr>
            </w:pPr>
            <w:r w:rsidRPr="00D657A6">
              <w:rPr>
                <w:bCs w:val="0"/>
                <w:noProof w:val="0"/>
              </w:rPr>
              <w:t>Ni bilo upravičenih pripomb na delovanje enote</w:t>
            </w:r>
          </w:p>
        </w:tc>
        <w:tc>
          <w:tcPr>
            <w:tcW w:w="3168" w:type="dxa"/>
          </w:tcPr>
          <w:p w14:paraId="04181F20" w14:textId="77777777" w:rsidR="00D657A6" w:rsidRPr="00D657A6" w:rsidRDefault="00D657A6" w:rsidP="00D35DD7">
            <w:pPr>
              <w:spacing w:after="260" w:line="240" w:lineRule="auto"/>
              <w:ind w:left="705"/>
              <w:rPr>
                <w:bCs w:val="0"/>
                <w:noProof w:val="0"/>
              </w:rPr>
            </w:pPr>
            <w:r w:rsidRPr="00D657A6">
              <w:rPr>
                <w:bCs w:val="0"/>
                <w:noProof w:val="0"/>
              </w:rPr>
              <w:t>100%</w:t>
            </w:r>
          </w:p>
        </w:tc>
      </w:tr>
      <w:tr w:rsidR="00D657A6" w:rsidRPr="00D657A6" w14:paraId="76A22E6B" w14:textId="77777777" w:rsidTr="000E5D12">
        <w:tc>
          <w:tcPr>
            <w:tcW w:w="5074" w:type="dxa"/>
          </w:tcPr>
          <w:p w14:paraId="308F0BD1" w14:textId="77777777" w:rsidR="00D657A6" w:rsidRPr="00D657A6" w:rsidRDefault="00D657A6" w:rsidP="00D35DD7">
            <w:pPr>
              <w:spacing w:after="260" w:line="240" w:lineRule="auto"/>
              <w:rPr>
                <w:bCs w:val="0"/>
                <w:noProof w:val="0"/>
              </w:rPr>
            </w:pPr>
            <w:r w:rsidRPr="00D657A6">
              <w:rPr>
                <w:bCs w:val="0"/>
                <w:noProof w:val="0"/>
              </w:rPr>
              <w:t>Od 1 do 10 upravičenih pripomb na delovanje enote</w:t>
            </w:r>
          </w:p>
        </w:tc>
        <w:tc>
          <w:tcPr>
            <w:tcW w:w="3168" w:type="dxa"/>
          </w:tcPr>
          <w:p w14:paraId="7AC51ACD" w14:textId="77777777" w:rsidR="00D657A6" w:rsidRPr="00D657A6" w:rsidRDefault="00D657A6" w:rsidP="00D35DD7">
            <w:pPr>
              <w:spacing w:after="260" w:line="240" w:lineRule="auto"/>
              <w:ind w:left="705"/>
              <w:rPr>
                <w:bCs w:val="0"/>
                <w:noProof w:val="0"/>
              </w:rPr>
            </w:pPr>
            <w:r w:rsidRPr="00D657A6">
              <w:rPr>
                <w:bCs w:val="0"/>
                <w:noProof w:val="0"/>
              </w:rPr>
              <w:t>70%</w:t>
            </w:r>
          </w:p>
        </w:tc>
      </w:tr>
      <w:tr w:rsidR="00D657A6" w:rsidRPr="00D657A6" w14:paraId="34772CE1" w14:textId="77777777" w:rsidTr="000E5D12">
        <w:tc>
          <w:tcPr>
            <w:tcW w:w="5074" w:type="dxa"/>
          </w:tcPr>
          <w:p w14:paraId="46DBBA21" w14:textId="77777777" w:rsidR="00D657A6" w:rsidRPr="00D657A6" w:rsidRDefault="00D657A6" w:rsidP="00D35DD7">
            <w:pPr>
              <w:spacing w:after="260" w:line="240" w:lineRule="auto"/>
              <w:rPr>
                <w:bCs w:val="0"/>
                <w:noProof w:val="0"/>
              </w:rPr>
            </w:pPr>
            <w:r w:rsidRPr="00D657A6">
              <w:rPr>
                <w:bCs w:val="0"/>
                <w:noProof w:val="0"/>
              </w:rPr>
              <w:t>11 in več upravičenih pripomb na delovanje enote</w:t>
            </w:r>
          </w:p>
        </w:tc>
        <w:tc>
          <w:tcPr>
            <w:tcW w:w="3168" w:type="dxa"/>
          </w:tcPr>
          <w:p w14:paraId="7680562E" w14:textId="77777777" w:rsidR="00D657A6" w:rsidRPr="00D657A6" w:rsidRDefault="00D657A6" w:rsidP="00D35DD7">
            <w:pPr>
              <w:spacing w:after="260" w:line="240" w:lineRule="auto"/>
              <w:ind w:left="705"/>
              <w:rPr>
                <w:bCs w:val="0"/>
                <w:noProof w:val="0"/>
              </w:rPr>
            </w:pPr>
            <w:r w:rsidRPr="00D657A6">
              <w:rPr>
                <w:bCs w:val="0"/>
                <w:noProof w:val="0"/>
              </w:rPr>
              <w:t>0%</w:t>
            </w:r>
          </w:p>
        </w:tc>
      </w:tr>
    </w:tbl>
    <w:p w14:paraId="5B018B7A" w14:textId="77777777" w:rsidR="00D657A6" w:rsidRPr="00D657A6" w:rsidRDefault="00D657A6" w:rsidP="00D35DD7">
      <w:pPr>
        <w:spacing w:after="260" w:line="240" w:lineRule="auto"/>
        <w:ind w:left="705"/>
        <w:rPr>
          <w:bCs w:val="0"/>
          <w:noProof w:val="0"/>
        </w:rPr>
      </w:pPr>
    </w:p>
    <w:p w14:paraId="6550BC0E" w14:textId="77777777" w:rsidR="00D657A6" w:rsidRPr="00D657A6" w:rsidRDefault="00D657A6" w:rsidP="00D35DD7">
      <w:pPr>
        <w:spacing w:after="260" w:line="240" w:lineRule="auto"/>
        <w:ind w:left="705"/>
        <w:rPr>
          <w:bCs w:val="0"/>
          <w:noProof w:val="0"/>
        </w:rPr>
      </w:pPr>
      <w:r w:rsidRPr="00D657A6">
        <w:rPr>
          <w:bCs w:val="0"/>
          <w:noProof w:val="0"/>
        </w:rPr>
        <w:t>Ker ni bilo nobene upravičene in neupravičene pripombe na delovanje enote, je svet zavoda določil, da se ta kriterij ovrednoti v višini 100%.</w:t>
      </w:r>
    </w:p>
    <w:p w14:paraId="1873D9D1" w14:textId="1A61231A" w:rsidR="00D657A6" w:rsidRPr="00D657A6" w:rsidRDefault="00D657A6" w:rsidP="0018522E">
      <w:pPr>
        <w:spacing w:after="260" w:line="240" w:lineRule="auto"/>
        <w:ind w:left="705"/>
        <w:rPr>
          <w:bCs w:val="0"/>
          <w:noProof w:val="0"/>
        </w:rPr>
      </w:pPr>
      <w:r w:rsidRPr="00D657A6">
        <w:rPr>
          <w:bCs w:val="0"/>
          <w:noProof w:val="0"/>
        </w:rPr>
        <w:t xml:space="preserve">Redna delovna uspešnost direktorja je na podlagi zgornjih meril iz Pravilnika, ob upoštevanju letnega poročila javnega zavoda za leto </w:t>
      </w:r>
      <w:r w:rsidR="006A5700">
        <w:rPr>
          <w:bCs w:val="0"/>
          <w:noProof w:val="0"/>
        </w:rPr>
        <w:t>2025</w:t>
      </w:r>
      <w:r w:rsidRPr="00D657A6">
        <w:rPr>
          <w:bCs w:val="0"/>
          <w:noProof w:val="0"/>
        </w:rPr>
        <w:t xml:space="preserve">, ovrednotena v skupni višini 100%. </w:t>
      </w:r>
    </w:p>
    <w:p w14:paraId="252D65A4" w14:textId="259D4A13" w:rsidR="00D657A6" w:rsidRPr="00D657A6" w:rsidRDefault="00D657A6" w:rsidP="00930053">
      <w:pPr>
        <w:spacing w:after="260" w:line="240" w:lineRule="auto"/>
        <w:ind w:left="705"/>
        <w:rPr>
          <w:bCs w:val="0"/>
          <w:noProof w:val="0"/>
        </w:rPr>
      </w:pPr>
      <w:r w:rsidRPr="00D657A6">
        <w:rPr>
          <w:bCs w:val="0"/>
          <w:noProof w:val="0"/>
        </w:rPr>
        <w:t>Za direktorja Aleša Bajca je predlagana redna delovna uspešnost v višini 5% sredstev za osnovno plačo direktorja v obdobju od 1. januarja do 31. decembra 20</w:t>
      </w:r>
      <w:r w:rsidR="006A5700">
        <w:rPr>
          <w:bCs w:val="0"/>
          <w:noProof w:val="0"/>
        </w:rPr>
        <w:t>25</w:t>
      </w:r>
      <w:r w:rsidRPr="00D657A6">
        <w:rPr>
          <w:bCs w:val="0"/>
          <w:noProof w:val="0"/>
        </w:rPr>
        <w:t xml:space="preserve"> v višini </w:t>
      </w:r>
      <w:r w:rsidR="00930053" w:rsidRPr="0018522E">
        <w:rPr>
          <w:bCs w:val="0"/>
          <w:noProof w:val="0"/>
        </w:rPr>
        <w:t>2.036,85</w:t>
      </w:r>
      <w:r w:rsidRPr="0018522E">
        <w:rPr>
          <w:bCs w:val="0"/>
          <w:noProof w:val="0"/>
        </w:rPr>
        <w:t xml:space="preserve"> </w:t>
      </w:r>
      <w:r w:rsidRPr="00D657A6">
        <w:rPr>
          <w:bCs w:val="0"/>
          <w:noProof w:val="0"/>
        </w:rPr>
        <w:t xml:space="preserve">EUR bruto. </w:t>
      </w:r>
    </w:p>
    <w:p w14:paraId="140A8CB4" w14:textId="34894490" w:rsidR="00D657A6" w:rsidRPr="00D657A6" w:rsidRDefault="00D657A6" w:rsidP="0018522E">
      <w:pPr>
        <w:spacing w:after="260" w:line="240" w:lineRule="auto"/>
        <w:ind w:left="705"/>
        <w:rPr>
          <w:bCs w:val="0"/>
          <w:noProof w:val="0"/>
        </w:rPr>
      </w:pPr>
      <w:r w:rsidRPr="00D657A6">
        <w:rPr>
          <w:bCs w:val="0"/>
          <w:noProof w:val="0"/>
        </w:rPr>
        <w:lastRenderedPageBreak/>
        <w:t>Sprejem predlaganega sklepa ne pomeni dodatnih finančnih obveznosti za proračun Mestne občine Nova Gorica, saj so sredstva vključena v Program del</w:t>
      </w:r>
      <w:r w:rsidR="009202FC">
        <w:rPr>
          <w:bCs w:val="0"/>
          <w:noProof w:val="0"/>
        </w:rPr>
        <w:t>a</w:t>
      </w:r>
      <w:r w:rsidRPr="00D657A6">
        <w:rPr>
          <w:bCs w:val="0"/>
          <w:noProof w:val="0"/>
        </w:rPr>
        <w:t xml:space="preserve"> in finančni načrt </w:t>
      </w:r>
      <w:r w:rsidR="00255987">
        <w:rPr>
          <w:bCs w:val="0"/>
          <w:noProof w:val="0"/>
        </w:rPr>
        <w:t xml:space="preserve">2026 – 2027 </w:t>
      </w:r>
      <w:r w:rsidRPr="00D657A6">
        <w:rPr>
          <w:bCs w:val="0"/>
          <w:noProof w:val="0"/>
        </w:rPr>
        <w:t>Javn</w:t>
      </w:r>
      <w:r w:rsidR="00920B34">
        <w:rPr>
          <w:bCs w:val="0"/>
          <w:noProof w:val="0"/>
        </w:rPr>
        <w:t>ega</w:t>
      </w:r>
      <w:r w:rsidRPr="00D657A6">
        <w:rPr>
          <w:bCs w:val="0"/>
          <w:noProof w:val="0"/>
        </w:rPr>
        <w:t xml:space="preserve"> zavod</w:t>
      </w:r>
      <w:r w:rsidR="00920B34">
        <w:rPr>
          <w:bCs w:val="0"/>
          <w:noProof w:val="0"/>
        </w:rPr>
        <w:t>a</w:t>
      </w:r>
      <w:r w:rsidRPr="00D657A6">
        <w:rPr>
          <w:bCs w:val="0"/>
          <w:noProof w:val="0"/>
        </w:rPr>
        <w:t xml:space="preserve"> za gasilsko in  reševalno dejavnost – GASILSKA ENOTA NOVA GORICA za leto 20</w:t>
      </w:r>
      <w:r w:rsidR="00920B34">
        <w:rPr>
          <w:bCs w:val="0"/>
          <w:noProof w:val="0"/>
        </w:rPr>
        <w:t>26</w:t>
      </w:r>
      <w:r w:rsidRPr="00D657A6">
        <w:rPr>
          <w:bCs w:val="0"/>
          <w:noProof w:val="0"/>
        </w:rPr>
        <w:t>.</w:t>
      </w:r>
    </w:p>
    <w:p w14:paraId="5641F8A1" w14:textId="77777777" w:rsidR="00D657A6" w:rsidRPr="00D657A6" w:rsidRDefault="00D657A6" w:rsidP="0018522E">
      <w:pPr>
        <w:spacing w:after="260" w:line="240" w:lineRule="auto"/>
        <w:ind w:left="705"/>
        <w:rPr>
          <w:bCs w:val="0"/>
          <w:noProof w:val="0"/>
        </w:rPr>
      </w:pPr>
      <w:r w:rsidRPr="00D657A6">
        <w:rPr>
          <w:bCs w:val="0"/>
          <w:noProof w:val="0"/>
        </w:rPr>
        <w:t xml:space="preserve">Iz priložene dokumentacije je razvidno, da so izpolnjeni vsi pogoji in da je podaja soglasja utemeljena. </w:t>
      </w:r>
    </w:p>
    <w:p w14:paraId="270E9B09" w14:textId="77777777" w:rsidR="00D657A6" w:rsidRDefault="00D657A6" w:rsidP="00AD370A">
      <w:pPr>
        <w:pStyle w:val="Podpisoseba"/>
        <w:spacing w:before="0" w:after="0" w:line="288" w:lineRule="auto"/>
        <w:ind w:left="709"/>
        <w:rPr>
          <w:bCs w:val="0"/>
        </w:rPr>
      </w:pPr>
    </w:p>
    <w:p w14:paraId="17465817" w14:textId="1DD90C68" w:rsidR="00A03315" w:rsidRPr="00C839C9" w:rsidRDefault="00A03315" w:rsidP="00AD370A">
      <w:pPr>
        <w:pStyle w:val="Podpisoseba"/>
        <w:spacing w:before="0" w:after="0" w:line="288" w:lineRule="auto"/>
        <w:ind w:left="709"/>
        <w:rPr>
          <w:bCs w:val="0"/>
        </w:rPr>
      </w:pPr>
      <w:r w:rsidRPr="00C839C9">
        <w:rPr>
          <w:bCs w:val="0"/>
        </w:rPr>
        <w:t>Pripravil(</w:t>
      </w:r>
      <w:r w:rsidR="002554A6">
        <w:rPr>
          <w:bCs w:val="0"/>
        </w:rPr>
        <w:t>a</w:t>
      </w:r>
      <w:r w:rsidRPr="00C839C9">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C839C9" w14:paraId="5EDE9153" w14:textId="77777777" w:rsidTr="00C818D4">
        <w:tc>
          <w:tcPr>
            <w:tcW w:w="4956" w:type="dxa"/>
          </w:tcPr>
          <w:p w14:paraId="00AE3031"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Levi podpisnik</w:t>
            </w:r>
          </w:p>
        </w:tc>
        <w:tc>
          <w:tcPr>
            <w:tcW w:w="3549" w:type="dxa"/>
          </w:tcPr>
          <w:p w14:paraId="357B865E"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Desnik podpisnik</w:t>
            </w:r>
          </w:p>
        </w:tc>
      </w:tr>
      <w:tr w:rsidR="00896E13" w:rsidRPr="00C839C9" w14:paraId="276DE439" w14:textId="77777777" w:rsidTr="00C818D4">
        <w:tc>
          <w:tcPr>
            <w:tcW w:w="4956" w:type="dxa"/>
          </w:tcPr>
          <w:p w14:paraId="01B9F1B4" w14:textId="77777777" w:rsidR="00896E13" w:rsidRPr="000E5D12" w:rsidRDefault="00896E13" w:rsidP="00896E13">
            <w:pPr>
              <w:pStyle w:val="Podpisoseba"/>
              <w:spacing w:before="0" w:after="0" w:line="288" w:lineRule="auto"/>
              <w:rPr>
                <w:b/>
              </w:rPr>
            </w:pPr>
            <w:r w:rsidRPr="000E5D12">
              <w:rPr>
                <w:b/>
              </w:rPr>
              <w:t>Petra Sismond</w:t>
            </w:r>
          </w:p>
          <w:p w14:paraId="146DE288" w14:textId="557A3778" w:rsidR="00896E13" w:rsidRPr="00C839C9" w:rsidRDefault="00896E13" w:rsidP="00896E13">
            <w:pPr>
              <w:pStyle w:val="Podpisoseba"/>
              <w:spacing w:before="0" w:after="0" w:line="288" w:lineRule="auto"/>
              <w:rPr>
                <w:b/>
                <w:color w:val="FFFFFF" w:themeColor="background1"/>
              </w:rPr>
            </w:pPr>
            <w:r>
              <w:rPr>
                <w:bCs w:val="0"/>
              </w:rPr>
              <w:t>višja svetovlka za družbene dejavnosti</w:t>
            </w:r>
          </w:p>
        </w:tc>
        <w:tc>
          <w:tcPr>
            <w:tcW w:w="3549" w:type="dxa"/>
          </w:tcPr>
          <w:p w14:paraId="4CAECF76" w14:textId="3CD3C292" w:rsidR="00896E13" w:rsidRPr="000E5D12" w:rsidRDefault="00896E13" w:rsidP="00896E13">
            <w:pPr>
              <w:pStyle w:val="Podpisoseba"/>
              <w:spacing w:before="0" w:after="0" w:line="288" w:lineRule="auto"/>
              <w:rPr>
                <w:b/>
              </w:rPr>
            </w:pPr>
            <w:r>
              <w:rPr>
                <w:b/>
              </w:rPr>
              <w:t>Marinka Saksida</w:t>
            </w:r>
          </w:p>
          <w:p w14:paraId="56982FC8" w14:textId="0BDEAC27" w:rsidR="00896E13" w:rsidRPr="00C839C9" w:rsidRDefault="00404B35" w:rsidP="00896E13">
            <w:pPr>
              <w:pStyle w:val="Podpisoseba"/>
              <w:spacing w:before="0" w:after="0" w:line="288" w:lineRule="auto"/>
              <w:rPr>
                <w:b/>
                <w:color w:val="FFFFFF" w:themeColor="background1"/>
              </w:rPr>
            </w:pPr>
            <w:r>
              <w:rPr>
                <w:bCs w:val="0"/>
              </w:rPr>
              <w:t>v</w:t>
            </w:r>
            <w:r w:rsidR="00896E13">
              <w:rPr>
                <w:bCs w:val="0"/>
              </w:rPr>
              <w:t xml:space="preserve">odja </w:t>
            </w:r>
            <w:r>
              <w:rPr>
                <w:bCs w:val="0"/>
              </w:rPr>
              <w:t>O</w:t>
            </w:r>
            <w:r w:rsidR="00896E13">
              <w:rPr>
                <w:bCs w:val="0"/>
              </w:rPr>
              <w:t>ddelka za dru</w:t>
            </w:r>
            <w:r w:rsidR="008D632B">
              <w:rPr>
                <w:bCs w:val="0"/>
              </w:rPr>
              <w:t>žbene dejavnosti</w:t>
            </w:r>
          </w:p>
        </w:tc>
      </w:tr>
      <w:tr w:rsidR="00896E13" w:rsidRPr="00C839C9" w14:paraId="4DED8EE4" w14:textId="77777777" w:rsidTr="00C818D4">
        <w:tc>
          <w:tcPr>
            <w:tcW w:w="4956" w:type="dxa"/>
          </w:tcPr>
          <w:p w14:paraId="0B3186B9" w14:textId="77777777" w:rsidR="00896E13" w:rsidRPr="00C839C9" w:rsidRDefault="00896E13" w:rsidP="0067333B">
            <w:pPr>
              <w:pStyle w:val="Podpisoseba"/>
              <w:spacing w:before="0" w:after="0" w:line="288" w:lineRule="auto"/>
              <w:rPr>
                <w:b/>
                <w:color w:val="FFFFFF" w:themeColor="background1"/>
              </w:rPr>
            </w:pPr>
          </w:p>
        </w:tc>
        <w:tc>
          <w:tcPr>
            <w:tcW w:w="3549" w:type="dxa"/>
          </w:tcPr>
          <w:p w14:paraId="060A2301" w14:textId="77777777" w:rsidR="00896E13" w:rsidRPr="00C839C9" w:rsidRDefault="00896E13" w:rsidP="0067333B">
            <w:pPr>
              <w:pStyle w:val="Podpisoseba"/>
              <w:spacing w:before="0" w:after="0" w:line="288" w:lineRule="auto"/>
              <w:rPr>
                <w:b/>
                <w:color w:val="FFFFFF" w:themeColor="background1"/>
              </w:rPr>
            </w:pPr>
          </w:p>
        </w:tc>
      </w:tr>
      <w:tr w:rsidR="00A03315" w:rsidRPr="00C839C9" w14:paraId="6A2F508B" w14:textId="77777777" w:rsidTr="00C818D4">
        <w:tc>
          <w:tcPr>
            <w:tcW w:w="4956" w:type="dxa"/>
          </w:tcPr>
          <w:p w14:paraId="1B7A05E8" w14:textId="5CBA5C28" w:rsidR="00A03315" w:rsidRPr="00C839C9" w:rsidRDefault="00A03315" w:rsidP="0067333B">
            <w:pPr>
              <w:pStyle w:val="Podpisoseba"/>
              <w:spacing w:before="0" w:after="0" w:line="288" w:lineRule="auto"/>
              <w:rPr>
                <w:b/>
                <w:bCs w:val="0"/>
              </w:rPr>
            </w:pPr>
          </w:p>
        </w:tc>
        <w:tc>
          <w:tcPr>
            <w:tcW w:w="3549" w:type="dxa"/>
          </w:tcPr>
          <w:p w14:paraId="33414636" w14:textId="2ABDC242" w:rsidR="00A03315" w:rsidRPr="00C839C9" w:rsidRDefault="00A03315" w:rsidP="0067333B">
            <w:pPr>
              <w:pStyle w:val="Podpisoseba"/>
              <w:spacing w:before="0" w:after="0" w:line="288" w:lineRule="auto"/>
              <w:rPr>
                <w:b/>
                <w:bCs w:val="0"/>
              </w:rPr>
            </w:pPr>
          </w:p>
        </w:tc>
      </w:tr>
      <w:tr w:rsidR="00A03315" w:rsidRPr="00C839C9" w14:paraId="04CA288A" w14:textId="77777777" w:rsidTr="00C818D4">
        <w:tc>
          <w:tcPr>
            <w:tcW w:w="4956" w:type="dxa"/>
          </w:tcPr>
          <w:p w14:paraId="3431D6EA" w14:textId="3C3F149C" w:rsidR="00A03315" w:rsidRPr="00C839C9" w:rsidRDefault="00A03315" w:rsidP="0067333B">
            <w:pPr>
              <w:pStyle w:val="Podpisoseba"/>
              <w:spacing w:before="0" w:after="0" w:line="288" w:lineRule="auto"/>
              <w:ind w:right="459"/>
              <w:rPr>
                <w:bCs w:val="0"/>
              </w:rPr>
            </w:pPr>
          </w:p>
        </w:tc>
        <w:tc>
          <w:tcPr>
            <w:tcW w:w="3549" w:type="dxa"/>
          </w:tcPr>
          <w:p w14:paraId="770E907E" w14:textId="154DF9FE" w:rsidR="000E5D12" w:rsidRPr="00C839C9" w:rsidRDefault="000E5D12" w:rsidP="0067333B">
            <w:pPr>
              <w:pStyle w:val="Podpisoseba"/>
              <w:spacing w:before="0" w:after="0" w:line="288" w:lineRule="auto"/>
              <w:rPr>
                <w:bCs w:val="0"/>
              </w:rPr>
            </w:pPr>
          </w:p>
        </w:tc>
      </w:tr>
    </w:tbl>
    <w:p w14:paraId="59250243" w14:textId="33017D1F" w:rsidR="000634A1" w:rsidRPr="00C839C9" w:rsidRDefault="000634A1" w:rsidP="002554A6">
      <w:pPr>
        <w:pStyle w:val="gradivo"/>
        <w:spacing w:line="288" w:lineRule="auto"/>
        <w:ind w:left="0"/>
      </w:pP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4C4C" w14:textId="77777777" w:rsidR="006D6D24" w:rsidRDefault="006D6D24" w:rsidP="00352A82">
      <w:r>
        <w:separator/>
      </w:r>
    </w:p>
  </w:endnote>
  <w:endnote w:type="continuationSeparator" w:id="0">
    <w:p w14:paraId="6CE242E4" w14:textId="77777777" w:rsidR="006D6D24" w:rsidRDefault="006D6D24"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3AD0" w14:textId="77777777" w:rsidR="006D6D24" w:rsidRDefault="006D6D24" w:rsidP="00352A82">
      <w:r>
        <w:separator/>
      </w:r>
    </w:p>
  </w:footnote>
  <w:footnote w:type="continuationSeparator" w:id="0">
    <w:p w14:paraId="37A98554" w14:textId="77777777" w:rsidR="006D6D24" w:rsidRDefault="006D6D24"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5681" w:hanging="360"/>
      </w:pPr>
      <w:rPr>
        <w:rFonts w:ascii="Symbol" w:hAnsi="Symbol" w:hint="default"/>
      </w:rPr>
    </w:lvl>
    <w:lvl w:ilvl="1" w:tplc="04240003" w:tentative="1">
      <w:start w:val="1"/>
      <w:numFmt w:val="bullet"/>
      <w:lvlText w:val="o"/>
      <w:lvlJc w:val="left"/>
      <w:pPr>
        <w:ind w:left="6401" w:hanging="360"/>
      </w:pPr>
      <w:rPr>
        <w:rFonts w:ascii="Courier New" w:hAnsi="Courier New" w:cs="Courier New" w:hint="default"/>
      </w:rPr>
    </w:lvl>
    <w:lvl w:ilvl="2" w:tplc="04240005" w:tentative="1">
      <w:start w:val="1"/>
      <w:numFmt w:val="bullet"/>
      <w:lvlText w:val=""/>
      <w:lvlJc w:val="left"/>
      <w:pPr>
        <w:ind w:left="7121" w:hanging="360"/>
      </w:pPr>
      <w:rPr>
        <w:rFonts w:ascii="Wingdings" w:hAnsi="Wingdings" w:hint="default"/>
      </w:rPr>
    </w:lvl>
    <w:lvl w:ilvl="3" w:tplc="04240001" w:tentative="1">
      <w:start w:val="1"/>
      <w:numFmt w:val="bullet"/>
      <w:lvlText w:val=""/>
      <w:lvlJc w:val="left"/>
      <w:pPr>
        <w:ind w:left="7841" w:hanging="360"/>
      </w:pPr>
      <w:rPr>
        <w:rFonts w:ascii="Symbol" w:hAnsi="Symbol" w:hint="default"/>
      </w:rPr>
    </w:lvl>
    <w:lvl w:ilvl="4" w:tplc="04240003" w:tentative="1">
      <w:start w:val="1"/>
      <w:numFmt w:val="bullet"/>
      <w:lvlText w:val="o"/>
      <w:lvlJc w:val="left"/>
      <w:pPr>
        <w:ind w:left="8561" w:hanging="360"/>
      </w:pPr>
      <w:rPr>
        <w:rFonts w:ascii="Courier New" w:hAnsi="Courier New" w:cs="Courier New" w:hint="default"/>
      </w:rPr>
    </w:lvl>
    <w:lvl w:ilvl="5" w:tplc="04240005" w:tentative="1">
      <w:start w:val="1"/>
      <w:numFmt w:val="bullet"/>
      <w:lvlText w:val=""/>
      <w:lvlJc w:val="left"/>
      <w:pPr>
        <w:ind w:left="9281" w:hanging="360"/>
      </w:pPr>
      <w:rPr>
        <w:rFonts w:ascii="Wingdings" w:hAnsi="Wingdings" w:hint="default"/>
      </w:rPr>
    </w:lvl>
    <w:lvl w:ilvl="6" w:tplc="04240001" w:tentative="1">
      <w:start w:val="1"/>
      <w:numFmt w:val="bullet"/>
      <w:lvlText w:val=""/>
      <w:lvlJc w:val="left"/>
      <w:pPr>
        <w:ind w:left="10001" w:hanging="360"/>
      </w:pPr>
      <w:rPr>
        <w:rFonts w:ascii="Symbol" w:hAnsi="Symbol" w:hint="default"/>
      </w:rPr>
    </w:lvl>
    <w:lvl w:ilvl="7" w:tplc="04240003" w:tentative="1">
      <w:start w:val="1"/>
      <w:numFmt w:val="bullet"/>
      <w:lvlText w:val="o"/>
      <w:lvlJc w:val="left"/>
      <w:pPr>
        <w:ind w:left="10721" w:hanging="360"/>
      </w:pPr>
      <w:rPr>
        <w:rFonts w:ascii="Courier New" w:hAnsi="Courier New" w:cs="Courier New" w:hint="default"/>
      </w:rPr>
    </w:lvl>
    <w:lvl w:ilvl="8" w:tplc="04240005" w:tentative="1">
      <w:start w:val="1"/>
      <w:numFmt w:val="bullet"/>
      <w:lvlText w:val=""/>
      <w:lvlJc w:val="left"/>
      <w:pPr>
        <w:ind w:left="11441"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0"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5"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5E76E59"/>
    <w:multiLevelType w:val="hybridMultilevel"/>
    <w:tmpl w:val="2ADE10E0"/>
    <w:lvl w:ilvl="0" w:tplc="FA9CD518">
      <w:start w:val="7"/>
      <w:numFmt w:val="bullet"/>
      <w:lvlText w:val="-"/>
      <w:lvlJc w:val="left"/>
      <w:pPr>
        <w:ind w:left="1063" w:hanging="360"/>
      </w:pPr>
      <w:rPr>
        <w:rFonts w:ascii="Calibri" w:eastAsia="Times New Roman" w:hAnsi="Calibri" w:cs="Calibri" w:hint="default"/>
        <w:sz w:val="24"/>
      </w:rPr>
    </w:lvl>
    <w:lvl w:ilvl="1" w:tplc="04240003" w:tentative="1">
      <w:start w:val="1"/>
      <w:numFmt w:val="bullet"/>
      <w:lvlText w:val="o"/>
      <w:lvlJc w:val="left"/>
      <w:pPr>
        <w:ind w:left="1783" w:hanging="360"/>
      </w:pPr>
      <w:rPr>
        <w:rFonts w:ascii="Courier New" w:hAnsi="Courier New" w:cs="Courier New" w:hint="default"/>
      </w:rPr>
    </w:lvl>
    <w:lvl w:ilvl="2" w:tplc="04240005" w:tentative="1">
      <w:start w:val="1"/>
      <w:numFmt w:val="bullet"/>
      <w:lvlText w:val=""/>
      <w:lvlJc w:val="left"/>
      <w:pPr>
        <w:ind w:left="2503" w:hanging="360"/>
      </w:pPr>
      <w:rPr>
        <w:rFonts w:ascii="Wingdings" w:hAnsi="Wingdings" w:hint="default"/>
      </w:rPr>
    </w:lvl>
    <w:lvl w:ilvl="3" w:tplc="04240001" w:tentative="1">
      <w:start w:val="1"/>
      <w:numFmt w:val="bullet"/>
      <w:lvlText w:val=""/>
      <w:lvlJc w:val="left"/>
      <w:pPr>
        <w:ind w:left="3223" w:hanging="360"/>
      </w:pPr>
      <w:rPr>
        <w:rFonts w:ascii="Symbol" w:hAnsi="Symbol" w:hint="default"/>
      </w:rPr>
    </w:lvl>
    <w:lvl w:ilvl="4" w:tplc="04240003" w:tentative="1">
      <w:start w:val="1"/>
      <w:numFmt w:val="bullet"/>
      <w:lvlText w:val="o"/>
      <w:lvlJc w:val="left"/>
      <w:pPr>
        <w:ind w:left="3943" w:hanging="360"/>
      </w:pPr>
      <w:rPr>
        <w:rFonts w:ascii="Courier New" w:hAnsi="Courier New" w:cs="Courier New" w:hint="default"/>
      </w:rPr>
    </w:lvl>
    <w:lvl w:ilvl="5" w:tplc="04240005" w:tentative="1">
      <w:start w:val="1"/>
      <w:numFmt w:val="bullet"/>
      <w:lvlText w:val=""/>
      <w:lvlJc w:val="left"/>
      <w:pPr>
        <w:ind w:left="4663" w:hanging="360"/>
      </w:pPr>
      <w:rPr>
        <w:rFonts w:ascii="Wingdings" w:hAnsi="Wingdings" w:hint="default"/>
      </w:rPr>
    </w:lvl>
    <w:lvl w:ilvl="6" w:tplc="04240001" w:tentative="1">
      <w:start w:val="1"/>
      <w:numFmt w:val="bullet"/>
      <w:lvlText w:val=""/>
      <w:lvlJc w:val="left"/>
      <w:pPr>
        <w:ind w:left="5383" w:hanging="360"/>
      </w:pPr>
      <w:rPr>
        <w:rFonts w:ascii="Symbol" w:hAnsi="Symbol" w:hint="default"/>
      </w:rPr>
    </w:lvl>
    <w:lvl w:ilvl="7" w:tplc="04240003" w:tentative="1">
      <w:start w:val="1"/>
      <w:numFmt w:val="bullet"/>
      <w:lvlText w:val="o"/>
      <w:lvlJc w:val="left"/>
      <w:pPr>
        <w:ind w:left="6103" w:hanging="360"/>
      </w:pPr>
      <w:rPr>
        <w:rFonts w:ascii="Courier New" w:hAnsi="Courier New" w:cs="Courier New" w:hint="default"/>
      </w:rPr>
    </w:lvl>
    <w:lvl w:ilvl="8" w:tplc="04240005" w:tentative="1">
      <w:start w:val="1"/>
      <w:numFmt w:val="bullet"/>
      <w:lvlText w:val=""/>
      <w:lvlJc w:val="left"/>
      <w:pPr>
        <w:ind w:left="6823" w:hanging="360"/>
      </w:pPr>
      <w:rPr>
        <w:rFonts w:ascii="Wingdings" w:hAnsi="Wingdings" w:hint="default"/>
      </w:rPr>
    </w:lvl>
  </w:abstractNum>
  <w:abstractNum w:abstractNumId="18"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1" w15:restartNumberingAfterBreak="0">
    <w:nsid w:val="4AAA1A27"/>
    <w:multiLevelType w:val="hybridMultilevel"/>
    <w:tmpl w:val="E88E4C4C"/>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2"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3" w15:restartNumberingAfterBreak="0">
    <w:nsid w:val="4E880039"/>
    <w:multiLevelType w:val="multilevel"/>
    <w:tmpl w:val="640EE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6"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7"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7"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8"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9"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0"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1"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4"/>
  </w:num>
  <w:num w:numId="2" w16cid:durableId="1164929981">
    <w:abstractNumId w:val="31"/>
  </w:num>
  <w:num w:numId="3" w16cid:durableId="1314213452">
    <w:abstractNumId w:val="0"/>
  </w:num>
  <w:num w:numId="4" w16cid:durableId="629288842">
    <w:abstractNumId w:val="12"/>
  </w:num>
  <w:num w:numId="5" w16cid:durableId="738939049">
    <w:abstractNumId w:val="30"/>
  </w:num>
  <w:num w:numId="6" w16cid:durableId="1657220828">
    <w:abstractNumId w:val="35"/>
  </w:num>
  <w:num w:numId="7" w16cid:durableId="1256210005">
    <w:abstractNumId w:val="5"/>
  </w:num>
  <w:num w:numId="8" w16cid:durableId="620721476">
    <w:abstractNumId w:val="6"/>
  </w:num>
  <w:num w:numId="9" w16cid:durableId="1223718357">
    <w:abstractNumId w:val="18"/>
  </w:num>
  <w:num w:numId="10" w16cid:durableId="767116328">
    <w:abstractNumId w:val="29"/>
  </w:num>
  <w:num w:numId="11" w16cid:durableId="226842814">
    <w:abstractNumId w:val="41"/>
  </w:num>
  <w:num w:numId="12" w16cid:durableId="61607787">
    <w:abstractNumId w:val="7"/>
  </w:num>
  <w:num w:numId="13" w16cid:durableId="1549103988">
    <w:abstractNumId w:val="2"/>
  </w:num>
  <w:num w:numId="14" w16cid:durableId="1064452994">
    <w:abstractNumId w:val="14"/>
  </w:num>
  <w:num w:numId="15" w16cid:durableId="832991807">
    <w:abstractNumId w:val="26"/>
  </w:num>
  <w:num w:numId="16" w16cid:durableId="1768885214">
    <w:abstractNumId w:val="4"/>
  </w:num>
  <w:num w:numId="17" w16cid:durableId="1796944186">
    <w:abstractNumId w:val="28"/>
  </w:num>
  <w:num w:numId="18" w16cid:durableId="1084255915">
    <w:abstractNumId w:val="36"/>
  </w:num>
  <w:num w:numId="19" w16cid:durableId="310984553">
    <w:abstractNumId w:val="38"/>
  </w:num>
  <w:num w:numId="20" w16cid:durableId="1251548933">
    <w:abstractNumId w:val="39"/>
  </w:num>
  <w:num w:numId="21" w16cid:durableId="2833123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9"/>
  </w:num>
  <w:num w:numId="23" w16cid:durableId="643631576">
    <w:abstractNumId w:val="40"/>
  </w:num>
  <w:num w:numId="24" w16cid:durableId="1231229036">
    <w:abstractNumId w:val="37"/>
  </w:num>
  <w:num w:numId="25" w16cid:durableId="298456368">
    <w:abstractNumId w:val="20"/>
  </w:num>
  <w:num w:numId="26" w16cid:durableId="693924750">
    <w:abstractNumId w:val="22"/>
  </w:num>
  <w:num w:numId="27" w16cid:durableId="498468364">
    <w:abstractNumId w:val="25"/>
  </w:num>
  <w:num w:numId="28" w16cid:durableId="988244880">
    <w:abstractNumId w:val="10"/>
  </w:num>
  <w:num w:numId="29" w16cid:durableId="1879317757">
    <w:abstractNumId w:val="16"/>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8"/>
  </w:num>
  <w:num w:numId="33" w16cid:durableId="1764062018">
    <w:abstractNumId w:val="3"/>
  </w:num>
  <w:num w:numId="34" w16cid:durableId="988243515">
    <w:abstractNumId w:val="15"/>
  </w:num>
  <w:num w:numId="35" w16cid:durableId="752240874">
    <w:abstractNumId w:val="11"/>
  </w:num>
  <w:num w:numId="36" w16cid:durableId="1796941653">
    <w:abstractNumId w:val="32"/>
  </w:num>
  <w:num w:numId="37" w16cid:durableId="1954705750">
    <w:abstractNumId w:val="34"/>
  </w:num>
  <w:num w:numId="38" w16cid:durableId="2041933827">
    <w:abstractNumId w:val="13"/>
  </w:num>
  <w:num w:numId="39" w16cid:durableId="440104217">
    <w:abstractNumId w:val="27"/>
  </w:num>
  <w:num w:numId="40" w16cid:durableId="550845694">
    <w:abstractNumId w:val="33"/>
  </w:num>
  <w:num w:numId="41" w16cid:durableId="1751002471">
    <w:abstractNumId w:val="17"/>
  </w:num>
  <w:num w:numId="42" w16cid:durableId="98332244">
    <w:abstractNumId w:val="21"/>
  </w:num>
  <w:num w:numId="43" w16cid:durableId="15625927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45741"/>
    <w:rsid w:val="00046863"/>
    <w:rsid w:val="0005678C"/>
    <w:rsid w:val="00056990"/>
    <w:rsid w:val="000634A1"/>
    <w:rsid w:val="0006647C"/>
    <w:rsid w:val="00071F51"/>
    <w:rsid w:val="00076AD1"/>
    <w:rsid w:val="000807CE"/>
    <w:rsid w:val="00083CA2"/>
    <w:rsid w:val="00084F6E"/>
    <w:rsid w:val="00091428"/>
    <w:rsid w:val="000A0BCF"/>
    <w:rsid w:val="000A4074"/>
    <w:rsid w:val="000C5173"/>
    <w:rsid w:val="000D6C77"/>
    <w:rsid w:val="000E002C"/>
    <w:rsid w:val="000E423D"/>
    <w:rsid w:val="000E5815"/>
    <w:rsid w:val="000E5D12"/>
    <w:rsid w:val="000F098A"/>
    <w:rsid w:val="000F5AFF"/>
    <w:rsid w:val="00101B99"/>
    <w:rsid w:val="00101D92"/>
    <w:rsid w:val="00105A0B"/>
    <w:rsid w:val="00110838"/>
    <w:rsid w:val="001137D1"/>
    <w:rsid w:val="001166E7"/>
    <w:rsid w:val="00117189"/>
    <w:rsid w:val="00145A3D"/>
    <w:rsid w:val="00146B4F"/>
    <w:rsid w:val="001564DB"/>
    <w:rsid w:val="00166EE1"/>
    <w:rsid w:val="00167093"/>
    <w:rsid w:val="00167B44"/>
    <w:rsid w:val="001732D3"/>
    <w:rsid w:val="00174188"/>
    <w:rsid w:val="00177D82"/>
    <w:rsid w:val="00183B09"/>
    <w:rsid w:val="0018522E"/>
    <w:rsid w:val="00192B9A"/>
    <w:rsid w:val="00192E1F"/>
    <w:rsid w:val="00193746"/>
    <w:rsid w:val="001A3C46"/>
    <w:rsid w:val="001B2389"/>
    <w:rsid w:val="001B5742"/>
    <w:rsid w:val="001B6377"/>
    <w:rsid w:val="001C491B"/>
    <w:rsid w:val="001C6438"/>
    <w:rsid w:val="001D2A3B"/>
    <w:rsid w:val="001D680A"/>
    <w:rsid w:val="001D7013"/>
    <w:rsid w:val="001D78E5"/>
    <w:rsid w:val="0022510F"/>
    <w:rsid w:val="00226E0E"/>
    <w:rsid w:val="00236835"/>
    <w:rsid w:val="002554A6"/>
    <w:rsid w:val="00255987"/>
    <w:rsid w:val="00260C45"/>
    <w:rsid w:val="00274E9C"/>
    <w:rsid w:val="0028430E"/>
    <w:rsid w:val="0028622D"/>
    <w:rsid w:val="00297ABD"/>
    <w:rsid w:val="002B08B0"/>
    <w:rsid w:val="002B26A6"/>
    <w:rsid w:val="002B7A15"/>
    <w:rsid w:val="002C37DF"/>
    <w:rsid w:val="002C7954"/>
    <w:rsid w:val="002E5FEC"/>
    <w:rsid w:val="002F2161"/>
    <w:rsid w:val="00300300"/>
    <w:rsid w:val="00326097"/>
    <w:rsid w:val="00333347"/>
    <w:rsid w:val="00333C61"/>
    <w:rsid w:val="003436F9"/>
    <w:rsid w:val="003510BF"/>
    <w:rsid w:val="00352A82"/>
    <w:rsid w:val="003549B0"/>
    <w:rsid w:val="00355F3A"/>
    <w:rsid w:val="00366240"/>
    <w:rsid w:val="003815F8"/>
    <w:rsid w:val="003909AB"/>
    <w:rsid w:val="003924F9"/>
    <w:rsid w:val="0039457F"/>
    <w:rsid w:val="003A0AE4"/>
    <w:rsid w:val="003A140B"/>
    <w:rsid w:val="003A35BE"/>
    <w:rsid w:val="003B11F7"/>
    <w:rsid w:val="003B37E6"/>
    <w:rsid w:val="003B751F"/>
    <w:rsid w:val="003C75BA"/>
    <w:rsid w:val="003C768A"/>
    <w:rsid w:val="003D2C1B"/>
    <w:rsid w:val="003F3284"/>
    <w:rsid w:val="003F573F"/>
    <w:rsid w:val="00404B35"/>
    <w:rsid w:val="00411039"/>
    <w:rsid w:val="004129EE"/>
    <w:rsid w:val="004167B1"/>
    <w:rsid w:val="00417CFD"/>
    <w:rsid w:val="00426336"/>
    <w:rsid w:val="00435075"/>
    <w:rsid w:val="00440D1D"/>
    <w:rsid w:val="00445A64"/>
    <w:rsid w:val="0045587F"/>
    <w:rsid w:val="0046105D"/>
    <w:rsid w:val="00463FA4"/>
    <w:rsid w:val="00466CAD"/>
    <w:rsid w:val="0046762E"/>
    <w:rsid w:val="0047265E"/>
    <w:rsid w:val="004730F0"/>
    <w:rsid w:val="00473CB6"/>
    <w:rsid w:val="00482EAA"/>
    <w:rsid w:val="00483702"/>
    <w:rsid w:val="00486063"/>
    <w:rsid w:val="004938ED"/>
    <w:rsid w:val="004953C5"/>
    <w:rsid w:val="004A59BD"/>
    <w:rsid w:val="004B205F"/>
    <w:rsid w:val="004B5C13"/>
    <w:rsid w:val="004C38F2"/>
    <w:rsid w:val="004E146A"/>
    <w:rsid w:val="004E1561"/>
    <w:rsid w:val="004E225D"/>
    <w:rsid w:val="004E242E"/>
    <w:rsid w:val="004E5745"/>
    <w:rsid w:val="004F589D"/>
    <w:rsid w:val="00501C9C"/>
    <w:rsid w:val="00502488"/>
    <w:rsid w:val="005055BF"/>
    <w:rsid w:val="00520B14"/>
    <w:rsid w:val="005210F0"/>
    <w:rsid w:val="005330B2"/>
    <w:rsid w:val="0057151D"/>
    <w:rsid w:val="00581BE7"/>
    <w:rsid w:val="00582B8A"/>
    <w:rsid w:val="005B52A3"/>
    <w:rsid w:val="005C4CFE"/>
    <w:rsid w:val="005C6EAA"/>
    <w:rsid w:val="005E19A1"/>
    <w:rsid w:val="005F1D0C"/>
    <w:rsid w:val="00611051"/>
    <w:rsid w:val="006111BA"/>
    <w:rsid w:val="00611A07"/>
    <w:rsid w:val="00617764"/>
    <w:rsid w:val="00621F93"/>
    <w:rsid w:val="006225AC"/>
    <w:rsid w:val="0062335B"/>
    <w:rsid w:val="006270F5"/>
    <w:rsid w:val="0064644F"/>
    <w:rsid w:val="00646897"/>
    <w:rsid w:val="0066085E"/>
    <w:rsid w:val="006620F0"/>
    <w:rsid w:val="00665932"/>
    <w:rsid w:val="0066644E"/>
    <w:rsid w:val="00671F9A"/>
    <w:rsid w:val="0067333B"/>
    <w:rsid w:val="006766E8"/>
    <w:rsid w:val="0068629A"/>
    <w:rsid w:val="00686F68"/>
    <w:rsid w:val="006A5700"/>
    <w:rsid w:val="006A6CEF"/>
    <w:rsid w:val="006B73DA"/>
    <w:rsid w:val="006C65A7"/>
    <w:rsid w:val="006D6D24"/>
    <w:rsid w:val="006F2014"/>
    <w:rsid w:val="007066B5"/>
    <w:rsid w:val="007103C4"/>
    <w:rsid w:val="00714788"/>
    <w:rsid w:val="00722DC8"/>
    <w:rsid w:val="00722FAC"/>
    <w:rsid w:val="00726C80"/>
    <w:rsid w:val="00731380"/>
    <w:rsid w:val="00731A4D"/>
    <w:rsid w:val="00734A18"/>
    <w:rsid w:val="00744ADA"/>
    <w:rsid w:val="00763BF1"/>
    <w:rsid w:val="00764002"/>
    <w:rsid w:val="00774DD1"/>
    <w:rsid w:val="0079172C"/>
    <w:rsid w:val="00791DB2"/>
    <w:rsid w:val="00793022"/>
    <w:rsid w:val="00796028"/>
    <w:rsid w:val="007A5D3E"/>
    <w:rsid w:val="007A6C1C"/>
    <w:rsid w:val="007B53BF"/>
    <w:rsid w:val="007B699E"/>
    <w:rsid w:val="007C2368"/>
    <w:rsid w:val="007D5884"/>
    <w:rsid w:val="007E102C"/>
    <w:rsid w:val="007F3F5B"/>
    <w:rsid w:val="007F652E"/>
    <w:rsid w:val="00803E52"/>
    <w:rsid w:val="00807BC4"/>
    <w:rsid w:val="00810854"/>
    <w:rsid w:val="00811B8D"/>
    <w:rsid w:val="0086095B"/>
    <w:rsid w:val="00873CAB"/>
    <w:rsid w:val="00874D6E"/>
    <w:rsid w:val="008759F5"/>
    <w:rsid w:val="008802E3"/>
    <w:rsid w:val="00881993"/>
    <w:rsid w:val="008821D4"/>
    <w:rsid w:val="00894E70"/>
    <w:rsid w:val="00896E13"/>
    <w:rsid w:val="008A764C"/>
    <w:rsid w:val="008B49B6"/>
    <w:rsid w:val="008C0F4A"/>
    <w:rsid w:val="008D09D3"/>
    <w:rsid w:val="008D243F"/>
    <w:rsid w:val="008D632B"/>
    <w:rsid w:val="008E0A5C"/>
    <w:rsid w:val="008E5D98"/>
    <w:rsid w:val="008F21D2"/>
    <w:rsid w:val="008F55B6"/>
    <w:rsid w:val="008F5DCA"/>
    <w:rsid w:val="009012C6"/>
    <w:rsid w:val="009060A3"/>
    <w:rsid w:val="00906441"/>
    <w:rsid w:val="00914F37"/>
    <w:rsid w:val="00915132"/>
    <w:rsid w:val="009202FC"/>
    <w:rsid w:val="00920B34"/>
    <w:rsid w:val="00923057"/>
    <w:rsid w:val="009237BC"/>
    <w:rsid w:val="00923A6E"/>
    <w:rsid w:val="009245A1"/>
    <w:rsid w:val="00930053"/>
    <w:rsid w:val="00933216"/>
    <w:rsid w:val="00936141"/>
    <w:rsid w:val="00971000"/>
    <w:rsid w:val="00974D64"/>
    <w:rsid w:val="00990BC8"/>
    <w:rsid w:val="00991126"/>
    <w:rsid w:val="009A68CA"/>
    <w:rsid w:val="009B227A"/>
    <w:rsid w:val="009B5275"/>
    <w:rsid w:val="009C3C0E"/>
    <w:rsid w:val="009E201F"/>
    <w:rsid w:val="009E50FA"/>
    <w:rsid w:val="009E62E8"/>
    <w:rsid w:val="009F260B"/>
    <w:rsid w:val="009F26FE"/>
    <w:rsid w:val="00A02A24"/>
    <w:rsid w:val="00A03315"/>
    <w:rsid w:val="00A26C39"/>
    <w:rsid w:val="00A334D8"/>
    <w:rsid w:val="00A45BF4"/>
    <w:rsid w:val="00A65680"/>
    <w:rsid w:val="00A718FD"/>
    <w:rsid w:val="00A7398A"/>
    <w:rsid w:val="00A82871"/>
    <w:rsid w:val="00A84B0C"/>
    <w:rsid w:val="00A9127C"/>
    <w:rsid w:val="00A9136F"/>
    <w:rsid w:val="00A95A58"/>
    <w:rsid w:val="00A966E6"/>
    <w:rsid w:val="00AA4BFD"/>
    <w:rsid w:val="00AA67DA"/>
    <w:rsid w:val="00AB6455"/>
    <w:rsid w:val="00AC06FB"/>
    <w:rsid w:val="00AC730B"/>
    <w:rsid w:val="00AD370A"/>
    <w:rsid w:val="00AD69D9"/>
    <w:rsid w:val="00AD71DB"/>
    <w:rsid w:val="00AE1C08"/>
    <w:rsid w:val="00AE7B58"/>
    <w:rsid w:val="00AF675B"/>
    <w:rsid w:val="00B0059D"/>
    <w:rsid w:val="00B16931"/>
    <w:rsid w:val="00B178EE"/>
    <w:rsid w:val="00B40258"/>
    <w:rsid w:val="00B45A7F"/>
    <w:rsid w:val="00B4635C"/>
    <w:rsid w:val="00B50B4B"/>
    <w:rsid w:val="00B51CF5"/>
    <w:rsid w:val="00B5683A"/>
    <w:rsid w:val="00B628B4"/>
    <w:rsid w:val="00B71946"/>
    <w:rsid w:val="00B73445"/>
    <w:rsid w:val="00B73873"/>
    <w:rsid w:val="00B84FD2"/>
    <w:rsid w:val="00B92C18"/>
    <w:rsid w:val="00B938D0"/>
    <w:rsid w:val="00BB1DD2"/>
    <w:rsid w:val="00BC3565"/>
    <w:rsid w:val="00BC7F2F"/>
    <w:rsid w:val="00BD22F2"/>
    <w:rsid w:val="00BD689A"/>
    <w:rsid w:val="00BE213A"/>
    <w:rsid w:val="00BE5B70"/>
    <w:rsid w:val="00C03EC2"/>
    <w:rsid w:val="00C10614"/>
    <w:rsid w:val="00C156D8"/>
    <w:rsid w:val="00C2523F"/>
    <w:rsid w:val="00C404BA"/>
    <w:rsid w:val="00C50EB4"/>
    <w:rsid w:val="00C56046"/>
    <w:rsid w:val="00C67D5C"/>
    <w:rsid w:val="00C7627D"/>
    <w:rsid w:val="00C775A5"/>
    <w:rsid w:val="00C839C9"/>
    <w:rsid w:val="00C850EF"/>
    <w:rsid w:val="00C878BA"/>
    <w:rsid w:val="00C973E8"/>
    <w:rsid w:val="00CA2FFD"/>
    <w:rsid w:val="00CB20E3"/>
    <w:rsid w:val="00CB262A"/>
    <w:rsid w:val="00CC3F17"/>
    <w:rsid w:val="00CD0869"/>
    <w:rsid w:val="00CD37C5"/>
    <w:rsid w:val="00CE66C8"/>
    <w:rsid w:val="00CF0B4F"/>
    <w:rsid w:val="00CF1A27"/>
    <w:rsid w:val="00CF3DA4"/>
    <w:rsid w:val="00D01FF4"/>
    <w:rsid w:val="00D04E47"/>
    <w:rsid w:val="00D228F1"/>
    <w:rsid w:val="00D22CD1"/>
    <w:rsid w:val="00D35DD7"/>
    <w:rsid w:val="00D436AC"/>
    <w:rsid w:val="00D51EE1"/>
    <w:rsid w:val="00D54665"/>
    <w:rsid w:val="00D54FA4"/>
    <w:rsid w:val="00D607AB"/>
    <w:rsid w:val="00D620C1"/>
    <w:rsid w:val="00D657A6"/>
    <w:rsid w:val="00D66357"/>
    <w:rsid w:val="00D704B2"/>
    <w:rsid w:val="00D73A1E"/>
    <w:rsid w:val="00D800DE"/>
    <w:rsid w:val="00D81991"/>
    <w:rsid w:val="00D85EE0"/>
    <w:rsid w:val="00DA007E"/>
    <w:rsid w:val="00DA01E4"/>
    <w:rsid w:val="00DA69BC"/>
    <w:rsid w:val="00DB1A16"/>
    <w:rsid w:val="00DE068C"/>
    <w:rsid w:val="00DE7B81"/>
    <w:rsid w:val="00E00EDC"/>
    <w:rsid w:val="00E217AD"/>
    <w:rsid w:val="00E344DE"/>
    <w:rsid w:val="00E3725C"/>
    <w:rsid w:val="00E513FD"/>
    <w:rsid w:val="00E57102"/>
    <w:rsid w:val="00E639CC"/>
    <w:rsid w:val="00E660AE"/>
    <w:rsid w:val="00E722C2"/>
    <w:rsid w:val="00E72903"/>
    <w:rsid w:val="00E86FFD"/>
    <w:rsid w:val="00E876FD"/>
    <w:rsid w:val="00E914C5"/>
    <w:rsid w:val="00E93751"/>
    <w:rsid w:val="00EA1947"/>
    <w:rsid w:val="00EB5713"/>
    <w:rsid w:val="00EC2220"/>
    <w:rsid w:val="00EC6EFE"/>
    <w:rsid w:val="00ED7977"/>
    <w:rsid w:val="00EE1F2F"/>
    <w:rsid w:val="00EE5DDF"/>
    <w:rsid w:val="00EE6405"/>
    <w:rsid w:val="00F12361"/>
    <w:rsid w:val="00F13C6E"/>
    <w:rsid w:val="00F1418C"/>
    <w:rsid w:val="00F1637F"/>
    <w:rsid w:val="00F23FB8"/>
    <w:rsid w:val="00F24C66"/>
    <w:rsid w:val="00F26014"/>
    <w:rsid w:val="00F27B9D"/>
    <w:rsid w:val="00F27F42"/>
    <w:rsid w:val="00F40810"/>
    <w:rsid w:val="00F4231E"/>
    <w:rsid w:val="00F661C5"/>
    <w:rsid w:val="00F67284"/>
    <w:rsid w:val="00F72397"/>
    <w:rsid w:val="00F7303F"/>
    <w:rsid w:val="00F770B1"/>
    <w:rsid w:val="00F80099"/>
    <w:rsid w:val="00F811AF"/>
    <w:rsid w:val="00F85BAC"/>
    <w:rsid w:val="00FA0E09"/>
    <w:rsid w:val="00FA2844"/>
    <w:rsid w:val="00FA3465"/>
    <w:rsid w:val="00FA7156"/>
    <w:rsid w:val="00FB2A38"/>
    <w:rsid w:val="00FB31B4"/>
    <w:rsid w:val="00FB5AF8"/>
    <w:rsid w:val="00FB7287"/>
    <w:rsid w:val="00FC3620"/>
    <w:rsid w:val="00FC4BA2"/>
    <w:rsid w:val="00FD1CE5"/>
    <w:rsid w:val="00FE6192"/>
    <w:rsid w:val="00FF140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8E0A5C"/>
    <w:rPr>
      <w:sz w:val="16"/>
      <w:szCs w:val="16"/>
    </w:rPr>
  </w:style>
  <w:style w:type="paragraph" w:styleId="Pripombabesedilo">
    <w:name w:val="annotation text"/>
    <w:basedOn w:val="Navaden"/>
    <w:link w:val="PripombabesediloZnak"/>
    <w:uiPriority w:val="99"/>
    <w:semiHidden/>
    <w:unhideWhenUsed/>
    <w:rsid w:val="008E0A5C"/>
    <w:pPr>
      <w:spacing w:line="240" w:lineRule="auto"/>
    </w:pPr>
  </w:style>
  <w:style w:type="character" w:customStyle="1" w:styleId="PripombabesediloZnak">
    <w:name w:val="Pripomba – besedilo Znak"/>
    <w:basedOn w:val="Privzetapisavaodstavka"/>
    <w:link w:val="Pripombabesedilo"/>
    <w:uiPriority w:val="99"/>
    <w:semiHidden/>
    <w:rsid w:val="008E0A5C"/>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E0A5C"/>
    <w:rPr>
      <w:b/>
    </w:rPr>
  </w:style>
  <w:style w:type="character" w:customStyle="1" w:styleId="ZadevapripombeZnak">
    <w:name w:val="Zadeva pripombe Znak"/>
    <w:basedOn w:val="PripombabesediloZnak"/>
    <w:link w:val="Zadevapripombe"/>
    <w:uiPriority w:val="99"/>
    <w:semiHidden/>
    <w:rsid w:val="008E0A5C"/>
    <w:rPr>
      <w:rFonts w:ascii="Verdana" w:eastAsia="Times New Roman" w:hAnsi="Verdana" w:cs="Arial"/>
      <w:b/>
      <w:bCs/>
      <w:noProof/>
      <w:sz w:val="20"/>
      <w:szCs w:val="20"/>
      <w:lang w:eastAsia="sl-SI"/>
    </w:rPr>
  </w:style>
  <w:style w:type="paragraph" w:styleId="Revizija">
    <w:name w:val="Revision"/>
    <w:hidden/>
    <w:uiPriority w:val="99"/>
    <w:semiHidden/>
    <w:rsid w:val="008E0A5C"/>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radni-list.si/glasilo-uradni-list-rs/vsebina/2010-01-0520" TargetMode="External"/><Relationship Id="rId26" Type="http://schemas.openxmlformats.org/officeDocument/2006/relationships/hyperlink" Target="https://www.uradni-list.si/glasilo-uradni-list-rs/vsebina/2014-01-0961" TargetMode="External"/><Relationship Id="rId39" Type="http://schemas.openxmlformats.org/officeDocument/2006/relationships/theme" Target="theme/theme1.xml"/><Relationship Id="rId21" Type="http://schemas.openxmlformats.org/officeDocument/2006/relationships/hyperlink" Target="https://www.uradni-list.si/glasilo-uradni-list-rs/vsebina/2010-01-5583" TargetMode="External"/><Relationship Id="rId34" Type="http://schemas.openxmlformats.org/officeDocument/2006/relationships/hyperlink" Target="https://www.uradni-list.si/glasilo-uradni-list-rs/vsebina/2022-01-340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radni-list.si/glasilo-uradni-list-rs/vsebina/2009-01-4891" TargetMode="External"/><Relationship Id="rId25" Type="http://schemas.openxmlformats.org/officeDocument/2006/relationships/hyperlink" Target="https://www.uradni-list.si/glasilo-uradni-list-rs/vsebina/2013-01-1753" TargetMode="External"/><Relationship Id="rId33" Type="http://schemas.openxmlformats.org/officeDocument/2006/relationships/hyperlink" Target="https://www.uradni-list.si/glasilo-uradni-list-rs/vsebina/2021-01-415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radni-list.si/glasilo-uradni-list-rs/vsebina/2010-01-4554" TargetMode="External"/><Relationship Id="rId29" Type="http://schemas.openxmlformats.org/officeDocument/2006/relationships/hyperlink" Target="https://www.uradni-list.si/glasilo-uradni-list-rs/vsebina/2015-01-32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12-01-1700" TargetMode="External"/><Relationship Id="rId32" Type="http://schemas.openxmlformats.org/officeDocument/2006/relationships/hyperlink" Target="https://www.uradni-list.si/glasilo-uradni-list-rs/vsebina/2018-01-4122" TargetMode="External"/><Relationship Id="rId37" Type="http://schemas.openxmlformats.org/officeDocument/2006/relationships/hyperlink" Target="https://www.uradni-list.si/glasilo-uradni-list-rs/vsebina/2024-01-286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radni-list.si/glasilo-uradni-list-rs/vsebina/2012-01-1121" TargetMode="External"/><Relationship Id="rId28" Type="http://schemas.openxmlformats.org/officeDocument/2006/relationships/hyperlink" Target="https://www.uradni-list.si/glasilo-uradni-list-rs/vsebina/2014-01-3949" TargetMode="External"/><Relationship Id="rId36" Type="http://schemas.openxmlformats.org/officeDocument/2006/relationships/hyperlink" Target="https://www.uradni-list.si/glasilo-uradni-list-rs/vsebina/2024-01-1657" TargetMode="External"/><Relationship Id="rId10" Type="http://schemas.openxmlformats.org/officeDocument/2006/relationships/endnotes" Target="endnotes.xml"/><Relationship Id="rId19" Type="http://schemas.openxmlformats.org/officeDocument/2006/relationships/hyperlink" Target="https://www.uradni-list.si/glasilo-uradni-list-rs/vsebina/2010-01-3273" TargetMode="External"/><Relationship Id="rId31" Type="http://schemas.openxmlformats.org/officeDocument/2006/relationships/hyperlink" Target="https://www.uradni-list.si/glasilo-uradni-list-rs/vsebina/2017-01-31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11-01-1743" TargetMode="External"/><Relationship Id="rId27" Type="http://schemas.openxmlformats.org/officeDocument/2006/relationships/hyperlink" Target="https://www.uradni-list.si/glasilo-uradni-list-rs/vsebina/2014-01-2074" TargetMode="External"/><Relationship Id="rId30" Type="http://schemas.openxmlformats.org/officeDocument/2006/relationships/hyperlink" Target="https://www.uradni-list.si/glasilo-uradni-list-rs/vsebina/2017-01-1206" TargetMode="External"/><Relationship Id="rId35" Type="http://schemas.openxmlformats.org/officeDocument/2006/relationships/hyperlink" Target="https://www.uradni-list.si/glasilo-uradni-list-rs/vsebina/2024-01-129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3114</Words>
  <Characters>17750</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89</cp:revision>
  <cp:lastPrinted>2025-02-19T07:16:00Z</cp:lastPrinted>
  <dcterms:created xsi:type="dcterms:W3CDTF">2026-02-26T12:23:00Z</dcterms:created>
  <dcterms:modified xsi:type="dcterms:W3CDTF">2026-03-12T15:07:00Z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