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42189DE8" w:rsidR="0066085E" w:rsidRDefault="007A081D" w:rsidP="0066085E">
      <w:pPr>
        <w:pStyle w:val="Nazivenote"/>
        <w:rPr>
          <w:b w:val="0"/>
          <w:bCs/>
        </w:rPr>
      </w:pPr>
      <w:r>
        <mc:AlternateContent>
          <mc:Choice Requires="wps">
            <w:drawing>
              <wp:anchor distT="0" distB="0" distL="114300" distR="114300" simplePos="0" relativeHeight="251658240" behindDoc="0" locked="0" layoutInCell="1" allowOverlap="1" wp14:anchorId="4A5FC2D6" wp14:editId="6B6465D2">
                <wp:simplePos x="0" y="0"/>
                <wp:positionH relativeFrom="page">
                  <wp:posOffset>5524500</wp:posOffset>
                </wp:positionH>
                <wp:positionV relativeFrom="page">
                  <wp:posOffset>1057275</wp:posOffset>
                </wp:positionV>
                <wp:extent cx="971550" cy="904875"/>
                <wp:effectExtent l="0" t="0" r="19050" b="28575"/>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71550" cy="904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13797" id="Pravokotnik 18" o:spid="_x0000_s1026" alt="&quot;&quot;" style="position:absolute;margin-left:435pt;margin-top:83.25pt;width:76.5pt;height:7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" filled="f" strokecolor="black [3213]" strokeweight="1pt">
                <w10:wrap anchorx="page" anchory="page"/>
              </v:rect>
            </w:pict>
          </mc:Fallback>
        </mc:AlternateContent>
      </w:r>
      <w:r>
        <mc:AlternateContent>
          <mc:Choice Requires="wps">
            <w:drawing>
              <wp:anchor distT="45720" distB="45720" distL="114300" distR="114300" simplePos="0" relativeHeight="251658241" behindDoc="1" locked="0" layoutInCell="1" allowOverlap="1" wp14:anchorId="18D38E96" wp14:editId="07F69578">
                <wp:simplePos x="0" y="0"/>
                <wp:positionH relativeFrom="column">
                  <wp:posOffset>4681220</wp:posOffset>
                </wp:positionH>
                <wp:positionV relativeFrom="paragraph">
                  <wp:posOffset>15240</wp:posOffset>
                </wp:positionV>
                <wp:extent cx="873125" cy="609600"/>
                <wp:effectExtent l="0" t="0" r="3175" b="0"/>
                <wp:wrapTight wrapText="bothSides">
                  <wp:wrapPolygon edited="0">
                    <wp:start x="0" y="0"/>
                    <wp:lineTo x="0" y="20925"/>
                    <wp:lineTo x="21207" y="20925"/>
                    <wp:lineTo x="21207"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609600"/>
                        </a:xfrm>
                        <a:prstGeom prst="rect">
                          <a:avLst/>
                        </a:prstGeom>
                        <a:solidFill>
                          <a:srgbClr val="FFFFFF"/>
                        </a:solidFill>
                        <a:ln w="9525">
                          <a:noFill/>
                          <a:miter lim="800000"/>
                          <a:headEnd/>
                          <a:tailEnd/>
                        </a:ln>
                      </wps:spPr>
                      <wps:txbx>
                        <w:txbxContent>
                          <w:p w14:paraId="79C32D9A" w14:textId="7BB81F58" w:rsidR="00445A64" w:rsidRPr="000E5815" w:rsidRDefault="007A081D" w:rsidP="00445A64">
                            <w:pPr>
                              <w:pStyle w:val="tevilka"/>
                              <w:rPr>
                                <w:sz w:val="80"/>
                                <w:szCs w:val="80"/>
                              </w:rPr>
                            </w:pPr>
                            <w:r>
                              <w:rPr>
                                <w:sz w:val="80"/>
                                <w:szCs w:val="80"/>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68.6pt;margin-top:1.2pt;width:68.75pt;height:48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" stroked="f">
                <v:textbox>
                  <w:txbxContent>
                    <w:p w14:paraId="79C32D9A" w14:textId="7BB81F58" w:rsidR="00445A64" w:rsidRPr="000E5815" w:rsidRDefault="007A081D" w:rsidP="00445A64">
                      <w:pPr>
                        <w:pStyle w:val="tevilka"/>
                        <w:rPr>
                          <w:sz w:val="80"/>
                          <w:szCs w:val="80"/>
                        </w:rPr>
                      </w:pPr>
                      <w:r>
                        <w:rPr>
                          <w:sz w:val="80"/>
                          <w:szCs w:val="80"/>
                        </w:rPr>
                        <w:t>13</w:t>
                      </w:r>
                    </w:p>
                  </w:txbxContent>
                </v:textbox>
                <w10:wrap type="tight"/>
              </v:shape>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00CD829F" w:rsidR="0066085E" w:rsidRDefault="0066085E" w:rsidP="00BE5B70">
      <w:pPr>
        <w:pStyle w:val="stevilkadokumenta"/>
      </w:pPr>
      <w:r w:rsidRPr="00BE5B70">
        <w:rPr>
          <w:rStyle w:val="ZvezaZnak"/>
          <w:bCs/>
          <w:sz w:val="20"/>
          <w:u w:val="none"/>
        </w:rPr>
        <w:t xml:space="preserve">Številka: </w:t>
      </w:r>
      <w:r w:rsidR="00442758">
        <w:rPr>
          <w:rStyle w:val="ZvezaZnak"/>
          <w:bCs/>
          <w:sz w:val="20"/>
          <w:u w:val="none"/>
        </w:rPr>
        <w:t>410-0002/2026-5</w:t>
      </w:r>
      <w:r w:rsidR="00352A82" w:rsidRPr="00BE5B70">
        <w:rPr>
          <w:rStyle w:val="ZvezaZnak"/>
          <w:bCs/>
          <w:sz w:val="20"/>
          <w:u w:val="none"/>
        </w:rPr>
        <w:br/>
      </w:r>
      <w:r w:rsidRPr="00BE5B70">
        <w:t xml:space="preserve">Nova Gorica, dne </w:t>
      </w:r>
      <w:r w:rsidRPr="00EB64A2">
        <w:t>3</w:t>
      </w:r>
      <w:r w:rsidR="00EB64A2" w:rsidRPr="00EB64A2">
        <w:t>0</w:t>
      </w:r>
      <w:r w:rsidRPr="00BE5B70">
        <w:t xml:space="preserve">. </w:t>
      </w:r>
      <w:r w:rsidR="00E418AB">
        <w:t>marca</w:t>
      </w:r>
      <w:r w:rsidRPr="00BE5B70">
        <w:t xml:space="preserve"> 202</w:t>
      </w:r>
      <w:r w:rsidR="00E418AB">
        <w:t>6</w:t>
      </w:r>
    </w:p>
    <w:p w14:paraId="7731015D" w14:textId="77777777" w:rsidR="000807CE" w:rsidRPr="00BE5B70" w:rsidRDefault="000807CE" w:rsidP="00BE5B70">
      <w:pPr>
        <w:pStyle w:val="stevilkadokumenta"/>
        <w:rPr>
          <w:rStyle w:val="ZvezaZnak"/>
          <w:bCs/>
          <w:sz w:val="20"/>
          <w:u w:val="none"/>
        </w:rPr>
      </w:pP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1D7223B1" w14:textId="53FEE0A4" w:rsidR="0066085E" w:rsidRDefault="0066085E" w:rsidP="009B227A">
      <w:pPr>
        <w:pStyle w:val="Naslov1"/>
        <w:spacing w:before="240" w:after="240"/>
        <w:ind w:left="4395" w:hanging="3686"/>
      </w:pPr>
      <w:r w:rsidRPr="00A9136F">
        <w:rPr>
          <w:sz w:val="20"/>
          <w:szCs w:val="20"/>
        </w:rPr>
        <w:t>NASLOV:</w:t>
      </w:r>
      <w:r>
        <w:tab/>
      </w:r>
      <w:r w:rsidR="004055BC" w:rsidRPr="004B53C7">
        <w:rPr>
          <w:sz w:val="20"/>
          <w:szCs w:val="20"/>
        </w:rPr>
        <w:t xml:space="preserve">Predlog </w:t>
      </w:r>
      <w:r w:rsidR="001F3B23" w:rsidRPr="004B53C7">
        <w:rPr>
          <w:sz w:val="20"/>
          <w:szCs w:val="20"/>
        </w:rPr>
        <w:t>Zaključn</w:t>
      </w:r>
      <w:r w:rsidR="004B53C7">
        <w:rPr>
          <w:sz w:val="20"/>
          <w:szCs w:val="20"/>
        </w:rPr>
        <w:t>ega</w:t>
      </w:r>
      <w:r w:rsidR="001F3B23">
        <w:rPr>
          <w:sz w:val="20"/>
          <w:szCs w:val="24"/>
        </w:rPr>
        <w:t xml:space="preserve"> račun</w:t>
      </w:r>
      <w:r w:rsidR="004B53C7">
        <w:rPr>
          <w:sz w:val="20"/>
          <w:szCs w:val="24"/>
        </w:rPr>
        <w:t>a</w:t>
      </w:r>
      <w:r w:rsidR="001F3B23">
        <w:rPr>
          <w:sz w:val="20"/>
          <w:szCs w:val="24"/>
        </w:rPr>
        <w:t xml:space="preserve"> proračuna Mestne občine Nova Gorica za leto 2025</w:t>
      </w:r>
    </w:p>
    <w:p w14:paraId="4EB48263" w14:textId="51EBEC47" w:rsidR="0066085E" w:rsidRDefault="0066085E" w:rsidP="000E5815">
      <w:pPr>
        <w:ind w:left="4395" w:hanging="3686"/>
        <w:jc w:val="left"/>
      </w:pPr>
      <w:r w:rsidRPr="00FB7287">
        <w:rPr>
          <w:b/>
          <w:bCs w:val="0"/>
        </w:rPr>
        <w:t>GRADIVO PRIPRAVIL</w:t>
      </w:r>
      <w:r>
        <w:t>:</w:t>
      </w:r>
      <w:r>
        <w:tab/>
      </w:r>
      <w:r w:rsidRPr="000E5815">
        <w:rPr>
          <w:rStyle w:val="gradivoZnak"/>
        </w:rPr>
        <w:t xml:space="preserve">Mestna občina Nova Gorica, </w:t>
      </w:r>
      <w:r w:rsidR="003E2C39">
        <w:rPr>
          <w:rStyle w:val="gradivoZnak"/>
        </w:rPr>
        <w:t>Urad direktorja</w:t>
      </w:r>
      <w:r w:rsidR="004B53C7">
        <w:rPr>
          <w:rStyle w:val="gradivoZnak"/>
        </w:rPr>
        <w:t xml:space="preserve">, </w:t>
      </w:r>
      <w:r w:rsidR="000247DB">
        <w:rPr>
          <w:rStyle w:val="gradivoZnak"/>
        </w:rPr>
        <w:t>Finančno računovodska služba</w:t>
      </w:r>
    </w:p>
    <w:p w14:paraId="2589E91B" w14:textId="55E9F1D3" w:rsidR="0066085E" w:rsidRDefault="0066085E" w:rsidP="00FB7287">
      <w:pPr>
        <w:ind w:left="4395" w:hanging="3686"/>
      </w:pPr>
      <w:r w:rsidRPr="00FB7287">
        <w:rPr>
          <w:b/>
          <w:bCs w:val="0"/>
        </w:rPr>
        <w:t>IZDELOVALEC GRADIVA:</w:t>
      </w:r>
      <w:r w:rsidR="00FB7287">
        <w:tab/>
      </w:r>
      <w:r w:rsidR="000247DB">
        <w:t>/</w:t>
      </w:r>
    </w:p>
    <w:p w14:paraId="11F58982" w14:textId="08E0A04C"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r w:rsidR="00F358AC">
        <w:t>Mateja Mislej, vodja finančno računovodske službe</w:t>
      </w:r>
    </w:p>
    <w:p w14:paraId="75A8D632" w14:textId="6D6A2A99" w:rsidR="0066085E" w:rsidRDefault="0066085E" w:rsidP="00FB7287">
      <w:pPr>
        <w:ind w:left="4395" w:hanging="3686"/>
      </w:pPr>
      <w:r w:rsidRPr="00FB7287">
        <w:rPr>
          <w:b/>
          <w:bCs w:val="0"/>
        </w:rPr>
        <w:t xml:space="preserve">PRISTOJNO DELOVNO </w:t>
      </w:r>
      <w:r w:rsidR="002579A6" w:rsidRPr="002579A6">
        <w:rPr>
          <w:b/>
          <w:bCs w:val="0"/>
        </w:rPr>
        <w:t>TELO</w:t>
      </w:r>
      <w:r>
        <w:t xml:space="preserve">: </w:t>
      </w:r>
      <w:r>
        <w:tab/>
      </w:r>
      <w:r w:rsidR="00314A27" w:rsidRPr="00C723BC">
        <w:t>Odbor z</w:t>
      </w:r>
      <w:r w:rsidR="00314A27">
        <w:t>a prostor, Odbor za gospodarstvo, Odbor za socialno varstvo in zdravstvo, Odbor za kulturo, šolstvo in šport, Odbor za krajevne skupnosti</w:t>
      </w:r>
    </w:p>
    <w:p w14:paraId="4C9319DA" w14:textId="7B5A35DC" w:rsidR="0066085E" w:rsidRPr="00FB7287" w:rsidRDefault="0066085E" w:rsidP="00352A82">
      <w:pPr>
        <w:rPr>
          <w:b/>
          <w:bCs w:val="0"/>
        </w:rPr>
      </w:pPr>
      <w:r w:rsidRPr="00FB7287">
        <w:rPr>
          <w:b/>
          <w:bCs w:val="0"/>
        </w:rPr>
        <w:t xml:space="preserve">PREDLOG SKLEPA: </w:t>
      </w:r>
    </w:p>
    <w:p w14:paraId="267E24A6" w14:textId="7EBC8A48" w:rsidR="00FB7287" w:rsidRDefault="00FB7287" w:rsidP="000E5815">
      <w:r w:rsidRPr="0008026B">
        <w:t xml:space="preserve">Mestni svet Mestne občine Nova Gorica sprejme </w:t>
      </w:r>
      <w:r w:rsidR="00B735F3">
        <w:t>Zaključn</w:t>
      </w:r>
      <w:r w:rsidR="00801320">
        <w:t>i</w:t>
      </w:r>
      <w:r w:rsidR="00B735F3">
        <w:t xml:space="preserve"> račun proračuna Mestne občine Nova Gorica za leto 2025</w:t>
      </w:r>
      <w:bookmarkStart w:id="0" w:name="_Hlk195615944"/>
      <w:r w:rsidR="00B735F3">
        <w:t>.</w:t>
      </w:r>
    </w:p>
    <w:p w14:paraId="7AA05322" w14:textId="77777777" w:rsidR="000E5815" w:rsidRPr="00FB7287" w:rsidRDefault="000E5815" w:rsidP="00A44DFE">
      <w:pPr>
        <w:ind w:left="0"/>
      </w:pP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C818D4">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6EE58202" w:rsidR="00FB7287" w:rsidRPr="00E639CC" w:rsidRDefault="00167093" w:rsidP="00C818D4">
            <w:pPr>
              <w:pStyle w:val="Podpisoseba"/>
              <w:spacing w:before="0" w:after="0"/>
              <w:rPr>
                <w:bCs w:val="0"/>
              </w:rPr>
            </w:pPr>
            <w:r>
              <w:t>ž</w:t>
            </w:r>
            <w:r w:rsidR="00FB7287" w:rsidRPr="00E639CC">
              <w:t>upan</w:t>
            </w:r>
          </w:p>
        </w:tc>
      </w:tr>
      <w:bookmarkEnd w:id="0"/>
    </w:tbl>
    <w:p w14:paraId="44177559" w14:textId="77777777" w:rsidR="00FB7287" w:rsidRPr="00BE5B70" w:rsidRDefault="00FB7287" w:rsidP="00BE5B70">
      <w:pPr>
        <w:rPr>
          <w:rStyle w:val="ZvezaZnak"/>
          <w:bCs/>
          <w:sz w:val="20"/>
          <w:u w:val="none"/>
        </w:rPr>
      </w:pPr>
    </w:p>
    <w:p w14:paraId="1C6841A1" w14:textId="0A7158D1" w:rsidR="0005678C" w:rsidRPr="00774DD1" w:rsidRDefault="0066085E" w:rsidP="00774DD1">
      <w:pPr>
        <w:pStyle w:val="gradivo"/>
      </w:pPr>
      <w:r w:rsidRPr="00774DD1">
        <w:t>Gradivo</w:t>
      </w:r>
      <w:r w:rsidR="00F12361" w:rsidRPr="00774DD1">
        <w:t>:</w:t>
      </w:r>
    </w:p>
    <w:p w14:paraId="08ABD712" w14:textId="5E0C0AFD" w:rsidR="00774DD1" w:rsidRDefault="0066085E" w:rsidP="00774DD1">
      <w:pPr>
        <w:pStyle w:val="gradivo"/>
        <w:numPr>
          <w:ilvl w:val="0"/>
          <w:numId w:val="10"/>
        </w:numPr>
      </w:pPr>
      <w:r w:rsidRPr="00774DD1">
        <w:t>Gradivo</w:t>
      </w:r>
      <w:r w:rsidR="00F12361" w:rsidRPr="00774DD1">
        <w:t xml:space="preserve"> 1: </w:t>
      </w:r>
      <w:r w:rsidRPr="00774DD1">
        <w:t>predlog</w:t>
      </w:r>
      <w:r w:rsidR="00A44DFE">
        <w:t xml:space="preserve"> Zaključnega računa proračuna Mestne občine Nova Gorica za leto 2025</w:t>
      </w:r>
    </w:p>
    <w:p w14:paraId="42E3232A" w14:textId="77777777" w:rsidR="00774DD1" w:rsidRDefault="0066085E" w:rsidP="00774DD1">
      <w:pPr>
        <w:pStyle w:val="gradivo"/>
        <w:numPr>
          <w:ilvl w:val="0"/>
          <w:numId w:val="10"/>
        </w:numPr>
      </w:pPr>
      <w:r w:rsidRPr="00774DD1">
        <w:t>Gradivo</w:t>
      </w:r>
      <w:r w:rsidR="001137D1" w:rsidRPr="00774DD1">
        <w:t xml:space="preserve"> </w:t>
      </w:r>
      <w:r w:rsidR="00F12361" w:rsidRPr="00774DD1">
        <w:t xml:space="preserve">2: </w:t>
      </w:r>
      <w:r w:rsidRPr="00774DD1">
        <w:t>obrazložitev</w:t>
      </w:r>
    </w:p>
    <w:p w14:paraId="35EBE53F" w14:textId="77777777" w:rsidR="001C491B" w:rsidRDefault="001C491B" w:rsidP="00352A82">
      <w:pPr>
        <w:pStyle w:val="Odstavekseznama"/>
      </w:pPr>
    </w:p>
    <w:p w14:paraId="29F8F0D4" w14:textId="77777777" w:rsidR="001C491B" w:rsidRPr="001C491B" w:rsidRDefault="001C491B" w:rsidP="00352A82">
      <w:pPr>
        <w:sectPr w:rsidR="001C491B" w:rsidRPr="001C491B" w:rsidSect="00E217AD">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1304" w:footer="454" w:gutter="0"/>
          <w:cols w:space="708"/>
          <w:titlePg/>
          <w:docGrid w:linePitch="360"/>
        </w:sectPr>
      </w:pPr>
    </w:p>
    <w:p w14:paraId="68735223" w14:textId="544422C2"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58243"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58242" behindDoc="0" locked="0" layoutInCell="1" allowOverlap="1" wp14:anchorId="1F923174" wp14:editId="5DA75253">
                <wp:simplePos x="0" y="0"/>
                <wp:positionH relativeFrom="page">
                  <wp:posOffset>5080000</wp:posOffset>
                </wp:positionH>
                <wp:positionV relativeFrom="page">
                  <wp:posOffset>965200</wp:posOffset>
                </wp:positionV>
                <wp:extent cx="1663700" cy="914400"/>
                <wp:effectExtent l="0" t="0" r="12700" b="19050"/>
                <wp:wrapNone/>
                <wp:docPr id="21" name="Pravokotnik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D4ECF" id="Pravokotnik 21" o:spid="_x0000_s1026" alt="&quot;&quot;" style="position:absolute;margin-left:400pt;margin-top:76pt;width:131pt;height:1in;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 xml:space="preserve">Mestni </w:t>
      </w:r>
      <w:r w:rsidR="00964AD4">
        <w:t>s</w:t>
      </w:r>
      <w:r w:rsidR="00731380">
        <w:t>vet</w:t>
      </w:r>
      <w:r w:rsidR="00731380">
        <w:br/>
      </w:r>
      <w:r w:rsidR="00731380" w:rsidRPr="008802E3">
        <w:rPr>
          <w:b w:val="0"/>
          <w:bCs/>
        </w:rPr>
        <w:t>Trg Edvarda Kardelja 1, 5000 Nova Gorica</w:t>
      </w:r>
    </w:p>
    <w:p w14:paraId="4DA58669" w14:textId="77777777" w:rsidR="000E5815" w:rsidRDefault="000E5815" w:rsidP="00BE5B70"/>
    <w:p w14:paraId="58D8DDBC" w14:textId="77777777" w:rsidR="000E5815" w:rsidRDefault="000E5815" w:rsidP="00BE5B70"/>
    <w:p w14:paraId="79491712" w14:textId="0F969F6B" w:rsidR="00404A94" w:rsidRPr="00404A94" w:rsidRDefault="00404A94" w:rsidP="00404A94">
      <w:r w:rsidRPr="00404A94">
        <w:t xml:space="preserve">Na podlagi tretjega odstavka 98. člena Zakona o javnih financah </w:t>
      </w:r>
      <w:r w:rsidRPr="005772B5">
        <w:rPr>
          <w:bCs w:val="0"/>
        </w:rPr>
        <w:t>(U</w:t>
      </w:r>
      <w:r w:rsidRPr="005772B5">
        <w:t xml:space="preserve">radni list RS, </w:t>
      </w:r>
      <w:r w:rsidR="005772B5" w:rsidRPr="005772B5">
        <w:t>št. </w:t>
      </w:r>
      <w:hyperlink r:id="rId17" w:tgtFrame="_blank" w:tooltip="Zakon o javnih financah (uradno prečiščeno besedilo) (ZJF-UPB4)" w:history="1">
        <w:r w:rsidR="005772B5" w:rsidRPr="005772B5">
          <w:rPr>
            <w:rStyle w:val="Hiperpovezava"/>
            <w:color w:val="auto"/>
            <w:u w:val="none"/>
          </w:rPr>
          <w:t>11/11</w:t>
        </w:r>
      </w:hyperlink>
      <w:r w:rsidR="005772B5" w:rsidRPr="005772B5">
        <w:t> – uradno prečiščeno besedilo, </w:t>
      </w:r>
      <w:hyperlink r:id="rId18" w:tgtFrame="_blank" w:tooltip="Popravek Uradnega prečiščenega besedila Zakona  o javnih financah (ZJF-UPB4p)" w:history="1">
        <w:r w:rsidR="005772B5" w:rsidRPr="005772B5">
          <w:rPr>
            <w:rStyle w:val="Hiperpovezava"/>
            <w:color w:val="auto"/>
            <w:u w:val="none"/>
          </w:rPr>
          <w:t>14/13</w:t>
        </w:r>
      </w:hyperlink>
      <w:r w:rsidR="005772B5" w:rsidRPr="005772B5">
        <w:t xml:space="preserve"> – </w:t>
      </w:r>
      <w:proofErr w:type="spellStart"/>
      <w:r w:rsidR="005772B5" w:rsidRPr="005772B5">
        <w:t>popr</w:t>
      </w:r>
      <w:proofErr w:type="spellEnd"/>
      <w:r w:rsidR="005772B5" w:rsidRPr="005772B5">
        <w:t>., </w:t>
      </w:r>
      <w:hyperlink r:id="rId19" w:tgtFrame="_blank" w:tooltip="Zakon o dopolnitvi Zakona o javnih financah (ZJF-G)" w:history="1">
        <w:r w:rsidR="005772B5" w:rsidRPr="005772B5">
          <w:rPr>
            <w:rStyle w:val="Hiperpovezava"/>
            <w:color w:val="auto"/>
            <w:u w:val="none"/>
          </w:rPr>
          <w:t>101/13</w:t>
        </w:r>
      </w:hyperlink>
      <w:r w:rsidR="005772B5" w:rsidRPr="005772B5">
        <w:t>, </w:t>
      </w:r>
      <w:hyperlink r:id="rId20" w:tgtFrame="_blank" w:tooltip="Zakon o fiskalnem pravilu (ZFisP)" w:history="1">
        <w:r w:rsidR="005772B5" w:rsidRPr="005772B5">
          <w:rPr>
            <w:rStyle w:val="Hiperpovezava"/>
            <w:color w:val="auto"/>
            <w:u w:val="none"/>
          </w:rPr>
          <w:t>55/15</w:t>
        </w:r>
      </w:hyperlink>
      <w:r w:rsidR="005772B5" w:rsidRPr="005772B5">
        <w:t xml:space="preserve"> – </w:t>
      </w:r>
      <w:proofErr w:type="spellStart"/>
      <w:r w:rsidR="005772B5" w:rsidRPr="005772B5">
        <w:t>ZFisP</w:t>
      </w:r>
      <w:proofErr w:type="spellEnd"/>
      <w:r w:rsidR="005772B5" w:rsidRPr="005772B5">
        <w:t>, </w:t>
      </w:r>
      <w:hyperlink r:id="rId21" w:tgtFrame="_blank" w:tooltip="Zakon o izvrševanju proračunov Republike Slovenije za leti 2016 in 2017 (ZIPRS1617)" w:history="1">
        <w:r w:rsidR="005772B5" w:rsidRPr="005772B5">
          <w:rPr>
            <w:rStyle w:val="Hiperpovezava"/>
            <w:color w:val="auto"/>
            <w:u w:val="none"/>
          </w:rPr>
          <w:t>96/15</w:t>
        </w:r>
      </w:hyperlink>
      <w:r w:rsidR="005772B5" w:rsidRPr="005772B5">
        <w:t> – ZIPRS1617, </w:t>
      </w:r>
      <w:hyperlink r:id="rId22" w:tgtFrame="_blank" w:tooltip="Zakon o spremembah in dopolnitvah Zakona o javnih financah (ZJF-H)" w:history="1">
        <w:r w:rsidR="005772B5" w:rsidRPr="005772B5">
          <w:rPr>
            <w:rStyle w:val="Hiperpovezava"/>
            <w:color w:val="auto"/>
            <w:u w:val="none"/>
          </w:rPr>
          <w:t>13/18</w:t>
        </w:r>
      </w:hyperlink>
      <w:r w:rsidR="005772B5" w:rsidRPr="005772B5">
        <w:t>, </w:t>
      </w:r>
      <w:hyperlink r:id="rId23"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005772B5" w:rsidRPr="005772B5">
          <w:rPr>
            <w:rStyle w:val="Hiperpovezava"/>
            <w:color w:val="auto"/>
            <w:u w:val="none"/>
          </w:rPr>
          <w:t>195/20</w:t>
        </w:r>
      </w:hyperlink>
      <w:r w:rsidR="005772B5" w:rsidRPr="005772B5">
        <w:t xml:space="preserve"> – </w:t>
      </w:r>
      <w:proofErr w:type="spellStart"/>
      <w:r w:rsidR="005772B5" w:rsidRPr="005772B5">
        <w:t>odl</w:t>
      </w:r>
      <w:proofErr w:type="spellEnd"/>
      <w:r w:rsidR="005772B5" w:rsidRPr="005772B5">
        <w:t>. US, </w:t>
      </w:r>
      <w:hyperlink r:id="rId24" w:tgtFrame="_blank" w:tooltip="Zakon o spremembah in dopolnitvah Zakona o državni upravi (ZDU-1O)" w:history="1">
        <w:r w:rsidR="005772B5" w:rsidRPr="005772B5">
          <w:rPr>
            <w:rStyle w:val="Hiperpovezava"/>
            <w:color w:val="auto"/>
            <w:u w:val="none"/>
          </w:rPr>
          <w:t>18/23</w:t>
        </w:r>
      </w:hyperlink>
      <w:r w:rsidR="005772B5" w:rsidRPr="005772B5">
        <w:t> – ZDU-1O, </w:t>
      </w:r>
      <w:hyperlink r:id="rId25" w:tgtFrame="_blank" w:tooltip="Zakon o spremembah in dopolnitvah Zakona o javnih financah (ZJF-I)" w:history="1">
        <w:r w:rsidR="005772B5" w:rsidRPr="005772B5">
          <w:rPr>
            <w:rStyle w:val="Hiperpovezava"/>
            <w:color w:val="auto"/>
            <w:u w:val="none"/>
          </w:rPr>
          <w:t>76/23</w:t>
        </w:r>
      </w:hyperlink>
      <w:r w:rsidR="005772B5" w:rsidRPr="005772B5">
        <w:t>, </w:t>
      </w:r>
      <w:hyperlink r:id="rId26" w:tgtFrame="_blank" w:tooltip="Zakon o fiskalnem pravilu (ZFisP-1)" w:history="1">
        <w:r w:rsidR="005772B5" w:rsidRPr="005772B5">
          <w:rPr>
            <w:rStyle w:val="Hiperpovezava"/>
            <w:color w:val="auto"/>
            <w:u w:val="none"/>
          </w:rPr>
          <w:t>24/25</w:t>
        </w:r>
      </w:hyperlink>
      <w:r w:rsidR="005772B5" w:rsidRPr="005772B5">
        <w:t> – ZFisP-1, </w:t>
      </w:r>
      <w:hyperlink r:id="rId27" w:tgtFrame="_blank" w:tooltip="Zakon o spremembah in dopolnitvah Zakona o javnih financah (ZJF-J)" w:history="1">
        <w:r w:rsidR="005772B5" w:rsidRPr="005772B5">
          <w:rPr>
            <w:rStyle w:val="Hiperpovezava"/>
            <w:color w:val="auto"/>
            <w:u w:val="none"/>
          </w:rPr>
          <w:t>39/25</w:t>
        </w:r>
      </w:hyperlink>
      <w:r w:rsidR="005772B5" w:rsidRPr="005772B5">
        <w:t>, </w:t>
      </w:r>
      <w:hyperlink r:id="rId28" w:tgtFrame="_blank" w:tooltip="Zakon o plačilnih in javnofinančnih storitvah (ZPJS)" w:history="1">
        <w:r w:rsidR="005772B5" w:rsidRPr="005772B5">
          <w:rPr>
            <w:rStyle w:val="Hiperpovezava"/>
            <w:color w:val="auto"/>
            <w:u w:val="none"/>
          </w:rPr>
          <w:t>85/25</w:t>
        </w:r>
      </w:hyperlink>
      <w:r w:rsidR="005772B5" w:rsidRPr="005772B5">
        <w:t> – ZPJS in </w:t>
      </w:r>
      <w:hyperlink r:id="rId29" w:tgtFrame="_blank" w:tooltip="Zakon o spremembah in dopolnitvah Zakona o javnih financah (ZJF-K)" w:history="1">
        <w:r w:rsidR="005772B5" w:rsidRPr="005772B5">
          <w:rPr>
            <w:rStyle w:val="Hiperpovezava"/>
            <w:color w:val="auto"/>
            <w:u w:val="none"/>
          </w:rPr>
          <w:t>112/25</w:t>
        </w:r>
      </w:hyperlink>
      <w:r w:rsidR="005772B5" w:rsidRPr="005772B5">
        <w:t xml:space="preserve">) </w:t>
      </w:r>
      <w:r w:rsidRPr="00404A94">
        <w:t>ter drugega odstavka 19. in prvega odstavka 80. člena Statuta Mestne občine Nova Gorica (Uradni list RS, št. 13/12, 18/17 in 18/19) je Mestni svet Mestne občine Nova Gorica na seji dne ______________ sprejel</w:t>
      </w:r>
    </w:p>
    <w:p w14:paraId="690B0B85" w14:textId="04070C52" w:rsidR="00BE5B70" w:rsidRDefault="00BE5B70" w:rsidP="00BE5B70"/>
    <w:p w14:paraId="500C863B" w14:textId="3A74CFFB" w:rsidR="000E5815" w:rsidRPr="00352A82" w:rsidRDefault="007430E2" w:rsidP="000E5815">
      <w:pPr>
        <w:pStyle w:val="Naslov1"/>
        <w:jc w:val="center"/>
      </w:pPr>
      <w:r>
        <w:t>Zaključni račun proračuna Mestne občine Nova Gorica za leto 2025</w:t>
      </w:r>
    </w:p>
    <w:p w14:paraId="705A2F6D" w14:textId="77777777" w:rsidR="000E5815" w:rsidRDefault="000E5815" w:rsidP="000E5815">
      <w:pPr>
        <w:jc w:val="center"/>
      </w:pPr>
      <w:r>
        <w:t>1.</w:t>
      </w:r>
    </w:p>
    <w:p w14:paraId="2F357BB0" w14:textId="3515CC41" w:rsidR="00DF4CDD" w:rsidRPr="00DF4CDD" w:rsidRDefault="00DF4CDD" w:rsidP="00DF4CDD">
      <w:r w:rsidRPr="00DF4CDD">
        <w:t>Sprejme se zaključni račun proračuna Mestne občine Nova Gorica za leto 202</w:t>
      </w:r>
      <w:r w:rsidR="007D08E7">
        <w:t>5</w:t>
      </w:r>
      <w:r w:rsidRPr="00DF4CDD">
        <w:t>.</w:t>
      </w:r>
    </w:p>
    <w:p w14:paraId="5BEA9EC3" w14:textId="31D6E3FB" w:rsidR="000E5815" w:rsidRDefault="000E5815" w:rsidP="00964AD4"/>
    <w:p w14:paraId="6309B0FA" w14:textId="7FDA1022" w:rsidR="000E5815" w:rsidRDefault="000E5815" w:rsidP="000E5815">
      <w:pPr>
        <w:jc w:val="center"/>
      </w:pPr>
      <w:r>
        <w:t>2.</w:t>
      </w:r>
    </w:p>
    <w:p w14:paraId="0A179A52" w14:textId="2B1B0A82" w:rsidR="00EE6DE4" w:rsidRPr="00EE6DE4" w:rsidRDefault="00EE6DE4" w:rsidP="00EE6DE4">
      <w:pPr>
        <w:jc w:val="left"/>
      </w:pPr>
      <w:r w:rsidRPr="00EE6DE4">
        <w:t>Zaključni račun proračuna Mestne občine Nova Gorica za leto 202</w:t>
      </w:r>
      <w:r w:rsidR="007D08E7">
        <w:t>5</w:t>
      </w:r>
      <w:r w:rsidRPr="00EE6DE4">
        <w:t xml:space="preserve"> sestavljajo splošni in posebni del. V splošnem delu je podan podrobnejši prikaz predvidenih in realiziranih prihodkov in odhodkov oziroma prejemkov in izdatkov iz bilance prihodkov in odhodkov, računa finančnih terjatev in naložb ter računa financiranja, v posebnem delu pa prikaz predvidenih in realiziranih odhodkov in drugih izdatkov proračuna Mestne občine Nova Gorica za leto 202</w:t>
      </w:r>
      <w:r w:rsidR="00BC04B3">
        <w:t>5</w:t>
      </w:r>
      <w:r w:rsidRPr="00EE6DE4">
        <w:t xml:space="preserve">.  </w:t>
      </w:r>
    </w:p>
    <w:p w14:paraId="699C423C" w14:textId="625899D0" w:rsidR="00EE6DE4" w:rsidRPr="00EE6DE4" w:rsidRDefault="00EE6DE4" w:rsidP="00EE6DE4">
      <w:pPr>
        <w:jc w:val="left"/>
      </w:pPr>
      <w:r w:rsidRPr="00EE6DE4">
        <w:t>Sestavni del zaključnega računa je tudi načrt razvojnih programov, v katerem je podan prikaz podatkov o načrtovanih vrednostih posameznih projektov, njihovih spremembah med letom 202</w:t>
      </w:r>
      <w:r w:rsidR="00BC04B3">
        <w:t>5</w:t>
      </w:r>
      <w:r w:rsidRPr="00EE6DE4">
        <w:t xml:space="preserve"> ter o njihovi realizaciji v tem letu.</w:t>
      </w:r>
    </w:p>
    <w:p w14:paraId="2AA5D516" w14:textId="77777777" w:rsidR="00EE6DE4" w:rsidRDefault="00EE6DE4" w:rsidP="00EE6DE4">
      <w:pPr>
        <w:jc w:val="left"/>
      </w:pPr>
      <w:r w:rsidRPr="00EE6DE4">
        <w:t>Proračun Mestne občine Nova Gorica je bil realiziran v naslednjih zneskih:</w:t>
      </w:r>
    </w:p>
    <w:tbl>
      <w:tblPr>
        <w:tblW w:w="8363" w:type="dxa"/>
        <w:tblInd w:w="709" w:type="dxa"/>
        <w:tblCellMar>
          <w:left w:w="70" w:type="dxa"/>
          <w:right w:w="70" w:type="dxa"/>
        </w:tblCellMar>
        <w:tblLook w:val="04A0" w:firstRow="1" w:lastRow="0" w:firstColumn="1" w:lastColumn="0" w:noHBand="0" w:noVBand="1"/>
      </w:tblPr>
      <w:tblGrid>
        <w:gridCol w:w="6804"/>
        <w:gridCol w:w="1559"/>
      </w:tblGrid>
      <w:tr w:rsidR="00C33EEB" w:rsidRPr="00C33EEB" w14:paraId="04F12EA0" w14:textId="77777777" w:rsidTr="00C33EEB">
        <w:trPr>
          <w:trHeight w:val="300"/>
        </w:trPr>
        <w:tc>
          <w:tcPr>
            <w:tcW w:w="6804" w:type="dxa"/>
            <w:tcBorders>
              <w:top w:val="nil"/>
              <w:left w:val="nil"/>
              <w:bottom w:val="nil"/>
              <w:right w:val="nil"/>
            </w:tcBorders>
            <w:noWrap/>
            <w:vAlign w:val="bottom"/>
            <w:hideMark/>
          </w:tcPr>
          <w:p w14:paraId="4735144A" w14:textId="77777777" w:rsidR="00C33EEB" w:rsidRPr="00C33EEB" w:rsidRDefault="00C33EEB" w:rsidP="00C33EEB">
            <w:pPr>
              <w:spacing w:after="0" w:line="240" w:lineRule="auto"/>
              <w:ind w:left="0" w:right="0"/>
              <w:jc w:val="left"/>
              <w:rPr>
                <w:rFonts w:cs="Times New Roman"/>
                <w:sz w:val="18"/>
                <w:szCs w:val="18"/>
              </w:rPr>
            </w:pPr>
          </w:p>
        </w:tc>
        <w:tc>
          <w:tcPr>
            <w:tcW w:w="1559" w:type="dxa"/>
            <w:tcBorders>
              <w:top w:val="nil"/>
              <w:left w:val="nil"/>
              <w:bottom w:val="nil"/>
              <w:right w:val="nil"/>
            </w:tcBorders>
            <w:noWrap/>
            <w:vAlign w:val="center"/>
            <w:hideMark/>
          </w:tcPr>
          <w:p w14:paraId="5A5834DF" w14:textId="77777777" w:rsidR="00C33EEB" w:rsidRPr="00C33EEB" w:rsidRDefault="00C33EEB" w:rsidP="00C33EEB">
            <w:pPr>
              <w:spacing w:after="0" w:line="240" w:lineRule="auto"/>
              <w:ind w:left="0" w:right="0"/>
              <w:jc w:val="right"/>
              <w:rPr>
                <w:rFonts w:cs="Times New Roman"/>
                <w:bCs w:val="0"/>
                <w:color w:val="000000"/>
                <w:sz w:val="18"/>
                <w:szCs w:val="18"/>
              </w:rPr>
            </w:pPr>
            <w:r w:rsidRPr="00C33EEB">
              <w:rPr>
                <w:rFonts w:cs="Times New Roman"/>
                <w:bCs w:val="0"/>
                <w:color w:val="000000"/>
                <w:sz w:val="18"/>
                <w:szCs w:val="18"/>
              </w:rPr>
              <w:t>v EUR</w:t>
            </w:r>
          </w:p>
        </w:tc>
      </w:tr>
      <w:tr w:rsidR="00C33EEB" w:rsidRPr="00C33EEB" w14:paraId="386F7779" w14:textId="77777777" w:rsidTr="00C33EEB">
        <w:trPr>
          <w:trHeight w:val="300"/>
        </w:trPr>
        <w:tc>
          <w:tcPr>
            <w:tcW w:w="6804" w:type="dxa"/>
            <w:tcBorders>
              <w:top w:val="nil"/>
              <w:left w:val="nil"/>
              <w:bottom w:val="nil"/>
              <w:right w:val="nil"/>
            </w:tcBorders>
            <w:noWrap/>
            <w:vAlign w:val="bottom"/>
            <w:hideMark/>
          </w:tcPr>
          <w:p w14:paraId="33965AE9" w14:textId="77777777" w:rsidR="00C33EEB" w:rsidRPr="00C33EEB" w:rsidRDefault="00C33EEB" w:rsidP="00C33EEB">
            <w:pPr>
              <w:spacing w:after="0" w:line="240" w:lineRule="auto"/>
              <w:ind w:left="0" w:right="0"/>
              <w:jc w:val="right"/>
              <w:rPr>
                <w:rFonts w:cs="Times New Roman"/>
                <w:bCs w:val="0"/>
                <w:color w:val="000000"/>
                <w:sz w:val="18"/>
                <w:szCs w:val="18"/>
              </w:rPr>
            </w:pPr>
          </w:p>
        </w:tc>
        <w:tc>
          <w:tcPr>
            <w:tcW w:w="1559" w:type="dxa"/>
            <w:tcBorders>
              <w:top w:val="nil"/>
              <w:left w:val="nil"/>
              <w:bottom w:val="nil"/>
              <w:right w:val="nil"/>
            </w:tcBorders>
            <w:noWrap/>
            <w:vAlign w:val="center"/>
            <w:hideMark/>
          </w:tcPr>
          <w:p w14:paraId="2A2A6B9F" w14:textId="77777777" w:rsidR="00C33EEB" w:rsidRPr="00C33EEB" w:rsidRDefault="00C33EEB" w:rsidP="00C33EEB">
            <w:pPr>
              <w:spacing w:after="0" w:line="240" w:lineRule="auto"/>
              <w:ind w:left="0" w:right="0"/>
              <w:jc w:val="right"/>
              <w:rPr>
                <w:rFonts w:cs="Times New Roman"/>
                <w:b/>
                <w:color w:val="000000"/>
                <w:sz w:val="18"/>
                <w:szCs w:val="18"/>
              </w:rPr>
            </w:pPr>
            <w:r w:rsidRPr="00C33EEB">
              <w:rPr>
                <w:rFonts w:cs="Times New Roman"/>
                <w:b/>
                <w:color w:val="000000"/>
                <w:sz w:val="18"/>
                <w:szCs w:val="18"/>
              </w:rPr>
              <w:t xml:space="preserve">Realizacija </w:t>
            </w:r>
          </w:p>
        </w:tc>
      </w:tr>
      <w:tr w:rsidR="00C33EEB" w:rsidRPr="00C33EEB" w14:paraId="0F10F16E" w14:textId="77777777" w:rsidTr="00C33EEB">
        <w:trPr>
          <w:trHeight w:val="300"/>
        </w:trPr>
        <w:tc>
          <w:tcPr>
            <w:tcW w:w="6804" w:type="dxa"/>
            <w:tcBorders>
              <w:top w:val="nil"/>
              <w:left w:val="nil"/>
              <w:bottom w:val="nil"/>
              <w:right w:val="nil"/>
            </w:tcBorders>
            <w:noWrap/>
            <w:vAlign w:val="center"/>
            <w:hideMark/>
          </w:tcPr>
          <w:p w14:paraId="27472617" w14:textId="77777777" w:rsidR="00C33EEB" w:rsidRPr="00C33EEB" w:rsidRDefault="00C33EEB" w:rsidP="00C33EEB">
            <w:pPr>
              <w:spacing w:after="0" w:line="240" w:lineRule="auto"/>
              <w:ind w:left="0" w:right="0"/>
              <w:jc w:val="left"/>
              <w:rPr>
                <w:rFonts w:cs="Times New Roman"/>
                <w:b/>
                <w:color w:val="000000"/>
                <w:sz w:val="18"/>
                <w:szCs w:val="18"/>
              </w:rPr>
            </w:pPr>
            <w:r w:rsidRPr="00C33EEB">
              <w:rPr>
                <w:rFonts w:cs="Times New Roman"/>
                <w:b/>
                <w:color w:val="000000"/>
                <w:sz w:val="18"/>
                <w:szCs w:val="18"/>
              </w:rPr>
              <w:t>I. SPLOŠNI DEL PRORAČUNA</w:t>
            </w:r>
          </w:p>
        </w:tc>
        <w:tc>
          <w:tcPr>
            <w:tcW w:w="1559" w:type="dxa"/>
            <w:tcBorders>
              <w:top w:val="nil"/>
              <w:left w:val="nil"/>
              <w:bottom w:val="nil"/>
              <w:right w:val="nil"/>
            </w:tcBorders>
            <w:noWrap/>
            <w:vAlign w:val="center"/>
            <w:hideMark/>
          </w:tcPr>
          <w:p w14:paraId="6F8CFE9E" w14:textId="77777777" w:rsidR="00C33EEB" w:rsidRPr="00C33EEB" w:rsidRDefault="00C33EEB" w:rsidP="00C33EEB">
            <w:pPr>
              <w:spacing w:after="0" w:line="240" w:lineRule="auto"/>
              <w:ind w:left="0" w:right="0"/>
              <w:jc w:val="right"/>
              <w:rPr>
                <w:rFonts w:cs="Times New Roman"/>
                <w:b/>
                <w:color w:val="000000"/>
                <w:sz w:val="18"/>
                <w:szCs w:val="18"/>
              </w:rPr>
            </w:pPr>
            <w:r w:rsidRPr="00C33EEB">
              <w:rPr>
                <w:rFonts w:cs="Times New Roman"/>
                <w:b/>
                <w:color w:val="000000"/>
                <w:sz w:val="18"/>
                <w:szCs w:val="18"/>
              </w:rPr>
              <w:t>2025</w:t>
            </w:r>
          </w:p>
        </w:tc>
      </w:tr>
      <w:tr w:rsidR="00C33EEB" w:rsidRPr="00C33EEB" w14:paraId="71EE43B3" w14:textId="77777777" w:rsidTr="00C33EEB">
        <w:trPr>
          <w:trHeight w:val="300"/>
        </w:trPr>
        <w:tc>
          <w:tcPr>
            <w:tcW w:w="8363" w:type="dxa"/>
            <w:gridSpan w:val="2"/>
            <w:tcBorders>
              <w:top w:val="single" w:sz="4" w:space="0" w:color="auto"/>
              <w:left w:val="single" w:sz="4" w:space="0" w:color="auto"/>
              <w:bottom w:val="single" w:sz="4" w:space="0" w:color="auto"/>
              <w:right w:val="single" w:sz="4" w:space="0" w:color="000000"/>
            </w:tcBorders>
            <w:noWrap/>
            <w:vAlign w:val="center"/>
            <w:hideMark/>
          </w:tcPr>
          <w:p w14:paraId="180AD085" w14:textId="77777777" w:rsidR="00C33EEB" w:rsidRPr="00C33EEB" w:rsidRDefault="00C33EEB" w:rsidP="00C33EEB">
            <w:pPr>
              <w:spacing w:after="0" w:line="240" w:lineRule="auto"/>
              <w:ind w:left="0" w:right="0"/>
              <w:jc w:val="left"/>
              <w:rPr>
                <w:rFonts w:cs="Times New Roman"/>
                <w:b/>
                <w:color w:val="000000"/>
                <w:sz w:val="18"/>
                <w:szCs w:val="18"/>
              </w:rPr>
            </w:pPr>
            <w:r w:rsidRPr="00C33EEB">
              <w:rPr>
                <w:rFonts w:cs="Times New Roman"/>
                <w:b/>
                <w:color w:val="000000"/>
                <w:sz w:val="18"/>
                <w:szCs w:val="18"/>
              </w:rPr>
              <w:t>A. BILANCA PRIHODKOV IN ODHODKOV</w:t>
            </w:r>
          </w:p>
        </w:tc>
      </w:tr>
      <w:tr w:rsidR="00C33EEB" w:rsidRPr="00C33EEB" w14:paraId="494D8CE6" w14:textId="77777777" w:rsidTr="00C33EEB">
        <w:trPr>
          <w:trHeight w:val="300"/>
        </w:trPr>
        <w:tc>
          <w:tcPr>
            <w:tcW w:w="6804" w:type="dxa"/>
            <w:tcBorders>
              <w:top w:val="nil"/>
              <w:left w:val="nil"/>
              <w:bottom w:val="nil"/>
              <w:right w:val="nil"/>
            </w:tcBorders>
            <w:vAlign w:val="center"/>
            <w:hideMark/>
          </w:tcPr>
          <w:p w14:paraId="5CA80B82" w14:textId="77777777" w:rsidR="00C33EEB" w:rsidRPr="00C33EEB" w:rsidRDefault="00C33EEB" w:rsidP="00C33EEB">
            <w:pPr>
              <w:spacing w:after="0" w:line="240" w:lineRule="auto"/>
              <w:ind w:left="0" w:right="0"/>
              <w:jc w:val="left"/>
              <w:rPr>
                <w:rFonts w:cs="Times New Roman"/>
                <w:b/>
                <w:color w:val="000000"/>
                <w:sz w:val="18"/>
                <w:szCs w:val="18"/>
                <w:u w:val="single"/>
              </w:rPr>
            </w:pPr>
            <w:r w:rsidRPr="00C33EEB">
              <w:rPr>
                <w:rFonts w:cs="Times New Roman"/>
                <w:b/>
                <w:color w:val="000000"/>
                <w:sz w:val="18"/>
                <w:szCs w:val="18"/>
                <w:u w:val="single"/>
              </w:rPr>
              <w:t>I. SKUPAJ PRIHODKI (70+71+72+73+74+78)</w:t>
            </w:r>
          </w:p>
        </w:tc>
        <w:tc>
          <w:tcPr>
            <w:tcW w:w="1559" w:type="dxa"/>
            <w:tcBorders>
              <w:top w:val="nil"/>
              <w:left w:val="nil"/>
              <w:bottom w:val="nil"/>
              <w:right w:val="nil"/>
            </w:tcBorders>
            <w:vAlign w:val="center"/>
            <w:hideMark/>
          </w:tcPr>
          <w:p w14:paraId="35CE6034" w14:textId="77777777" w:rsidR="00C33EEB" w:rsidRPr="00C33EEB" w:rsidRDefault="00C33EEB" w:rsidP="00C33EEB">
            <w:pPr>
              <w:spacing w:after="0" w:line="240" w:lineRule="auto"/>
              <w:ind w:left="0" w:right="0"/>
              <w:jc w:val="right"/>
              <w:rPr>
                <w:rFonts w:cs="Times New Roman"/>
                <w:b/>
                <w:color w:val="000000"/>
                <w:sz w:val="18"/>
                <w:szCs w:val="18"/>
                <w:u w:val="single"/>
              </w:rPr>
            </w:pPr>
            <w:r w:rsidRPr="00C33EEB">
              <w:rPr>
                <w:rFonts w:cs="Times New Roman"/>
                <w:b/>
                <w:color w:val="000000"/>
                <w:sz w:val="18"/>
                <w:szCs w:val="18"/>
                <w:u w:val="single"/>
              </w:rPr>
              <w:t>53.731.911</w:t>
            </w:r>
          </w:p>
        </w:tc>
      </w:tr>
      <w:tr w:rsidR="00C33EEB" w:rsidRPr="00C33EEB" w14:paraId="6602115A" w14:textId="77777777" w:rsidTr="00C33EEB">
        <w:trPr>
          <w:trHeight w:val="300"/>
        </w:trPr>
        <w:tc>
          <w:tcPr>
            <w:tcW w:w="6804" w:type="dxa"/>
            <w:tcBorders>
              <w:top w:val="nil"/>
              <w:left w:val="nil"/>
              <w:bottom w:val="nil"/>
              <w:right w:val="nil"/>
            </w:tcBorders>
            <w:vAlign w:val="center"/>
            <w:hideMark/>
          </w:tcPr>
          <w:p w14:paraId="3F231D82" w14:textId="77777777" w:rsidR="00C33EEB" w:rsidRPr="00C33EEB" w:rsidRDefault="00C33EEB" w:rsidP="00C33EEB">
            <w:pPr>
              <w:spacing w:after="0" w:line="240" w:lineRule="auto"/>
              <w:ind w:left="0" w:right="0" w:firstLineChars="200" w:firstLine="361"/>
              <w:jc w:val="left"/>
              <w:rPr>
                <w:rFonts w:cs="Times New Roman"/>
                <w:b/>
                <w:color w:val="000000"/>
                <w:sz w:val="18"/>
                <w:szCs w:val="18"/>
                <w:u w:val="single"/>
              </w:rPr>
            </w:pPr>
            <w:r w:rsidRPr="00C33EEB">
              <w:rPr>
                <w:rFonts w:cs="Times New Roman"/>
                <w:b/>
                <w:color w:val="000000"/>
                <w:sz w:val="18"/>
                <w:szCs w:val="18"/>
                <w:u w:val="single"/>
              </w:rPr>
              <w:t>TEKOČI PRIHODKI (70+71)</w:t>
            </w:r>
          </w:p>
        </w:tc>
        <w:tc>
          <w:tcPr>
            <w:tcW w:w="1559" w:type="dxa"/>
            <w:tcBorders>
              <w:top w:val="nil"/>
              <w:left w:val="nil"/>
              <w:bottom w:val="nil"/>
              <w:right w:val="nil"/>
            </w:tcBorders>
            <w:vAlign w:val="center"/>
            <w:hideMark/>
          </w:tcPr>
          <w:p w14:paraId="412FE8C8" w14:textId="77777777" w:rsidR="00C33EEB" w:rsidRPr="00C33EEB" w:rsidRDefault="00C33EEB" w:rsidP="00C33EEB">
            <w:pPr>
              <w:spacing w:after="0" w:line="240" w:lineRule="auto"/>
              <w:ind w:left="0" w:right="0"/>
              <w:jc w:val="right"/>
              <w:rPr>
                <w:rFonts w:cs="Times New Roman"/>
                <w:b/>
                <w:color w:val="000000"/>
                <w:sz w:val="18"/>
                <w:szCs w:val="18"/>
                <w:u w:val="single"/>
              </w:rPr>
            </w:pPr>
            <w:r w:rsidRPr="00C33EEB">
              <w:rPr>
                <w:rFonts w:cs="Times New Roman"/>
                <w:b/>
                <w:color w:val="000000"/>
                <w:sz w:val="18"/>
                <w:szCs w:val="18"/>
                <w:u w:val="single"/>
              </w:rPr>
              <w:t>39.266.844</w:t>
            </w:r>
          </w:p>
        </w:tc>
      </w:tr>
      <w:tr w:rsidR="00C33EEB" w:rsidRPr="00C33EEB" w14:paraId="3139BF6B" w14:textId="77777777" w:rsidTr="00C33EEB">
        <w:trPr>
          <w:trHeight w:val="300"/>
        </w:trPr>
        <w:tc>
          <w:tcPr>
            <w:tcW w:w="6804" w:type="dxa"/>
            <w:tcBorders>
              <w:top w:val="nil"/>
              <w:left w:val="nil"/>
              <w:bottom w:val="nil"/>
              <w:right w:val="nil"/>
            </w:tcBorders>
            <w:vAlign w:val="center"/>
            <w:hideMark/>
          </w:tcPr>
          <w:p w14:paraId="78609B95" w14:textId="77777777" w:rsidR="00C33EEB" w:rsidRPr="00C33EEB" w:rsidRDefault="00C33EEB" w:rsidP="00C33EEB">
            <w:pPr>
              <w:spacing w:after="0" w:line="240" w:lineRule="auto"/>
              <w:ind w:left="0" w:right="0"/>
              <w:jc w:val="left"/>
              <w:rPr>
                <w:rFonts w:cs="Times New Roman"/>
                <w:b/>
                <w:color w:val="000000"/>
                <w:sz w:val="18"/>
                <w:szCs w:val="18"/>
                <w:u w:val="single"/>
              </w:rPr>
            </w:pPr>
            <w:r w:rsidRPr="00C33EEB">
              <w:rPr>
                <w:rFonts w:cs="Times New Roman"/>
                <w:b/>
                <w:color w:val="000000"/>
                <w:sz w:val="18"/>
                <w:szCs w:val="18"/>
                <w:u w:val="single"/>
              </w:rPr>
              <w:t>70 DAVČNI PRIHODKI</w:t>
            </w:r>
          </w:p>
        </w:tc>
        <w:tc>
          <w:tcPr>
            <w:tcW w:w="1559" w:type="dxa"/>
            <w:tcBorders>
              <w:top w:val="nil"/>
              <w:left w:val="nil"/>
              <w:bottom w:val="nil"/>
              <w:right w:val="nil"/>
            </w:tcBorders>
            <w:vAlign w:val="center"/>
            <w:hideMark/>
          </w:tcPr>
          <w:p w14:paraId="2D3DA6EE" w14:textId="77777777" w:rsidR="00C33EEB" w:rsidRPr="00C33EEB" w:rsidRDefault="00C33EEB" w:rsidP="00C33EEB">
            <w:pPr>
              <w:spacing w:after="0" w:line="240" w:lineRule="auto"/>
              <w:ind w:left="0" w:right="0"/>
              <w:jc w:val="right"/>
              <w:rPr>
                <w:rFonts w:cs="Times New Roman"/>
                <w:b/>
                <w:color w:val="000000"/>
                <w:sz w:val="18"/>
                <w:szCs w:val="18"/>
                <w:u w:val="single"/>
              </w:rPr>
            </w:pPr>
            <w:r w:rsidRPr="00C33EEB">
              <w:rPr>
                <w:rFonts w:cs="Times New Roman"/>
                <w:b/>
                <w:color w:val="000000"/>
                <w:sz w:val="18"/>
                <w:szCs w:val="18"/>
                <w:u w:val="single"/>
              </w:rPr>
              <w:t>28.198.528</w:t>
            </w:r>
          </w:p>
        </w:tc>
      </w:tr>
      <w:tr w:rsidR="00C33EEB" w:rsidRPr="00C33EEB" w14:paraId="2AF28C02" w14:textId="77777777" w:rsidTr="00C33EEB">
        <w:trPr>
          <w:trHeight w:val="300"/>
        </w:trPr>
        <w:tc>
          <w:tcPr>
            <w:tcW w:w="6804" w:type="dxa"/>
            <w:tcBorders>
              <w:top w:val="nil"/>
              <w:left w:val="nil"/>
              <w:bottom w:val="nil"/>
              <w:right w:val="nil"/>
            </w:tcBorders>
            <w:vAlign w:val="center"/>
            <w:hideMark/>
          </w:tcPr>
          <w:p w14:paraId="0F71463D" w14:textId="77777777" w:rsidR="00C33EEB" w:rsidRPr="00C33EEB" w:rsidRDefault="00C33EEB" w:rsidP="00BA11F1">
            <w:pPr>
              <w:spacing w:after="0" w:line="240" w:lineRule="auto"/>
              <w:ind w:left="213" w:right="0"/>
              <w:jc w:val="left"/>
              <w:rPr>
                <w:rFonts w:cs="Times New Roman"/>
                <w:bCs w:val="0"/>
                <w:color w:val="000000"/>
                <w:sz w:val="18"/>
                <w:szCs w:val="18"/>
              </w:rPr>
            </w:pPr>
            <w:r w:rsidRPr="00C33EEB">
              <w:rPr>
                <w:rFonts w:cs="Times New Roman"/>
                <w:bCs w:val="0"/>
                <w:color w:val="000000"/>
                <w:sz w:val="18"/>
                <w:szCs w:val="18"/>
              </w:rPr>
              <w:lastRenderedPageBreak/>
              <w:t>700 Davki na dohodek in dobiček</w:t>
            </w:r>
          </w:p>
        </w:tc>
        <w:tc>
          <w:tcPr>
            <w:tcW w:w="1559" w:type="dxa"/>
            <w:tcBorders>
              <w:top w:val="nil"/>
              <w:left w:val="nil"/>
              <w:bottom w:val="nil"/>
              <w:right w:val="nil"/>
            </w:tcBorders>
            <w:vAlign w:val="center"/>
            <w:hideMark/>
          </w:tcPr>
          <w:p w14:paraId="07A047E3" w14:textId="77777777" w:rsidR="00C33EEB" w:rsidRPr="00C33EEB" w:rsidRDefault="00C33EEB" w:rsidP="00C33EEB">
            <w:pPr>
              <w:spacing w:after="0" w:line="240" w:lineRule="auto"/>
              <w:ind w:left="0" w:right="0"/>
              <w:jc w:val="right"/>
              <w:rPr>
                <w:rFonts w:cs="Times New Roman"/>
                <w:bCs w:val="0"/>
                <w:color w:val="000000"/>
                <w:sz w:val="18"/>
                <w:szCs w:val="18"/>
              </w:rPr>
            </w:pPr>
            <w:r w:rsidRPr="00C33EEB">
              <w:rPr>
                <w:rFonts w:cs="Times New Roman"/>
                <w:bCs w:val="0"/>
                <w:color w:val="000000"/>
                <w:sz w:val="18"/>
                <w:szCs w:val="18"/>
              </w:rPr>
              <w:t>22.819.472</w:t>
            </w:r>
          </w:p>
        </w:tc>
      </w:tr>
      <w:tr w:rsidR="00C33EEB" w:rsidRPr="00C33EEB" w14:paraId="6AEAFAD7" w14:textId="77777777" w:rsidTr="00C33EEB">
        <w:trPr>
          <w:trHeight w:val="300"/>
        </w:trPr>
        <w:tc>
          <w:tcPr>
            <w:tcW w:w="6804" w:type="dxa"/>
            <w:tcBorders>
              <w:top w:val="nil"/>
              <w:left w:val="nil"/>
              <w:bottom w:val="nil"/>
              <w:right w:val="nil"/>
            </w:tcBorders>
            <w:vAlign w:val="center"/>
            <w:hideMark/>
          </w:tcPr>
          <w:p w14:paraId="35F1F993" w14:textId="77777777" w:rsidR="00C33EEB" w:rsidRPr="00C33EEB" w:rsidRDefault="00C33EEB" w:rsidP="00BA11F1">
            <w:pPr>
              <w:spacing w:after="0" w:line="240" w:lineRule="auto"/>
              <w:ind w:left="213" w:right="0"/>
              <w:jc w:val="left"/>
              <w:rPr>
                <w:rFonts w:cs="Times New Roman"/>
                <w:bCs w:val="0"/>
                <w:color w:val="000000"/>
                <w:sz w:val="18"/>
                <w:szCs w:val="18"/>
              </w:rPr>
            </w:pPr>
            <w:r w:rsidRPr="00C33EEB">
              <w:rPr>
                <w:rFonts w:cs="Times New Roman"/>
                <w:bCs w:val="0"/>
                <w:color w:val="000000"/>
                <w:sz w:val="18"/>
                <w:szCs w:val="18"/>
              </w:rPr>
              <w:t>703 Davki na premoženje</w:t>
            </w:r>
          </w:p>
        </w:tc>
        <w:tc>
          <w:tcPr>
            <w:tcW w:w="1559" w:type="dxa"/>
            <w:tcBorders>
              <w:top w:val="nil"/>
              <w:left w:val="nil"/>
              <w:bottom w:val="nil"/>
              <w:right w:val="nil"/>
            </w:tcBorders>
            <w:vAlign w:val="center"/>
            <w:hideMark/>
          </w:tcPr>
          <w:p w14:paraId="1F0055DE" w14:textId="77777777" w:rsidR="00C33EEB" w:rsidRPr="00C33EEB" w:rsidRDefault="00C33EEB" w:rsidP="00C33EEB">
            <w:pPr>
              <w:spacing w:after="0" w:line="240" w:lineRule="auto"/>
              <w:ind w:left="0" w:right="0"/>
              <w:jc w:val="right"/>
              <w:rPr>
                <w:rFonts w:cs="Times New Roman"/>
                <w:bCs w:val="0"/>
                <w:color w:val="000000"/>
                <w:sz w:val="18"/>
                <w:szCs w:val="18"/>
              </w:rPr>
            </w:pPr>
            <w:r w:rsidRPr="00C33EEB">
              <w:rPr>
                <w:rFonts w:cs="Times New Roman"/>
                <w:bCs w:val="0"/>
                <w:color w:val="000000"/>
                <w:sz w:val="18"/>
                <w:szCs w:val="18"/>
              </w:rPr>
              <w:t>4.412.612</w:t>
            </w:r>
          </w:p>
        </w:tc>
      </w:tr>
      <w:tr w:rsidR="00C33EEB" w:rsidRPr="00C33EEB" w14:paraId="27E97479" w14:textId="77777777" w:rsidTr="00C33EEB">
        <w:trPr>
          <w:trHeight w:val="300"/>
        </w:trPr>
        <w:tc>
          <w:tcPr>
            <w:tcW w:w="6804" w:type="dxa"/>
            <w:tcBorders>
              <w:top w:val="nil"/>
              <w:left w:val="nil"/>
              <w:bottom w:val="nil"/>
              <w:right w:val="nil"/>
            </w:tcBorders>
            <w:vAlign w:val="center"/>
            <w:hideMark/>
          </w:tcPr>
          <w:p w14:paraId="53A5F819" w14:textId="77777777" w:rsidR="00C33EEB" w:rsidRPr="00C33EEB" w:rsidRDefault="00C33EEB" w:rsidP="00BA11F1">
            <w:pPr>
              <w:spacing w:after="0" w:line="240" w:lineRule="auto"/>
              <w:ind w:left="213" w:right="0"/>
              <w:jc w:val="left"/>
              <w:rPr>
                <w:rFonts w:cs="Times New Roman"/>
                <w:bCs w:val="0"/>
                <w:color w:val="000000"/>
                <w:sz w:val="18"/>
                <w:szCs w:val="18"/>
              </w:rPr>
            </w:pPr>
            <w:r w:rsidRPr="00C33EEB">
              <w:rPr>
                <w:rFonts w:cs="Times New Roman"/>
                <w:bCs w:val="0"/>
                <w:color w:val="000000"/>
                <w:sz w:val="18"/>
                <w:szCs w:val="18"/>
              </w:rPr>
              <w:t>704 Domači davki na blago in storitve</w:t>
            </w:r>
          </w:p>
        </w:tc>
        <w:tc>
          <w:tcPr>
            <w:tcW w:w="1559" w:type="dxa"/>
            <w:tcBorders>
              <w:top w:val="nil"/>
              <w:left w:val="nil"/>
              <w:bottom w:val="nil"/>
              <w:right w:val="nil"/>
            </w:tcBorders>
            <w:vAlign w:val="center"/>
            <w:hideMark/>
          </w:tcPr>
          <w:p w14:paraId="212BC9CD" w14:textId="77777777" w:rsidR="00C33EEB" w:rsidRPr="00C33EEB" w:rsidRDefault="00C33EEB" w:rsidP="00C33EEB">
            <w:pPr>
              <w:spacing w:after="0" w:line="240" w:lineRule="auto"/>
              <w:ind w:left="0" w:right="0"/>
              <w:jc w:val="right"/>
              <w:rPr>
                <w:rFonts w:cs="Times New Roman"/>
                <w:bCs w:val="0"/>
                <w:color w:val="000000"/>
                <w:sz w:val="18"/>
                <w:szCs w:val="18"/>
              </w:rPr>
            </w:pPr>
            <w:r w:rsidRPr="00C33EEB">
              <w:rPr>
                <w:rFonts w:cs="Times New Roman"/>
                <w:bCs w:val="0"/>
                <w:color w:val="000000"/>
                <w:sz w:val="18"/>
                <w:szCs w:val="18"/>
              </w:rPr>
              <w:t>965.314</w:t>
            </w:r>
          </w:p>
        </w:tc>
      </w:tr>
      <w:tr w:rsidR="00C33EEB" w:rsidRPr="00C33EEB" w14:paraId="154601E1" w14:textId="77777777" w:rsidTr="00C33EEB">
        <w:trPr>
          <w:trHeight w:val="300"/>
        </w:trPr>
        <w:tc>
          <w:tcPr>
            <w:tcW w:w="6804" w:type="dxa"/>
            <w:tcBorders>
              <w:top w:val="nil"/>
              <w:left w:val="nil"/>
              <w:bottom w:val="nil"/>
              <w:right w:val="nil"/>
            </w:tcBorders>
            <w:vAlign w:val="center"/>
            <w:hideMark/>
          </w:tcPr>
          <w:p w14:paraId="422605DF" w14:textId="77777777" w:rsidR="00C33EEB" w:rsidRPr="00C33EEB" w:rsidRDefault="00C33EEB" w:rsidP="00BA11F1">
            <w:pPr>
              <w:spacing w:after="0" w:line="240" w:lineRule="auto"/>
              <w:ind w:left="213" w:right="0"/>
              <w:jc w:val="left"/>
              <w:rPr>
                <w:rFonts w:cs="Times New Roman"/>
                <w:bCs w:val="0"/>
                <w:color w:val="000000"/>
                <w:sz w:val="18"/>
                <w:szCs w:val="18"/>
              </w:rPr>
            </w:pPr>
            <w:r w:rsidRPr="00C33EEB">
              <w:rPr>
                <w:rFonts w:cs="Times New Roman"/>
                <w:bCs w:val="0"/>
                <w:color w:val="000000"/>
                <w:sz w:val="18"/>
                <w:szCs w:val="18"/>
              </w:rPr>
              <w:t>706 Drugi davki in prispevki</w:t>
            </w:r>
          </w:p>
        </w:tc>
        <w:tc>
          <w:tcPr>
            <w:tcW w:w="1559" w:type="dxa"/>
            <w:tcBorders>
              <w:top w:val="nil"/>
              <w:left w:val="nil"/>
              <w:bottom w:val="nil"/>
              <w:right w:val="nil"/>
            </w:tcBorders>
            <w:vAlign w:val="center"/>
            <w:hideMark/>
          </w:tcPr>
          <w:p w14:paraId="47BC1387" w14:textId="77777777" w:rsidR="00C33EEB" w:rsidRPr="00C33EEB" w:rsidRDefault="00C33EEB" w:rsidP="00C33EEB">
            <w:pPr>
              <w:spacing w:after="0" w:line="240" w:lineRule="auto"/>
              <w:ind w:left="0" w:right="0"/>
              <w:jc w:val="right"/>
              <w:rPr>
                <w:rFonts w:cs="Times New Roman"/>
                <w:bCs w:val="0"/>
                <w:color w:val="000000"/>
                <w:sz w:val="18"/>
                <w:szCs w:val="18"/>
              </w:rPr>
            </w:pPr>
            <w:r w:rsidRPr="00C33EEB">
              <w:rPr>
                <w:rFonts w:cs="Times New Roman"/>
                <w:bCs w:val="0"/>
                <w:color w:val="000000"/>
                <w:sz w:val="18"/>
                <w:szCs w:val="18"/>
              </w:rPr>
              <w:t>1.130</w:t>
            </w:r>
          </w:p>
        </w:tc>
      </w:tr>
      <w:tr w:rsidR="00C33EEB" w:rsidRPr="00C33EEB" w14:paraId="2872C73D" w14:textId="77777777" w:rsidTr="00C33EEB">
        <w:trPr>
          <w:trHeight w:val="300"/>
        </w:trPr>
        <w:tc>
          <w:tcPr>
            <w:tcW w:w="6804" w:type="dxa"/>
            <w:tcBorders>
              <w:top w:val="nil"/>
              <w:left w:val="nil"/>
              <w:bottom w:val="nil"/>
              <w:right w:val="nil"/>
            </w:tcBorders>
            <w:vAlign w:val="center"/>
            <w:hideMark/>
          </w:tcPr>
          <w:p w14:paraId="39C2D46E" w14:textId="77777777" w:rsidR="00C33EEB" w:rsidRPr="00C33EEB" w:rsidRDefault="00C33EEB" w:rsidP="00C33EEB">
            <w:pPr>
              <w:spacing w:after="0" w:line="240" w:lineRule="auto"/>
              <w:ind w:left="0" w:right="0"/>
              <w:jc w:val="left"/>
              <w:rPr>
                <w:rFonts w:cs="Times New Roman"/>
                <w:b/>
                <w:color w:val="000000"/>
                <w:sz w:val="18"/>
                <w:szCs w:val="18"/>
                <w:u w:val="single"/>
              </w:rPr>
            </w:pPr>
            <w:r w:rsidRPr="00C33EEB">
              <w:rPr>
                <w:rFonts w:cs="Times New Roman"/>
                <w:b/>
                <w:color w:val="000000"/>
                <w:sz w:val="18"/>
                <w:szCs w:val="18"/>
                <w:u w:val="single"/>
              </w:rPr>
              <w:t>71 NEDAVČNI PRIHODKI</w:t>
            </w:r>
          </w:p>
        </w:tc>
        <w:tc>
          <w:tcPr>
            <w:tcW w:w="1559" w:type="dxa"/>
            <w:tcBorders>
              <w:top w:val="nil"/>
              <w:left w:val="nil"/>
              <w:bottom w:val="nil"/>
              <w:right w:val="nil"/>
            </w:tcBorders>
            <w:vAlign w:val="center"/>
            <w:hideMark/>
          </w:tcPr>
          <w:p w14:paraId="025C4294" w14:textId="77777777" w:rsidR="00C33EEB" w:rsidRPr="00C33EEB" w:rsidRDefault="00C33EEB" w:rsidP="00C33EEB">
            <w:pPr>
              <w:spacing w:after="0" w:line="240" w:lineRule="auto"/>
              <w:ind w:left="0" w:right="0"/>
              <w:jc w:val="right"/>
              <w:rPr>
                <w:rFonts w:cs="Times New Roman"/>
                <w:b/>
                <w:color w:val="000000"/>
                <w:sz w:val="18"/>
                <w:szCs w:val="18"/>
                <w:u w:val="single"/>
              </w:rPr>
            </w:pPr>
            <w:r w:rsidRPr="00C33EEB">
              <w:rPr>
                <w:rFonts w:cs="Times New Roman"/>
                <w:b/>
                <w:color w:val="000000"/>
                <w:sz w:val="18"/>
                <w:szCs w:val="18"/>
                <w:u w:val="single"/>
              </w:rPr>
              <w:t>11.068.316</w:t>
            </w:r>
          </w:p>
        </w:tc>
      </w:tr>
      <w:tr w:rsidR="00C33EEB" w:rsidRPr="00C33EEB" w14:paraId="0AA8C5F9" w14:textId="77777777" w:rsidTr="00C33EEB">
        <w:trPr>
          <w:trHeight w:val="300"/>
        </w:trPr>
        <w:tc>
          <w:tcPr>
            <w:tcW w:w="6804" w:type="dxa"/>
            <w:tcBorders>
              <w:top w:val="nil"/>
              <w:left w:val="nil"/>
              <w:bottom w:val="nil"/>
              <w:right w:val="nil"/>
            </w:tcBorders>
            <w:vAlign w:val="center"/>
            <w:hideMark/>
          </w:tcPr>
          <w:p w14:paraId="56522DBA" w14:textId="77777777" w:rsidR="00C33EEB" w:rsidRPr="00C33EEB" w:rsidRDefault="00C33EEB" w:rsidP="00BA11F1">
            <w:pPr>
              <w:spacing w:after="0" w:line="240" w:lineRule="auto"/>
              <w:ind w:left="213" w:right="0"/>
              <w:jc w:val="left"/>
              <w:rPr>
                <w:rFonts w:cs="Times New Roman"/>
                <w:bCs w:val="0"/>
                <w:color w:val="000000"/>
                <w:sz w:val="18"/>
                <w:szCs w:val="18"/>
              </w:rPr>
            </w:pPr>
            <w:r w:rsidRPr="00C33EEB">
              <w:rPr>
                <w:rFonts w:cs="Times New Roman"/>
                <w:bCs w:val="0"/>
                <w:color w:val="000000"/>
                <w:sz w:val="18"/>
                <w:szCs w:val="18"/>
              </w:rPr>
              <w:t>710 Udeležba na dobičku in dohodki od premoženja</w:t>
            </w:r>
          </w:p>
        </w:tc>
        <w:tc>
          <w:tcPr>
            <w:tcW w:w="1559" w:type="dxa"/>
            <w:tcBorders>
              <w:top w:val="nil"/>
              <w:left w:val="nil"/>
              <w:bottom w:val="nil"/>
              <w:right w:val="nil"/>
            </w:tcBorders>
            <w:vAlign w:val="center"/>
            <w:hideMark/>
          </w:tcPr>
          <w:p w14:paraId="29B11CC0" w14:textId="77777777" w:rsidR="00C33EEB" w:rsidRPr="00C33EEB" w:rsidRDefault="00C33EEB" w:rsidP="00C33EEB">
            <w:pPr>
              <w:spacing w:after="0" w:line="240" w:lineRule="auto"/>
              <w:ind w:left="0" w:right="0"/>
              <w:jc w:val="right"/>
              <w:rPr>
                <w:rFonts w:cs="Times New Roman"/>
                <w:bCs w:val="0"/>
                <w:color w:val="000000"/>
                <w:sz w:val="18"/>
                <w:szCs w:val="18"/>
              </w:rPr>
            </w:pPr>
            <w:r w:rsidRPr="00C33EEB">
              <w:rPr>
                <w:rFonts w:cs="Times New Roman"/>
                <w:bCs w:val="0"/>
                <w:color w:val="000000"/>
                <w:sz w:val="18"/>
                <w:szCs w:val="18"/>
              </w:rPr>
              <w:t>9.488.814</w:t>
            </w:r>
          </w:p>
        </w:tc>
      </w:tr>
      <w:tr w:rsidR="00C33EEB" w:rsidRPr="00C33EEB" w14:paraId="54A0AE57" w14:textId="77777777" w:rsidTr="00C33EEB">
        <w:trPr>
          <w:trHeight w:val="300"/>
        </w:trPr>
        <w:tc>
          <w:tcPr>
            <w:tcW w:w="6804" w:type="dxa"/>
            <w:tcBorders>
              <w:top w:val="nil"/>
              <w:left w:val="nil"/>
              <w:bottom w:val="nil"/>
              <w:right w:val="nil"/>
            </w:tcBorders>
            <w:vAlign w:val="center"/>
            <w:hideMark/>
          </w:tcPr>
          <w:p w14:paraId="07BF9B3B" w14:textId="77777777" w:rsidR="00C33EEB" w:rsidRPr="00C33EEB" w:rsidRDefault="00C33EEB" w:rsidP="00BA11F1">
            <w:pPr>
              <w:spacing w:after="0" w:line="240" w:lineRule="auto"/>
              <w:ind w:left="213" w:right="0"/>
              <w:jc w:val="left"/>
              <w:rPr>
                <w:rFonts w:cs="Times New Roman"/>
                <w:bCs w:val="0"/>
                <w:color w:val="000000"/>
                <w:sz w:val="18"/>
                <w:szCs w:val="18"/>
              </w:rPr>
            </w:pPr>
            <w:r w:rsidRPr="00C33EEB">
              <w:rPr>
                <w:rFonts w:cs="Times New Roman"/>
                <w:bCs w:val="0"/>
                <w:color w:val="000000"/>
                <w:sz w:val="18"/>
                <w:szCs w:val="18"/>
              </w:rPr>
              <w:t>711 Takse in pristojbine</w:t>
            </w:r>
          </w:p>
        </w:tc>
        <w:tc>
          <w:tcPr>
            <w:tcW w:w="1559" w:type="dxa"/>
            <w:tcBorders>
              <w:top w:val="nil"/>
              <w:left w:val="nil"/>
              <w:bottom w:val="nil"/>
              <w:right w:val="nil"/>
            </w:tcBorders>
            <w:vAlign w:val="center"/>
            <w:hideMark/>
          </w:tcPr>
          <w:p w14:paraId="5CB2DBA2" w14:textId="77777777" w:rsidR="00C33EEB" w:rsidRPr="00C33EEB" w:rsidRDefault="00C33EEB" w:rsidP="00C33EEB">
            <w:pPr>
              <w:spacing w:after="0" w:line="240" w:lineRule="auto"/>
              <w:ind w:left="0" w:right="0"/>
              <w:jc w:val="right"/>
              <w:rPr>
                <w:rFonts w:cs="Times New Roman"/>
                <w:bCs w:val="0"/>
                <w:color w:val="000000"/>
                <w:sz w:val="18"/>
                <w:szCs w:val="18"/>
              </w:rPr>
            </w:pPr>
            <w:r w:rsidRPr="00C33EEB">
              <w:rPr>
                <w:rFonts w:cs="Times New Roman"/>
                <w:bCs w:val="0"/>
                <w:color w:val="000000"/>
                <w:sz w:val="18"/>
                <w:szCs w:val="18"/>
              </w:rPr>
              <w:t>38.786</w:t>
            </w:r>
          </w:p>
        </w:tc>
      </w:tr>
      <w:tr w:rsidR="00C33EEB" w:rsidRPr="00C33EEB" w14:paraId="66184E68" w14:textId="77777777" w:rsidTr="00C33EEB">
        <w:trPr>
          <w:trHeight w:val="300"/>
        </w:trPr>
        <w:tc>
          <w:tcPr>
            <w:tcW w:w="6804" w:type="dxa"/>
            <w:tcBorders>
              <w:top w:val="nil"/>
              <w:left w:val="nil"/>
              <w:bottom w:val="nil"/>
              <w:right w:val="nil"/>
            </w:tcBorders>
            <w:vAlign w:val="center"/>
            <w:hideMark/>
          </w:tcPr>
          <w:p w14:paraId="334D2D4D" w14:textId="77777777" w:rsidR="00C33EEB" w:rsidRPr="00C33EEB" w:rsidRDefault="00C33EEB" w:rsidP="00BA11F1">
            <w:pPr>
              <w:spacing w:after="0" w:line="240" w:lineRule="auto"/>
              <w:ind w:left="213" w:right="0"/>
              <w:jc w:val="left"/>
              <w:rPr>
                <w:rFonts w:cs="Times New Roman"/>
                <w:bCs w:val="0"/>
                <w:color w:val="000000"/>
                <w:sz w:val="18"/>
                <w:szCs w:val="18"/>
              </w:rPr>
            </w:pPr>
            <w:r w:rsidRPr="00C33EEB">
              <w:rPr>
                <w:rFonts w:cs="Times New Roman"/>
                <w:bCs w:val="0"/>
                <w:color w:val="000000"/>
                <w:sz w:val="18"/>
                <w:szCs w:val="18"/>
              </w:rPr>
              <w:t>712 Globe in druge denarne kazni</w:t>
            </w:r>
          </w:p>
        </w:tc>
        <w:tc>
          <w:tcPr>
            <w:tcW w:w="1559" w:type="dxa"/>
            <w:tcBorders>
              <w:top w:val="nil"/>
              <w:left w:val="nil"/>
              <w:bottom w:val="nil"/>
              <w:right w:val="nil"/>
            </w:tcBorders>
            <w:vAlign w:val="center"/>
            <w:hideMark/>
          </w:tcPr>
          <w:p w14:paraId="32CFB9D1" w14:textId="77777777" w:rsidR="00C33EEB" w:rsidRPr="00C33EEB" w:rsidRDefault="00C33EEB" w:rsidP="00C33EEB">
            <w:pPr>
              <w:spacing w:after="0" w:line="240" w:lineRule="auto"/>
              <w:ind w:left="0" w:right="0"/>
              <w:jc w:val="right"/>
              <w:rPr>
                <w:rFonts w:cs="Times New Roman"/>
                <w:bCs w:val="0"/>
                <w:color w:val="000000"/>
                <w:sz w:val="18"/>
                <w:szCs w:val="18"/>
              </w:rPr>
            </w:pPr>
            <w:r w:rsidRPr="00C33EEB">
              <w:rPr>
                <w:rFonts w:cs="Times New Roman"/>
                <w:bCs w:val="0"/>
                <w:color w:val="000000"/>
                <w:sz w:val="18"/>
                <w:szCs w:val="18"/>
              </w:rPr>
              <w:t>174.604</w:t>
            </w:r>
          </w:p>
        </w:tc>
      </w:tr>
      <w:tr w:rsidR="00C33EEB" w:rsidRPr="00C33EEB" w14:paraId="29C37DC1" w14:textId="77777777" w:rsidTr="00C33EEB">
        <w:trPr>
          <w:trHeight w:val="300"/>
        </w:trPr>
        <w:tc>
          <w:tcPr>
            <w:tcW w:w="6804" w:type="dxa"/>
            <w:tcBorders>
              <w:top w:val="nil"/>
              <w:left w:val="nil"/>
              <w:bottom w:val="nil"/>
              <w:right w:val="nil"/>
            </w:tcBorders>
            <w:vAlign w:val="center"/>
            <w:hideMark/>
          </w:tcPr>
          <w:p w14:paraId="4D84D08F" w14:textId="77777777" w:rsidR="00C33EEB" w:rsidRPr="00C33EEB" w:rsidRDefault="00C33EEB" w:rsidP="00BA11F1">
            <w:pPr>
              <w:spacing w:after="0" w:line="240" w:lineRule="auto"/>
              <w:ind w:left="213" w:right="0"/>
              <w:jc w:val="left"/>
              <w:rPr>
                <w:rFonts w:cs="Times New Roman"/>
                <w:bCs w:val="0"/>
                <w:color w:val="000000"/>
                <w:sz w:val="18"/>
                <w:szCs w:val="18"/>
              </w:rPr>
            </w:pPr>
            <w:r w:rsidRPr="00C33EEB">
              <w:rPr>
                <w:rFonts w:cs="Times New Roman"/>
                <w:bCs w:val="0"/>
                <w:color w:val="000000"/>
                <w:sz w:val="18"/>
                <w:szCs w:val="18"/>
              </w:rPr>
              <w:t>713 Prihodki od prodaje blaga in storitev</w:t>
            </w:r>
          </w:p>
        </w:tc>
        <w:tc>
          <w:tcPr>
            <w:tcW w:w="1559" w:type="dxa"/>
            <w:tcBorders>
              <w:top w:val="nil"/>
              <w:left w:val="nil"/>
              <w:bottom w:val="nil"/>
              <w:right w:val="nil"/>
            </w:tcBorders>
            <w:vAlign w:val="center"/>
            <w:hideMark/>
          </w:tcPr>
          <w:p w14:paraId="7B41E38C" w14:textId="77777777" w:rsidR="00C33EEB" w:rsidRPr="00C33EEB" w:rsidRDefault="00C33EEB" w:rsidP="00C33EEB">
            <w:pPr>
              <w:spacing w:after="0" w:line="240" w:lineRule="auto"/>
              <w:ind w:left="0" w:right="0"/>
              <w:jc w:val="right"/>
              <w:rPr>
                <w:rFonts w:cs="Times New Roman"/>
                <w:bCs w:val="0"/>
                <w:color w:val="000000"/>
                <w:sz w:val="18"/>
                <w:szCs w:val="18"/>
              </w:rPr>
            </w:pPr>
            <w:r w:rsidRPr="00C33EEB">
              <w:rPr>
                <w:rFonts w:cs="Times New Roman"/>
                <w:bCs w:val="0"/>
                <w:color w:val="000000"/>
                <w:sz w:val="18"/>
                <w:szCs w:val="18"/>
              </w:rPr>
              <w:t>552.010</w:t>
            </w:r>
          </w:p>
        </w:tc>
      </w:tr>
      <w:tr w:rsidR="00C33EEB" w:rsidRPr="00C33EEB" w14:paraId="0C123F70" w14:textId="77777777" w:rsidTr="00C33EEB">
        <w:trPr>
          <w:trHeight w:val="300"/>
        </w:trPr>
        <w:tc>
          <w:tcPr>
            <w:tcW w:w="6804" w:type="dxa"/>
            <w:tcBorders>
              <w:top w:val="nil"/>
              <w:left w:val="nil"/>
              <w:bottom w:val="nil"/>
              <w:right w:val="nil"/>
            </w:tcBorders>
            <w:vAlign w:val="center"/>
            <w:hideMark/>
          </w:tcPr>
          <w:p w14:paraId="4BBC0D62" w14:textId="77777777" w:rsidR="00C33EEB" w:rsidRPr="00C33EEB" w:rsidRDefault="00C33EEB" w:rsidP="00BA11F1">
            <w:pPr>
              <w:spacing w:after="0" w:line="240" w:lineRule="auto"/>
              <w:ind w:left="213" w:right="0"/>
              <w:jc w:val="left"/>
              <w:rPr>
                <w:rFonts w:cs="Times New Roman"/>
                <w:bCs w:val="0"/>
                <w:color w:val="000000"/>
                <w:sz w:val="18"/>
                <w:szCs w:val="18"/>
              </w:rPr>
            </w:pPr>
            <w:r w:rsidRPr="00C33EEB">
              <w:rPr>
                <w:rFonts w:cs="Times New Roman"/>
                <w:bCs w:val="0"/>
                <w:color w:val="000000"/>
                <w:sz w:val="18"/>
                <w:szCs w:val="18"/>
              </w:rPr>
              <w:t>714 Drugi nedavčni prihodki</w:t>
            </w:r>
          </w:p>
        </w:tc>
        <w:tc>
          <w:tcPr>
            <w:tcW w:w="1559" w:type="dxa"/>
            <w:tcBorders>
              <w:top w:val="nil"/>
              <w:left w:val="nil"/>
              <w:bottom w:val="nil"/>
              <w:right w:val="nil"/>
            </w:tcBorders>
            <w:vAlign w:val="center"/>
            <w:hideMark/>
          </w:tcPr>
          <w:p w14:paraId="085A5241" w14:textId="77777777" w:rsidR="00C33EEB" w:rsidRPr="00C33EEB" w:rsidRDefault="00C33EEB" w:rsidP="00C33EEB">
            <w:pPr>
              <w:spacing w:after="0" w:line="240" w:lineRule="auto"/>
              <w:ind w:left="0" w:right="0"/>
              <w:jc w:val="right"/>
              <w:rPr>
                <w:rFonts w:cs="Times New Roman"/>
                <w:bCs w:val="0"/>
                <w:color w:val="000000"/>
                <w:sz w:val="18"/>
                <w:szCs w:val="18"/>
              </w:rPr>
            </w:pPr>
            <w:r w:rsidRPr="00C33EEB">
              <w:rPr>
                <w:rFonts w:cs="Times New Roman"/>
                <w:bCs w:val="0"/>
                <w:color w:val="000000"/>
                <w:sz w:val="18"/>
                <w:szCs w:val="18"/>
              </w:rPr>
              <w:t>814.102</w:t>
            </w:r>
          </w:p>
        </w:tc>
      </w:tr>
      <w:tr w:rsidR="00C33EEB" w:rsidRPr="00C33EEB" w14:paraId="57F186CF" w14:textId="77777777" w:rsidTr="00C33EEB">
        <w:trPr>
          <w:trHeight w:val="300"/>
        </w:trPr>
        <w:tc>
          <w:tcPr>
            <w:tcW w:w="6804" w:type="dxa"/>
            <w:tcBorders>
              <w:top w:val="nil"/>
              <w:left w:val="nil"/>
              <w:bottom w:val="nil"/>
              <w:right w:val="nil"/>
            </w:tcBorders>
            <w:vAlign w:val="center"/>
            <w:hideMark/>
          </w:tcPr>
          <w:p w14:paraId="33186B87" w14:textId="77777777" w:rsidR="00C33EEB" w:rsidRPr="00C33EEB" w:rsidRDefault="00C33EEB" w:rsidP="00C33EEB">
            <w:pPr>
              <w:spacing w:after="0" w:line="240" w:lineRule="auto"/>
              <w:ind w:left="0" w:right="0"/>
              <w:jc w:val="left"/>
              <w:rPr>
                <w:rFonts w:cs="Times New Roman"/>
                <w:b/>
                <w:color w:val="000000"/>
                <w:sz w:val="18"/>
                <w:szCs w:val="18"/>
                <w:u w:val="single"/>
              </w:rPr>
            </w:pPr>
            <w:r w:rsidRPr="00C33EEB">
              <w:rPr>
                <w:rFonts w:cs="Times New Roman"/>
                <w:b/>
                <w:color w:val="000000"/>
                <w:sz w:val="18"/>
                <w:szCs w:val="18"/>
                <w:u w:val="single"/>
              </w:rPr>
              <w:t>72 KAPITALSKI PRIHODKI</w:t>
            </w:r>
          </w:p>
        </w:tc>
        <w:tc>
          <w:tcPr>
            <w:tcW w:w="1559" w:type="dxa"/>
            <w:tcBorders>
              <w:top w:val="nil"/>
              <w:left w:val="nil"/>
              <w:bottom w:val="nil"/>
              <w:right w:val="nil"/>
            </w:tcBorders>
            <w:vAlign w:val="center"/>
            <w:hideMark/>
          </w:tcPr>
          <w:p w14:paraId="4AE1EA97" w14:textId="77777777" w:rsidR="00C33EEB" w:rsidRPr="00C33EEB" w:rsidRDefault="00C33EEB" w:rsidP="00C33EEB">
            <w:pPr>
              <w:spacing w:after="0" w:line="240" w:lineRule="auto"/>
              <w:ind w:left="0" w:right="0"/>
              <w:jc w:val="right"/>
              <w:rPr>
                <w:rFonts w:cs="Times New Roman"/>
                <w:b/>
                <w:color w:val="000000"/>
                <w:sz w:val="18"/>
                <w:szCs w:val="18"/>
                <w:u w:val="single"/>
              </w:rPr>
            </w:pPr>
            <w:r w:rsidRPr="00C33EEB">
              <w:rPr>
                <w:rFonts w:cs="Times New Roman"/>
                <w:b/>
                <w:color w:val="000000"/>
                <w:sz w:val="18"/>
                <w:szCs w:val="18"/>
                <w:u w:val="single"/>
              </w:rPr>
              <w:t>1.221.308</w:t>
            </w:r>
          </w:p>
        </w:tc>
      </w:tr>
      <w:tr w:rsidR="00C33EEB" w:rsidRPr="00C33EEB" w14:paraId="13440674" w14:textId="77777777" w:rsidTr="00C33EEB">
        <w:trPr>
          <w:trHeight w:val="300"/>
        </w:trPr>
        <w:tc>
          <w:tcPr>
            <w:tcW w:w="6804" w:type="dxa"/>
            <w:tcBorders>
              <w:top w:val="nil"/>
              <w:left w:val="nil"/>
              <w:bottom w:val="nil"/>
              <w:right w:val="nil"/>
            </w:tcBorders>
            <w:vAlign w:val="center"/>
            <w:hideMark/>
          </w:tcPr>
          <w:p w14:paraId="67CD98E0" w14:textId="77777777" w:rsidR="00C33EEB" w:rsidRPr="00C33EEB" w:rsidRDefault="00C33EEB" w:rsidP="00AC71BC">
            <w:pPr>
              <w:spacing w:after="0" w:line="240" w:lineRule="auto"/>
              <w:ind w:left="213" w:right="0"/>
              <w:jc w:val="left"/>
              <w:rPr>
                <w:rFonts w:cs="Times New Roman"/>
                <w:bCs w:val="0"/>
                <w:color w:val="000000"/>
                <w:sz w:val="18"/>
                <w:szCs w:val="18"/>
              </w:rPr>
            </w:pPr>
            <w:r w:rsidRPr="00C33EEB">
              <w:rPr>
                <w:rFonts w:cs="Times New Roman"/>
                <w:bCs w:val="0"/>
                <w:color w:val="000000"/>
                <w:sz w:val="18"/>
                <w:szCs w:val="18"/>
              </w:rPr>
              <w:t>720 Prihodki od prodaje osnovnih sredstev</w:t>
            </w:r>
          </w:p>
        </w:tc>
        <w:tc>
          <w:tcPr>
            <w:tcW w:w="1559" w:type="dxa"/>
            <w:tcBorders>
              <w:top w:val="nil"/>
              <w:left w:val="nil"/>
              <w:bottom w:val="nil"/>
              <w:right w:val="nil"/>
            </w:tcBorders>
            <w:vAlign w:val="center"/>
            <w:hideMark/>
          </w:tcPr>
          <w:p w14:paraId="556EB5DF" w14:textId="77777777" w:rsidR="00C33EEB" w:rsidRPr="00C33EEB" w:rsidRDefault="00C33EEB" w:rsidP="00C33EEB">
            <w:pPr>
              <w:spacing w:after="0" w:line="240" w:lineRule="auto"/>
              <w:ind w:left="0" w:right="0"/>
              <w:jc w:val="right"/>
              <w:rPr>
                <w:rFonts w:cs="Times New Roman"/>
                <w:bCs w:val="0"/>
                <w:color w:val="000000"/>
                <w:sz w:val="18"/>
                <w:szCs w:val="18"/>
              </w:rPr>
            </w:pPr>
            <w:r w:rsidRPr="00C33EEB">
              <w:rPr>
                <w:rFonts w:cs="Times New Roman"/>
                <w:bCs w:val="0"/>
                <w:color w:val="000000"/>
                <w:sz w:val="18"/>
                <w:szCs w:val="18"/>
              </w:rPr>
              <w:t>439.000</w:t>
            </w:r>
          </w:p>
        </w:tc>
      </w:tr>
      <w:tr w:rsidR="00C33EEB" w:rsidRPr="00C33EEB" w14:paraId="00242A7C" w14:textId="77777777" w:rsidTr="00C33EEB">
        <w:trPr>
          <w:trHeight w:val="300"/>
        </w:trPr>
        <w:tc>
          <w:tcPr>
            <w:tcW w:w="6804" w:type="dxa"/>
            <w:tcBorders>
              <w:top w:val="nil"/>
              <w:left w:val="nil"/>
              <w:bottom w:val="nil"/>
              <w:right w:val="nil"/>
            </w:tcBorders>
            <w:vAlign w:val="center"/>
            <w:hideMark/>
          </w:tcPr>
          <w:p w14:paraId="33B84CD5" w14:textId="77777777" w:rsidR="00C33EEB" w:rsidRPr="00C33EEB" w:rsidRDefault="00C33EEB" w:rsidP="00AC71BC">
            <w:pPr>
              <w:spacing w:after="0" w:line="240" w:lineRule="auto"/>
              <w:ind w:left="213" w:right="0"/>
              <w:jc w:val="left"/>
              <w:rPr>
                <w:rFonts w:cs="Times New Roman"/>
                <w:bCs w:val="0"/>
                <w:color w:val="000000"/>
                <w:sz w:val="18"/>
                <w:szCs w:val="18"/>
              </w:rPr>
            </w:pPr>
            <w:r w:rsidRPr="00C33EEB">
              <w:rPr>
                <w:rFonts w:cs="Times New Roman"/>
                <w:bCs w:val="0"/>
                <w:color w:val="000000"/>
                <w:sz w:val="18"/>
                <w:szCs w:val="18"/>
              </w:rPr>
              <w:t>722 Prihodki od prodaje zemljišč in neopredmetenih sredstev</w:t>
            </w:r>
          </w:p>
        </w:tc>
        <w:tc>
          <w:tcPr>
            <w:tcW w:w="1559" w:type="dxa"/>
            <w:tcBorders>
              <w:top w:val="nil"/>
              <w:left w:val="nil"/>
              <w:bottom w:val="nil"/>
              <w:right w:val="nil"/>
            </w:tcBorders>
            <w:vAlign w:val="center"/>
            <w:hideMark/>
          </w:tcPr>
          <w:p w14:paraId="4068662A" w14:textId="77777777" w:rsidR="00C33EEB" w:rsidRPr="00C33EEB" w:rsidRDefault="00C33EEB" w:rsidP="00C33EEB">
            <w:pPr>
              <w:spacing w:after="0" w:line="240" w:lineRule="auto"/>
              <w:ind w:left="0" w:right="0"/>
              <w:jc w:val="right"/>
              <w:rPr>
                <w:rFonts w:cs="Times New Roman"/>
                <w:bCs w:val="0"/>
                <w:color w:val="000000"/>
                <w:sz w:val="18"/>
                <w:szCs w:val="18"/>
              </w:rPr>
            </w:pPr>
            <w:r w:rsidRPr="00C33EEB">
              <w:rPr>
                <w:rFonts w:cs="Times New Roman"/>
                <w:bCs w:val="0"/>
                <w:color w:val="000000"/>
                <w:sz w:val="18"/>
                <w:szCs w:val="18"/>
              </w:rPr>
              <w:t>782.308</w:t>
            </w:r>
          </w:p>
        </w:tc>
      </w:tr>
      <w:tr w:rsidR="00C33EEB" w:rsidRPr="00C33EEB" w14:paraId="6D20CA24" w14:textId="77777777" w:rsidTr="00C33EEB">
        <w:trPr>
          <w:trHeight w:val="300"/>
        </w:trPr>
        <w:tc>
          <w:tcPr>
            <w:tcW w:w="6804" w:type="dxa"/>
            <w:tcBorders>
              <w:top w:val="nil"/>
              <w:left w:val="nil"/>
              <w:bottom w:val="nil"/>
              <w:right w:val="nil"/>
            </w:tcBorders>
            <w:vAlign w:val="center"/>
            <w:hideMark/>
          </w:tcPr>
          <w:p w14:paraId="067E86A1" w14:textId="77777777" w:rsidR="00C33EEB" w:rsidRPr="00C33EEB" w:rsidRDefault="00C33EEB" w:rsidP="00C33EEB">
            <w:pPr>
              <w:spacing w:after="0" w:line="240" w:lineRule="auto"/>
              <w:ind w:left="0" w:right="0"/>
              <w:jc w:val="left"/>
              <w:rPr>
                <w:rFonts w:cs="Times New Roman"/>
                <w:b/>
                <w:color w:val="000000"/>
                <w:sz w:val="18"/>
                <w:szCs w:val="18"/>
                <w:u w:val="single"/>
              </w:rPr>
            </w:pPr>
            <w:r w:rsidRPr="00C33EEB">
              <w:rPr>
                <w:rFonts w:cs="Times New Roman"/>
                <w:b/>
                <w:color w:val="000000"/>
                <w:sz w:val="18"/>
                <w:szCs w:val="18"/>
                <w:u w:val="single"/>
              </w:rPr>
              <w:t>73 PREJETE DONACIJE</w:t>
            </w:r>
          </w:p>
        </w:tc>
        <w:tc>
          <w:tcPr>
            <w:tcW w:w="1559" w:type="dxa"/>
            <w:tcBorders>
              <w:top w:val="nil"/>
              <w:left w:val="nil"/>
              <w:bottom w:val="nil"/>
              <w:right w:val="nil"/>
            </w:tcBorders>
            <w:vAlign w:val="center"/>
            <w:hideMark/>
          </w:tcPr>
          <w:p w14:paraId="3EFF8F14" w14:textId="77777777" w:rsidR="00C33EEB" w:rsidRPr="00C33EEB" w:rsidRDefault="00C33EEB" w:rsidP="00C33EEB">
            <w:pPr>
              <w:spacing w:after="0" w:line="240" w:lineRule="auto"/>
              <w:ind w:left="0" w:right="0"/>
              <w:jc w:val="right"/>
              <w:rPr>
                <w:rFonts w:cs="Times New Roman"/>
                <w:b/>
                <w:color w:val="000000"/>
                <w:sz w:val="18"/>
                <w:szCs w:val="18"/>
                <w:u w:val="single"/>
              </w:rPr>
            </w:pPr>
            <w:r w:rsidRPr="00C33EEB">
              <w:rPr>
                <w:rFonts w:cs="Times New Roman"/>
                <w:b/>
                <w:color w:val="000000"/>
                <w:sz w:val="18"/>
                <w:szCs w:val="18"/>
                <w:u w:val="single"/>
              </w:rPr>
              <w:t>25.313</w:t>
            </w:r>
          </w:p>
        </w:tc>
      </w:tr>
      <w:tr w:rsidR="00C33EEB" w:rsidRPr="00C33EEB" w14:paraId="376A8A04" w14:textId="77777777" w:rsidTr="00C33EEB">
        <w:trPr>
          <w:trHeight w:val="300"/>
        </w:trPr>
        <w:tc>
          <w:tcPr>
            <w:tcW w:w="6804" w:type="dxa"/>
            <w:tcBorders>
              <w:top w:val="nil"/>
              <w:left w:val="nil"/>
              <w:bottom w:val="nil"/>
              <w:right w:val="nil"/>
            </w:tcBorders>
            <w:vAlign w:val="center"/>
            <w:hideMark/>
          </w:tcPr>
          <w:p w14:paraId="1DF7B2E7" w14:textId="77777777" w:rsidR="00C33EEB" w:rsidRPr="00C33EEB" w:rsidRDefault="00C33EEB" w:rsidP="00AC71BC">
            <w:pPr>
              <w:spacing w:after="0" w:line="240" w:lineRule="auto"/>
              <w:ind w:left="213" w:right="0"/>
              <w:jc w:val="left"/>
              <w:rPr>
                <w:rFonts w:cs="Times New Roman"/>
                <w:bCs w:val="0"/>
                <w:color w:val="000000"/>
                <w:sz w:val="18"/>
                <w:szCs w:val="18"/>
              </w:rPr>
            </w:pPr>
            <w:r w:rsidRPr="00C33EEB">
              <w:rPr>
                <w:rFonts w:cs="Times New Roman"/>
                <w:bCs w:val="0"/>
                <w:color w:val="000000"/>
                <w:sz w:val="18"/>
                <w:szCs w:val="18"/>
              </w:rPr>
              <w:t>730 Prejete donacije iz domačih virov</w:t>
            </w:r>
          </w:p>
        </w:tc>
        <w:tc>
          <w:tcPr>
            <w:tcW w:w="1559" w:type="dxa"/>
            <w:tcBorders>
              <w:top w:val="nil"/>
              <w:left w:val="nil"/>
              <w:bottom w:val="nil"/>
              <w:right w:val="nil"/>
            </w:tcBorders>
            <w:vAlign w:val="center"/>
            <w:hideMark/>
          </w:tcPr>
          <w:p w14:paraId="42970A14" w14:textId="77777777" w:rsidR="00C33EEB" w:rsidRPr="00C33EEB" w:rsidRDefault="00C33EEB" w:rsidP="00C33EEB">
            <w:pPr>
              <w:spacing w:after="0" w:line="240" w:lineRule="auto"/>
              <w:ind w:left="0" w:right="0"/>
              <w:jc w:val="right"/>
              <w:rPr>
                <w:rFonts w:cs="Times New Roman"/>
                <w:bCs w:val="0"/>
                <w:color w:val="000000"/>
                <w:sz w:val="18"/>
                <w:szCs w:val="18"/>
              </w:rPr>
            </w:pPr>
            <w:r w:rsidRPr="00C33EEB">
              <w:rPr>
                <w:rFonts w:cs="Times New Roman"/>
                <w:bCs w:val="0"/>
                <w:color w:val="000000"/>
                <w:sz w:val="18"/>
                <w:szCs w:val="18"/>
              </w:rPr>
              <w:t>25.313</w:t>
            </w:r>
          </w:p>
        </w:tc>
      </w:tr>
      <w:tr w:rsidR="00C33EEB" w:rsidRPr="00C33EEB" w14:paraId="6702137A" w14:textId="77777777" w:rsidTr="00C33EEB">
        <w:trPr>
          <w:trHeight w:val="300"/>
        </w:trPr>
        <w:tc>
          <w:tcPr>
            <w:tcW w:w="6804" w:type="dxa"/>
            <w:tcBorders>
              <w:top w:val="nil"/>
              <w:left w:val="nil"/>
              <w:bottom w:val="nil"/>
              <w:right w:val="nil"/>
            </w:tcBorders>
            <w:vAlign w:val="center"/>
            <w:hideMark/>
          </w:tcPr>
          <w:p w14:paraId="0D3D92BF" w14:textId="77777777" w:rsidR="00C33EEB" w:rsidRPr="00C33EEB" w:rsidRDefault="00C33EEB" w:rsidP="00C33EEB">
            <w:pPr>
              <w:spacing w:after="0" w:line="240" w:lineRule="auto"/>
              <w:ind w:left="0" w:right="0"/>
              <w:jc w:val="left"/>
              <w:rPr>
                <w:rFonts w:cs="Times New Roman"/>
                <w:b/>
                <w:color w:val="000000"/>
                <w:sz w:val="18"/>
                <w:szCs w:val="18"/>
                <w:u w:val="single"/>
              </w:rPr>
            </w:pPr>
            <w:r w:rsidRPr="00C33EEB">
              <w:rPr>
                <w:rFonts w:cs="Times New Roman"/>
                <w:b/>
                <w:color w:val="000000"/>
                <w:sz w:val="18"/>
                <w:szCs w:val="18"/>
                <w:u w:val="single"/>
              </w:rPr>
              <w:t>74 TRANSFERNI PRIHODKI</w:t>
            </w:r>
          </w:p>
        </w:tc>
        <w:tc>
          <w:tcPr>
            <w:tcW w:w="1559" w:type="dxa"/>
            <w:tcBorders>
              <w:top w:val="nil"/>
              <w:left w:val="nil"/>
              <w:bottom w:val="nil"/>
              <w:right w:val="nil"/>
            </w:tcBorders>
            <w:vAlign w:val="center"/>
            <w:hideMark/>
          </w:tcPr>
          <w:p w14:paraId="0E337452" w14:textId="77777777" w:rsidR="00C33EEB" w:rsidRPr="00C33EEB" w:rsidRDefault="00C33EEB" w:rsidP="00C33EEB">
            <w:pPr>
              <w:spacing w:after="0" w:line="240" w:lineRule="auto"/>
              <w:ind w:left="0" w:right="0"/>
              <w:jc w:val="right"/>
              <w:rPr>
                <w:rFonts w:cs="Times New Roman"/>
                <w:b/>
                <w:color w:val="000000"/>
                <w:sz w:val="18"/>
                <w:szCs w:val="18"/>
                <w:u w:val="single"/>
              </w:rPr>
            </w:pPr>
            <w:r w:rsidRPr="00C33EEB">
              <w:rPr>
                <w:rFonts w:cs="Times New Roman"/>
                <w:b/>
                <w:color w:val="000000"/>
                <w:sz w:val="18"/>
                <w:szCs w:val="18"/>
                <w:u w:val="single"/>
              </w:rPr>
              <w:t>13.029.712</w:t>
            </w:r>
          </w:p>
        </w:tc>
      </w:tr>
      <w:tr w:rsidR="00C33EEB" w:rsidRPr="00C33EEB" w14:paraId="3F675C9F" w14:textId="77777777" w:rsidTr="00C33EEB">
        <w:trPr>
          <w:trHeight w:val="300"/>
        </w:trPr>
        <w:tc>
          <w:tcPr>
            <w:tcW w:w="6804" w:type="dxa"/>
            <w:tcBorders>
              <w:top w:val="nil"/>
              <w:left w:val="nil"/>
              <w:bottom w:val="nil"/>
              <w:right w:val="nil"/>
            </w:tcBorders>
            <w:vAlign w:val="center"/>
            <w:hideMark/>
          </w:tcPr>
          <w:p w14:paraId="55B2172C" w14:textId="77777777" w:rsidR="00C33EEB" w:rsidRPr="00C33EEB" w:rsidRDefault="00C33EEB" w:rsidP="00AC71BC">
            <w:pPr>
              <w:spacing w:after="0" w:line="240" w:lineRule="auto"/>
              <w:ind w:left="213" w:right="0"/>
              <w:jc w:val="left"/>
              <w:rPr>
                <w:rFonts w:cs="Times New Roman"/>
                <w:bCs w:val="0"/>
                <w:color w:val="000000"/>
                <w:sz w:val="18"/>
                <w:szCs w:val="18"/>
              </w:rPr>
            </w:pPr>
            <w:r w:rsidRPr="00C33EEB">
              <w:rPr>
                <w:rFonts w:cs="Times New Roman"/>
                <w:bCs w:val="0"/>
                <w:color w:val="000000"/>
                <w:sz w:val="18"/>
                <w:szCs w:val="18"/>
              </w:rPr>
              <w:t>740 Transferni prihodki iz drugih javnofinančnih institucij</w:t>
            </w:r>
          </w:p>
        </w:tc>
        <w:tc>
          <w:tcPr>
            <w:tcW w:w="1559" w:type="dxa"/>
            <w:tcBorders>
              <w:top w:val="nil"/>
              <w:left w:val="nil"/>
              <w:bottom w:val="nil"/>
              <w:right w:val="nil"/>
            </w:tcBorders>
            <w:vAlign w:val="center"/>
            <w:hideMark/>
          </w:tcPr>
          <w:p w14:paraId="2C2FC362" w14:textId="77777777" w:rsidR="00C33EEB" w:rsidRPr="00C33EEB" w:rsidRDefault="00C33EEB" w:rsidP="00C33EEB">
            <w:pPr>
              <w:spacing w:after="0" w:line="240" w:lineRule="auto"/>
              <w:ind w:left="0" w:right="0"/>
              <w:jc w:val="right"/>
              <w:rPr>
                <w:rFonts w:cs="Times New Roman"/>
                <w:bCs w:val="0"/>
                <w:color w:val="000000"/>
                <w:sz w:val="18"/>
                <w:szCs w:val="18"/>
              </w:rPr>
            </w:pPr>
            <w:r w:rsidRPr="00C33EEB">
              <w:rPr>
                <w:rFonts w:cs="Times New Roman"/>
                <w:bCs w:val="0"/>
                <w:color w:val="000000"/>
                <w:sz w:val="18"/>
                <w:szCs w:val="18"/>
              </w:rPr>
              <w:t>9.232.050</w:t>
            </w:r>
          </w:p>
        </w:tc>
      </w:tr>
      <w:tr w:rsidR="00C33EEB" w:rsidRPr="00C33EEB" w14:paraId="77796B9D" w14:textId="77777777" w:rsidTr="00C33EEB">
        <w:trPr>
          <w:trHeight w:val="420"/>
        </w:trPr>
        <w:tc>
          <w:tcPr>
            <w:tcW w:w="6804" w:type="dxa"/>
            <w:tcBorders>
              <w:top w:val="nil"/>
              <w:left w:val="nil"/>
              <w:bottom w:val="nil"/>
              <w:right w:val="nil"/>
            </w:tcBorders>
            <w:vAlign w:val="center"/>
            <w:hideMark/>
          </w:tcPr>
          <w:p w14:paraId="7B590751" w14:textId="77777777" w:rsidR="00C33EEB" w:rsidRPr="00C33EEB" w:rsidRDefault="00C33EEB" w:rsidP="00AC71BC">
            <w:pPr>
              <w:spacing w:after="0" w:line="240" w:lineRule="auto"/>
              <w:ind w:left="496" w:right="0" w:hanging="283"/>
              <w:jc w:val="left"/>
              <w:rPr>
                <w:rFonts w:cs="Times New Roman"/>
                <w:bCs w:val="0"/>
                <w:color w:val="000000"/>
                <w:sz w:val="18"/>
                <w:szCs w:val="18"/>
              </w:rPr>
            </w:pPr>
            <w:r w:rsidRPr="00C33EEB">
              <w:rPr>
                <w:rFonts w:cs="Times New Roman"/>
                <w:bCs w:val="0"/>
                <w:color w:val="000000"/>
                <w:sz w:val="18"/>
                <w:szCs w:val="18"/>
              </w:rPr>
              <w:t>741 Prejeta sredstva iz državnega proračuna iz sredstev proračuna EU in iz drugih držav</w:t>
            </w:r>
          </w:p>
        </w:tc>
        <w:tc>
          <w:tcPr>
            <w:tcW w:w="1559" w:type="dxa"/>
            <w:tcBorders>
              <w:top w:val="nil"/>
              <w:left w:val="nil"/>
              <w:bottom w:val="nil"/>
              <w:right w:val="nil"/>
            </w:tcBorders>
            <w:vAlign w:val="center"/>
            <w:hideMark/>
          </w:tcPr>
          <w:p w14:paraId="217A9A2D" w14:textId="77777777" w:rsidR="00C33EEB" w:rsidRPr="00C33EEB" w:rsidRDefault="00C33EEB" w:rsidP="00C33EEB">
            <w:pPr>
              <w:spacing w:after="0" w:line="240" w:lineRule="auto"/>
              <w:ind w:left="0" w:right="0"/>
              <w:jc w:val="right"/>
              <w:rPr>
                <w:rFonts w:cs="Times New Roman"/>
                <w:bCs w:val="0"/>
                <w:color w:val="000000"/>
                <w:sz w:val="18"/>
                <w:szCs w:val="18"/>
              </w:rPr>
            </w:pPr>
            <w:r w:rsidRPr="00C33EEB">
              <w:rPr>
                <w:rFonts w:cs="Times New Roman"/>
                <w:bCs w:val="0"/>
                <w:color w:val="000000"/>
                <w:sz w:val="18"/>
                <w:szCs w:val="18"/>
              </w:rPr>
              <w:t>3.797.662</w:t>
            </w:r>
          </w:p>
        </w:tc>
      </w:tr>
      <w:tr w:rsidR="00C33EEB" w:rsidRPr="00C33EEB" w14:paraId="03785B8E" w14:textId="77777777" w:rsidTr="00C33EEB">
        <w:trPr>
          <w:trHeight w:val="300"/>
        </w:trPr>
        <w:tc>
          <w:tcPr>
            <w:tcW w:w="6804" w:type="dxa"/>
            <w:tcBorders>
              <w:top w:val="nil"/>
              <w:left w:val="nil"/>
              <w:bottom w:val="nil"/>
              <w:right w:val="nil"/>
            </w:tcBorders>
            <w:vAlign w:val="center"/>
            <w:hideMark/>
          </w:tcPr>
          <w:p w14:paraId="082259E1" w14:textId="77777777" w:rsidR="00C33EEB" w:rsidRPr="00C33EEB" w:rsidRDefault="00C33EEB" w:rsidP="00C33EEB">
            <w:pPr>
              <w:spacing w:after="0" w:line="240" w:lineRule="auto"/>
              <w:ind w:left="0" w:right="0"/>
              <w:jc w:val="left"/>
              <w:rPr>
                <w:rFonts w:cs="Times New Roman"/>
                <w:b/>
                <w:color w:val="000000"/>
                <w:sz w:val="18"/>
                <w:szCs w:val="18"/>
                <w:u w:val="single"/>
              </w:rPr>
            </w:pPr>
            <w:r w:rsidRPr="00C33EEB">
              <w:rPr>
                <w:rFonts w:cs="Times New Roman"/>
                <w:b/>
                <w:color w:val="000000"/>
                <w:sz w:val="18"/>
                <w:szCs w:val="18"/>
                <w:u w:val="single"/>
              </w:rPr>
              <w:t>78 PREJETA SREDSTVA IZ EU IN IZ DRUGIH DRŽAV</w:t>
            </w:r>
          </w:p>
        </w:tc>
        <w:tc>
          <w:tcPr>
            <w:tcW w:w="1559" w:type="dxa"/>
            <w:tcBorders>
              <w:top w:val="nil"/>
              <w:left w:val="nil"/>
              <w:bottom w:val="nil"/>
              <w:right w:val="nil"/>
            </w:tcBorders>
            <w:vAlign w:val="center"/>
            <w:hideMark/>
          </w:tcPr>
          <w:p w14:paraId="28DEB953" w14:textId="77777777" w:rsidR="00C33EEB" w:rsidRPr="00C33EEB" w:rsidRDefault="00C33EEB" w:rsidP="00C33EEB">
            <w:pPr>
              <w:spacing w:after="0" w:line="240" w:lineRule="auto"/>
              <w:ind w:left="0" w:right="0"/>
              <w:jc w:val="right"/>
              <w:rPr>
                <w:rFonts w:cs="Times New Roman"/>
                <w:b/>
                <w:color w:val="000000"/>
                <w:sz w:val="18"/>
                <w:szCs w:val="18"/>
                <w:u w:val="single"/>
              </w:rPr>
            </w:pPr>
            <w:r w:rsidRPr="00C33EEB">
              <w:rPr>
                <w:rFonts w:cs="Times New Roman"/>
                <w:b/>
                <w:color w:val="000000"/>
                <w:sz w:val="18"/>
                <w:szCs w:val="18"/>
                <w:u w:val="single"/>
              </w:rPr>
              <w:t>188.734</w:t>
            </w:r>
          </w:p>
        </w:tc>
      </w:tr>
      <w:tr w:rsidR="00C33EEB" w:rsidRPr="00C33EEB" w14:paraId="0617F6A8" w14:textId="77777777" w:rsidTr="00C33EEB">
        <w:trPr>
          <w:trHeight w:val="300"/>
        </w:trPr>
        <w:tc>
          <w:tcPr>
            <w:tcW w:w="6804" w:type="dxa"/>
            <w:tcBorders>
              <w:top w:val="nil"/>
              <w:left w:val="nil"/>
              <w:bottom w:val="nil"/>
              <w:right w:val="nil"/>
            </w:tcBorders>
            <w:vAlign w:val="center"/>
            <w:hideMark/>
          </w:tcPr>
          <w:p w14:paraId="3B5D051E" w14:textId="77777777" w:rsidR="00C33EEB" w:rsidRPr="00C33EEB" w:rsidRDefault="00C33EEB" w:rsidP="00AC71BC">
            <w:pPr>
              <w:spacing w:after="0" w:line="240" w:lineRule="auto"/>
              <w:ind w:left="213" w:right="0"/>
              <w:jc w:val="left"/>
              <w:rPr>
                <w:rFonts w:cs="Times New Roman"/>
                <w:bCs w:val="0"/>
                <w:color w:val="000000"/>
                <w:sz w:val="18"/>
                <w:szCs w:val="18"/>
              </w:rPr>
            </w:pPr>
            <w:r w:rsidRPr="00C33EEB">
              <w:rPr>
                <w:rFonts w:cs="Times New Roman"/>
                <w:bCs w:val="0"/>
                <w:color w:val="000000"/>
                <w:sz w:val="18"/>
                <w:szCs w:val="18"/>
              </w:rPr>
              <w:t>787 Prejeta sredstva od drugih evropskih institucij in iz drugih držav</w:t>
            </w:r>
          </w:p>
        </w:tc>
        <w:tc>
          <w:tcPr>
            <w:tcW w:w="1559" w:type="dxa"/>
            <w:tcBorders>
              <w:top w:val="nil"/>
              <w:left w:val="nil"/>
              <w:bottom w:val="nil"/>
              <w:right w:val="nil"/>
            </w:tcBorders>
            <w:vAlign w:val="center"/>
            <w:hideMark/>
          </w:tcPr>
          <w:p w14:paraId="7A9A2204" w14:textId="77777777" w:rsidR="00C33EEB" w:rsidRPr="00C33EEB" w:rsidRDefault="00C33EEB" w:rsidP="00C33EEB">
            <w:pPr>
              <w:spacing w:after="0" w:line="240" w:lineRule="auto"/>
              <w:ind w:left="0" w:right="0"/>
              <w:jc w:val="right"/>
              <w:rPr>
                <w:rFonts w:cs="Times New Roman"/>
                <w:bCs w:val="0"/>
                <w:color w:val="000000"/>
                <w:sz w:val="18"/>
                <w:szCs w:val="18"/>
              </w:rPr>
            </w:pPr>
            <w:r w:rsidRPr="00C33EEB">
              <w:rPr>
                <w:rFonts w:cs="Times New Roman"/>
                <w:bCs w:val="0"/>
                <w:color w:val="000000"/>
                <w:sz w:val="18"/>
                <w:szCs w:val="18"/>
              </w:rPr>
              <w:t>188.734</w:t>
            </w:r>
          </w:p>
        </w:tc>
      </w:tr>
      <w:tr w:rsidR="00C33EEB" w:rsidRPr="00C33EEB" w14:paraId="50AB2FE2" w14:textId="77777777" w:rsidTr="00C33EEB">
        <w:trPr>
          <w:trHeight w:val="300"/>
        </w:trPr>
        <w:tc>
          <w:tcPr>
            <w:tcW w:w="6804" w:type="dxa"/>
            <w:tcBorders>
              <w:top w:val="nil"/>
              <w:left w:val="nil"/>
              <w:bottom w:val="nil"/>
              <w:right w:val="nil"/>
            </w:tcBorders>
            <w:noWrap/>
            <w:vAlign w:val="center"/>
            <w:hideMark/>
          </w:tcPr>
          <w:p w14:paraId="605E409A" w14:textId="77777777" w:rsidR="00C33EEB" w:rsidRPr="00C33EEB" w:rsidRDefault="00C33EEB" w:rsidP="00C33EEB">
            <w:pPr>
              <w:spacing w:after="0" w:line="240" w:lineRule="auto"/>
              <w:ind w:left="0" w:right="0"/>
              <w:jc w:val="right"/>
              <w:rPr>
                <w:rFonts w:cs="Times New Roman"/>
                <w:bCs w:val="0"/>
                <w:color w:val="000000"/>
                <w:sz w:val="18"/>
                <w:szCs w:val="18"/>
              </w:rPr>
            </w:pPr>
          </w:p>
        </w:tc>
        <w:tc>
          <w:tcPr>
            <w:tcW w:w="1559" w:type="dxa"/>
            <w:tcBorders>
              <w:top w:val="nil"/>
              <w:left w:val="nil"/>
              <w:bottom w:val="nil"/>
              <w:right w:val="nil"/>
            </w:tcBorders>
            <w:noWrap/>
            <w:vAlign w:val="bottom"/>
            <w:hideMark/>
          </w:tcPr>
          <w:p w14:paraId="1AE14F48" w14:textId="77777777" w:rsidR="00C33EEB" w:rsidRPr="00C33EEB" w:rsidRDefault="00C33EEB" w:rsidP="00C33EEB">
            <w:pPr>
              <w:spacing w:after="0" w:line="240" w:lineRule="auto"/>
              <w:ind w:left="0" w:right="0"/>
              <w:jc w:val="left"/>
              <w:rPr>
                <w:rFonts w:cs="Times New Roman"/>
                <w:bCs w:val="0"/>
                <w:sz w:val="18"/>
                <w:szCs w:val="18"/>
              </w:rPr>
            </w:pPr>
          </w:p>
        </w:tc>
      </w:tr>
      <w:tr w:rsidR="00C33EEB" w:rsidRPr="00C33EEB" w14:paraId="340E9CBD" w14:textId="77777777" w:rsidTr="00C33EEB">
        <w:trPr>
          <w:trHeight w:val="300"/>
        </w:trPr>
        <w:tc>
          <w:tcPr>
            <w:tcW w:w="6804" w:type="dxa"/>
            <w:tcBorders>
              <w:top w:val="nil"/>
              <w:left w:val="nil"/>
              <w:bottom w:val="nil"/>
              <w:right w:val="nil"/>
            </w:tcBorders>
            <w:vAlign w:val="center"/>
            <w:hideMark/>
          </w:tcPr>
          <w:p w14:paraId="5258C9D1" w14:textId="77777777" w:rsidR="00C33EEB" w:rsidRPr="00C33EEB" w:rsidRDefault="00C33EEB" w:rsidP="00C33EEB">
            <w:pPr>
              <w:spacing w:after="0" w:line="240" w:lineRule="auto"/>
              <w:ind w:left="0" w:right="0"/>
              <w:jc w:val="left"/>
              <w:rPr>
                <w:rFonts w:cs="Times New Roman"/>
                <w:b/>
                <w:color w:val="000000"/>
                <w:sz w:val="18"/>
                <w:szCs w:val="18"/>
                <w:u w:val="single"/>
              </w:rPr>
            </w:pPr>
            <w:r w:rsidRPr="00C33EEB">
              <w:rPr>
                <w:rFonts w:cs="Times New Roman"/>
                <w:b/>
                <w:color w:val="000000"/>
                <w:sz w:val="18"/>
                <w:szCs w:val="18"/>
                <w:u w:val="single"/>
              </w:rPr>
              <w:t>II. SKUPAJ ODHODKI (40+41+42+43+45)</w:t>
            </w:r>
          </w:p>
        </w:tc>
        <w:tc>
          <w:tcPr>
            <w:tcW w:w="1559" w:type="dxa"/>
            <w:tcBorders>
              <w:top w:val="nil"/>
              <w:left w:val="nil"/>
              <w:bottom w:val="nil"/>
              <w:right w:val="nil"/>
            </w:tcBorders>
            <w:vAlign w:val="center"/>
            <w:hideMark/>
          </w:tcPr>
          <w:p w14:paraId="3343332A" w14:textId="77777777" w:rsidR="00C33EEB" w:rsidRPr="00C33EEB" w:rsidRDefault="00C33EEB" w:rsidP="00C33EEB">
            <w:pPr>
              <w:spacing w:after="0" w:line="240" w:lineRule="auto"/>
              <w:ind w:left="0" w:right="0"/>
              <w:jc w:val="right"/>
              <w:rPr>
                <w:rFonts w:cs="Times New Roman"/>
                <w:b/>
                <w:color w:val="000000"/>
                <w:sz w:val="18"/>
                <w:szCs w:val="18"/>
                <w:u w:val="single"/>
              </w:rPr>
            </w:pPr>
            <w:r w:rsidRPr="00C33EEB">
              <w:rPr>
                <w:rFonts w:cs="Times New Roman"/>
                <w:b/>
                <w:color w:val="000000"/>
                <w:sz w:val="18"/>
                <w:szCs w:val="18"/>
                <w:u w:val="single"/>
              </w:rPr>
              <w:t>59.260.400</w:t>
            </w:r>
          </w:p>
        </w:tc>
      </w:tr>
      <w:tr w:rsidR="00C33EEB" w:rsidRPr="00C33EEB" w14:paraId="3168E686" w14:textId="77777777" w:rsidTr="00C33EEB">
        <w:trPr>
          <w:trHeight w:val="300"/>
        </w:trPr>
        <w:tc>
          <w:tcPr>
            <w:tcW w:w="6804" w:type="dxa"/>
            <w:tcBorders>
              <w:top w:val="nil"/>
              <w:left w:val="nil"/>
              <w:bottom w:val="nil"/>
              <w:right w:val="nil"/>
            </w:tcBorders>
            <w:vAlign w:val="center"/>
            <w:hideMark/>
          </w:tcPr>
          <w:p w14:paraId="2F9FC744" w14:textId="77777777" w:rsidR="00C33EEB" w:rsidRPr="00C33EEB" w:rsidRDefault="00C33EEB" w:rsidP="00C33EEB">
            <w:pPr>
              <w:spacing w:after="0" w:line="240" w:lineRule="auto"/>
              <w:ind w:left="0" w:right="0"/>
              <w:jc w:val="left"/>
              <w:rPr>
                <w:rFonts w:cs="Times New Roman"/>
                <w:b/>
                <w:color w:val="000000"/>
                <w:sz w:val="18"/>
                <w:szCs w:val="18"/>
                <w:u w:val="single"/>
              </w:rPr>
            </w:pPr>
            <w:r w:rsidRPr="00C33EEB">
              <w:rPr>
                <w:rFonts w:cs="Times New Roman"/>
                <w:b/>
                <w:color w:val="000000"/>
                <w:sz w:val="18"/>
                <w:szCs w:val="18"/>
                <w:u w:val="single"/>
              </w:rPr>
              <w:t>40 TEKOČI ODHODKI</w:t>
            </w:r>
          </w:p>
        </w:tc>
        <w:tc>
          <w:tcPr>
            <w:tcW w:w="1559" w:type="dxa"/>
            <w:tcBorders>
              <w:top w:val="nil"/>
              <w:left w:val="nil"/>
              <w:bottom w:val="nil"/>
              <w:right w:val="nil"/>
            </w:tcBorders>
            <w:vAlign w:val="center"/>
            <w:hideMark/>
          </w:tcPr>
          <w:p w14:paraId="1FAC55EB" w14:textId="77777777" w:rsidR="00C33EEB" w:rsidRPr="00C33EEB" w:rsidRDefault="00C33EEB" w:rsidP="00C33EEB">
            <w:pPr>
              <w:spacing w:after="0" w:line="240" w:lineRule="auto"/>
              <w:ind w:left="0" w:right="0"/>
              <w:jc w:val="right"/>
              <w:rPr>
                <w:rFonts w:cs="Times New Roman"/>
                <w:b/>
                <w:color w:val="000000"/>
                <w:sz w:val="18"/>
                <w:szCs w:val="18"/>
                <w:u w:val="single"/>
              </w:rPr>
            </w:pPr>
            <w:r w:rsidRPr="00C33EEB">
              <w:rPr>
                <w:rFonts w:cs="Times New Roman"/>
                <w:b/>
                <w:color w:val="000000"/>
                <w:sz w:val="18"/>
                <w:szCs w:val="18"/>
                <w:u w:val="single"/>
              </w:rPr>
              <w:t>15.111.285</w:t>
            </w:r>
          </w:p>
        </w:tc>
      </w:tr>
      <w:tr w:rsidR="00C33EEB" w:rsidRPr="00C33EEB" w14:paraId="72754705" w14:textId="77777777" w:rsidTr="00C33EEB">
        <w:trPr>
          <w:trHeight w:val="300"/>
        </w:trPr>
        <w:tc>
          <w:tcPr>
            <w:tcW w:w="6804" w:type="dxa"/>
            <w:tcBorders>
              <w:top w:val="nil"/>
              <w:left w:val="nil"/>
              <w:bottom w:val="nil"/>
              <w:right w:val="nil"/>
            </w:tcBorders>
            <w:vAlign w:val="center"/>
            <w:hideMark/>
          </w:tcPr>
          <w:p w14:paraId="20606777" w14:textId="77777777" w:rsidR="00C33EEB" w:rsidRPr="00C33EEB" w:rsidRDefault="00C33EEB" w:rsidP="00AC71BC">
            <w:pPr>
              <w:spacing w:after="0" w:line="240" w:lineRule="auto"/>
              <w:ind w:left="213" w:right="0"/>
              <w:jc w:val="left"/>
              <w:rPr>
                <w:rFonts w:cs="Times New Roman"/>
                <w:bCs w:val="0"/>
                <w:color w:val="000000"/>
                <w:sz w:val="18"/>
                <w:szCs w:val="18"/>
              </w:rPr>
            </w:pPr>
            <w:r w:rsidRPr="00C33EEB">
              <w:rPr>
                <w:rFonts w:cs="Times New Roman"/>
                <w:bCs w:val="0"/>
                <w:color w:val="000000"/>
                <w:sz w:val="18"/>
                <w:szCs w:val="18"/>
              </w:rPr>
              <w:t>400 Plače in drugi izdatki zaposlenim</w:t>
            </w:r>
          </w:p>
        </w:tc>
        <w:tc>
          <w:tcPr>
            <w:tcW w:w="1559" w:type="dxa"/>
            <w:tcBorders>
              <w:top w:val="nil"/>
              <w:left w:val="nil"/>
              <w:bottom w:val="nil"/>
              <w:right w:val="nil"/>
            </w:tcBorders>
            <w:vAlign w:val="center"/>
            <w:hideMark/>
          </w:tcPr>
          <w:p w14:paraId="2D6E1055" w14:textId="77777777" w:rsidR="00C33EEB" w:rsidRPr="00C33EEB" w:rsidRDefault="00C33EEB" w:rsidP="00C33EEB">
            <w:pPr>
              <w:spacing w:after="0" w:line="240" w:lineRule="auto"/>
              <w:ind w:left="0" w:right="0"/>
              <w:jc w:val="right"/>
              <w:rPr>
                <w:rFonts w:cs="Times New Roman"/>
                <w:bCs w:val="0"/>
                <w:color w:val="000000"/>
                <w:sz w:val="18"/>
                <w:szCs w:val="18"/>
              </w:rPr>
            </w:pPr>
            <w:r w:rsidRPr="00C33EEB">
              <w:rPr>
                <w:rFonts w:cs="Times New Roman"/>
                <w:bCs w:val="0"/>
                <w:color w:val="000000"/>
                <w:sz w:val="18"/>
                <w:szCs w:val="18"/>
              </w:rPr>
              <w:t>4.143.663</w:t>
            </w:r>
          </w:p>
        </w:tc>
      </w:tr>
      <w:tr w:rsidR="00C33EEB" w:rsidRPr="00C33EEB" w14:paraId="214A574C" w14:textId="77777777" w:rsidTr="00C33EEB">
        <w:trPr>
          <w:trHeight w:val="300"/>
        </w:trPr>
        <w:tc>
          <w:tcPr>
            <w:tcW w:w="6804" w:type="dxa"/>
            <w:tcBorders>
              <w:top w:val="nil"/>
              <w:left w:val="nil"/>
              <w:bottom w:val="nil"/>
              <w:right w:val="nil"/>
            </w:tcBorders>
            <w:vAlign w:val="center"/>
            <w:hideMark/>
          </w:tcPr>
          <w:p w14:paraId="18328939" w14:textId="77777777" w:rsidR="00C33EEB" w:rsidRPr="00C33EEB" w:rsidRDefault="00C33EEB" w:rsidP="00AC71BC">
            <w:pPr>
              <w:spacing w:after="0" w:line="240" w:lineRule="auto"/>
              <w:ind w:left="213" w:right="0"/>
              <w:jc w:val="left"/>
              <w:rPr>
                <w:rFonts w:cs="Times New Roman"/>
                <w:bCs w:val="0"/>
                <w:color w:val="000000"/>
                <w:sz w:val="18"/>
                <w:szCs w:val="18"/>
              </w:rPr>
            </w:pPr>
            <w:r w:rsidRPr="00C33EEB">
              <w:rPr>
                <w:rFonts w:cs="Times New Roman"/>
                <w:bCs w:val="0"/>
                <w:color w:val="000000"/>
                <w:sz w:val="18"/>
                <w:szCs w:val="18"/>
              </w:rPr>
              <w:t>401 Prispevki delodajalcev za socialno varnost</w:t>
            </w:r>
          </w:p>
        </w:tc>
        <w:tc>
          <w:tcPr>
            <w:tcW w:w="1559" w:type="dxa"/>
            <w:tcBorders>
              <w:top w:val="nil"/>
              <w:left w:val="nil"/>
              <w:bottom w:val="nil"/>
              <w:right w:val="nil"/>
            </w:tcBorders>
            <w:vAlign w:val="center"/>
            <w:hideMark/>
          </w:tcPr>
          <w:p w14:paraId="65C713AA" w14:textId="77777777" w:rsidR="00C33EEB" w:rsidRPr="00C33EEB" w:rsidRDefault="00C33EEB" w:rsidP="00C33EEB">
            <w:pPr>
              <w:spacing w:after="0" w:line="240" w:lineRule="auto"/>
              <w:ind w:left="0" w:right="0"/>
              <w:jc w:val="right"/>
              <w:rPr>
                <w:rFonts w:cs="Times New Roman"/>
                <w:bCs w:val="0"/>
                <w:color w:val="000000"/>
                <w:sz w:val="18"/>
                <w:szCs w:val="18"/>
              </w:rPr>
            </w:pPr>
            <w:r w:rsidRPr="00C33EEB">
              <w:rPr>
                <w:rFonts w:cs="Times New Roman"/>
                <w:bCs w:val="0"/>
                <w:color w:val="000000"/>
                <w:sz w:val="18"/>
                <w:szCs w:val="18"/>
              </w:rPr>
              <w:t>658.935</w:t>
            </w:r>
          </w:p>
        </w:tc>
      </w:tr>
      <w:tr w:rsidR="00C33EEB" w:rsidRPr="00C33EEB" w14:paraId="61AEE63F" w14:textId="77777777" w:rsidTr="00C33EEB">
        <w:trPr>
          <w:trHeight w:val="300"/>
        </w:trPr>
        <w:tc>
          <w:tcPr>
            <w:tcW w:w="6804" w:type="dxa"/>
            <w:tcBorders>
              <w:top w:val="nil"/>
              <w:left w:val="nil"/>
              <w:bottom w:val="nil"/>
              <w:right w:val="nil"/>
            </w:tcBorders>
            <w:vAlign w:val="center"/>
            <w:hideMark/>
          </w:tcPr>
          <w:p w14:paraId="3C03BFB9" w14:textId="77777777" w:rsidR="00C33EEB" w:rsidRPr="00C33EEB" w:rsidRDefault="00C33EEB" w:rsidP="00AC71BC">
            <w:pPr>
              <w:spacing w:after="0" w:line="240" w:lineRule="auto"/>
              <w:ind w:left="213" w:right="0"/>
              <w:jc w:val="left"/>
              <w:rPr>
                <w:rFonts w:cs="Times New Roman"/>
                <w:bCs w:val="0"/>
                <w:color w:val="000000"/>
                <w:sz w:val="18"/>
                <w:szCs w:val="18"/>
              </w:rPr>
            </w:pPr>
            <w:r w:rsidRPr="00C33EEB">
              <w:rPr>
                <w:rFonts w:cs="Times New Roman"/>
                <w:bCs w:val="0"/>
                <w:color w:val="000000"/>
                <w:sz w:val="18"/>
                <w:szCs w:val="18"/>
              </w:rPr>
              <w:t>402 Izdatki za blago in storitve</w:t>
            </w:r>
          </w:p>
        </w:tc>
        <w:tc>
          <w:tcPr>
            <w:tcW w:w="1559" w:type="dxa"/>
            <w:tcBorders>
              <w:top w:val="nil"/>
              <w:left w:val="nil"/>
              <w:bottom w:val="nil"/>
              <w:right w:val="nil"/>
            </w:tcBorders>
            <w:vAlign w:val="center"/>
            <w:hideMark/>
          </w:tcPr>
          <w:p w14:paraId="76DEF020" w14:textId="77777777" w:rsidR="00C33EEB" w:rsidRPr="00C33EEB" w:rsidRDefault="00C33EEB" w:rsidP="00C33EEB">
            <w:pPr>
              <w:spacing w:after="0" w:line="240" w:lineRule="auto"/>
              <w:ind w:left="0" w:right="0"/>
              <w:jc w:val="right"/>
              <w:rPr>
                <w:rFonts w:cs="Times New Roman"/>
                <w:bCs w:val="0"/>
                <w:color w:val="000000"/>
                <w:sz w:val="18"/>
                <w:szCs w:val="18"/>
              </w:rPr>
            </w:pPr>
            <w:r w:rsidRPr="00C33EEB">
              <w:rPr>
                <w:rFonts w:cs="Times New Roman"/>
                <w:bCs w:val="0"/>
                <w:color w:val="000000"/>
                <w:sz w:val="18"/>
                <w:szCs w:val="18"/>
              </w:rPr>
              <w:t>9.464.454</w:t>
            </w:r>
          </w:p>
        </w:tc>
      </w:tr>
      <w:tr w:rsidR="00C33EEB" w:rsidRPr="00C33EEB" w14:paraId="2B7DF63C" w14:textId="77777777" w:rsidTr="00C33EEB">
        <w:trPr>
          <w:trHeight w:val="300"/>
        </w:trPr>
        <w:tc>
          <w:tcPr>
            <w:tcW w:w="6804" w:type="dxa"/>
            <w:tcBorders>
              <w:top w:val="nil"/>
              <w:left w:val="nil"/>
              <w:bottom w:val="nil"/>
              <w:right w:val="nil"/>
            </w:tcBorders>
            <w:vAlign w:val="center"/>
            <w:hideMark/>
          </w:tcPr>
          <w:p w14:paraId="0DC3EB03" w14:textId="77777777" w:rsidR="00C33EEB" w:rsidRPr="00C33EEB" w:rsidRDefault="00C33EEB" w:rsidP="00AC71BC">
            <w:pPr>
              <w:spacing w:after="0" w:line="240" w:lineRule="auto"/>
              <w:ind w:left="213" w:right="0"/>
              <w:jc w:val="left"/>
              <w:rPr>
                <w:rFonts w:cs="Times New Roman"/>
                <w:bCs w:val="0"/>
                <w:color w:val="000000"/>
                <w:sz w:val="18"/>
                <w:szCs w:val="18"/>
              </w:rPr>
            </w:pPr>
            <w:r w:rsidRPr="00C33EEB">
              <w:rPr>
                <w:rFonts w:cs="Times New Roman"/>
                <w:bCs w:val="0"/>
                <w:color w:val="000000"/>
                <w:sz w:val="18"/>
                <w:szCs w:val="18"/>
              </w:rPr>
              <w:t>403 Plačila domačih obresti</w:t>
            </w:r>
          </w:p>
        </w:tc>
        <w:tc>
          <w:tcPr>
            <w:tcW w:w="1559" w:type="dxa"/>
            <w:tcBorders>
              <w:top w:val="nil"/>
              <w:left w:val="nil"/>
              <w:bottom w:val="nil"/>
              <w:right w:val="nil"/>
            </w:tcBorders>
            <w:vAlign w:val="center"/>
            <w:hideMark/>
          </w:tcPr>
          <w:p w14:paraId="301B89B0" w14:textId="77777777" w:rsidR="00C33EEB" w:rsidRPr="00C33EEB" w:rsidRDefault="00C33EEB" w:rsidP="00C33EEB">
            <w:pPr>
              <w:spacing w:after="0" w:line="240" w:lineRule="auto"/>
              <w:ind w:left="0" w:right="0"/>
              <w:jc w:val="right"/>
              <w:rPr>
                <w:rFonts w:cs="Times New Roman"/>
                <w:bCs w:val="0"/>
                <w:color w:val="000000"/>
                <w:sz w:val="18"/>
                <w:szCs w:val="18"/>
              </w:rPr>
            </w:pPr>
            <w:r w:rsidRPr="00C33EEB">
              <w:rPr>
                <w:rFonts w:cs="Times New Roman"/>
                <w:bCs w:val="0"/>
                <w:color w:val="000000"/>
                <w:sz w:val="18"/>
                <w:szCs w:val="18"/>
              </w:rPr>
              <w:t>824.233</w:t>
            </w:r>
          </w:p>
        </w:tc>
      </w:tr>
      <w:tr w:rsidR="00C33EEB" w:rsidRPr="00C33EEB" w14:paraId="78B7F65E" w14:textId="77777777" w:rsidTr="00C33EEB">
        <w:trPr>
          <w:trHeight w:val="300"/>
        </w:trPr>
        <w:tc>
          <w:tcPr>
            <w:tcW w:w="6804" w:type="dxa"/>
            <w:tcBorders>
              <w:top w:val="nil"/>
              <w:left w:val="nil"/>
              <w:bottom w:val="nil"/>
              <w:right w:val="nil"/>
            </w:tcBorders>
            <w:vAlign w:val="center"/>
            <w:hideMark/>
          </w:tcPr>
          <w:p w14:paraId="1A5C38B6" w14:textId="77777777" w:rsidR="00C33EEB" w:rsidRPr="00C33EEB" w:rsidRDefault="00C33EEB" w:rsidP="00AC71BC">
            <w:pPr>
              <w:spacing w:after="0" w:line="240" w:lineRule="auto"/>
              <w:ind w:left="213" w:right="0"/>
              <w:jc w:val="left"/>
              <w:rPr>
                <w:rFonts w:cs="Times New Roman"/>
                <w:bCs w:val="0"/>
                <w:color w:val="000000"/>
                <w:sz w:val="18"/>
                <w:szCs w:val="18"/>
              </w:rPr>
            </w:pPr>
            <w:r w:rsidRPr="00C33EEB">
              <w:rPr>
                <w:rFonts w:cs="Times New Roman"/>
                <w:bCs w:val="0"/>
                <w:color w:val="000000"/>
                <w:sz w:val="18"/>
                <w:szCs w:val="18"/>
              </w:rPr>
              <w:t>409 Rezerve</w:t>
            </w:r>
          </w:p>
        </w:tc>
        <w:tc>
          <w:tcPr>
            <w:tcW w:w="1559" w:type="dxa"/>
            <w:tcBorders>
              <w:top w:val="nil"/>
              <w:left w:val="nil"/>
              <w:bottom w:val="nil"/>
              <w:right w:val="nil"/>
            </w:tcBorders>
            <w:vAlign w:val="center"/>
            <w:hideMark/>
          </w:tcPr>
          <w:p w14:paraId="5EF85A95" w14:textId="77777777" w:rsidR="00C33EEB" w:rsidRPr="00C33EEB" w:rsidRDefault="00C33EEB" w:rsidP="00C33EEB">
            <w:pPr>
              <w:spacing w:after="0" w:line="240" w:lineRule="auto"/>
              <w:ind w:left="0" w:right="0"/>
              <w:jc w:val="right"/>
              <w:rPr>
                <w:rFonts w:cs="Times New Roman"/>
                <w:bCs w:val="0"/>
                <w:color w:val="000000"/>
                <w:sz w:val="18"/>
                <w:szCs w:val="18"/>
              </w:rPr>
            </w:pPr>
            <w:r w:rsidRPr="00C33EEB">
              <w:rPr>
                <w:rFonts w:cs="Times New Roman"/>
                <w:bCs w:val="0"/>
                <w:color w:val="000000"/>
                <w:sz w:val="18"/>
                <w:szCs w:val="18"/>
              </w:rPr>
              <w:t>20.000</w:t>
            </w:r>
          </w:p>
        </w:tc>
      </w:tr>
      <w:tr w:rsidR="00C33EEB" w:rsidRPr="00C33EEB" w14:paraId="6C4AE7F0" w14:textId="77777777" w:rsidTr="00C33EEB">
        <w:trPr>
          <w:trHeight w:val="300"/>
        </w:trPr>
        <w:tc>
          <w:tcPr>
            <w:tcW w:w="6804" w:type="dxa"/>
            <w:tcBorders>
              <w:top w:val="nil"/>
              <w:left w:val="nil"/>
              <w:bottom w:val="nil"/>
              <w:right w:val="nil"/>
            </w:tcBorders>
            <w:vAlign w:val="center"/>
            <w:hideMark/>
          </w:tcPr>
          <w:p w14:paraId="44737819" w14:textId="77777777" w:rsidR="00C33EEB" w:rsidRPr="00C33EEB" w:rsidRDefault="00C33EEB" w:rsidP="00C33EEB">
            <w:pPr>
              <w:spacing w:after="0" w:line="240" w:lineRule="auto"/>
              <w:ind w:left="0" w:right="0"/>
              <w:jc w:val="left"/>
              <w:rPr>
                <w:rFonts w:cs="Times New Roman"/>
                <w:b/>
                <w:color w:val="000000"/>
                <w:sz w:val="18"/>
                <w:szCs w:val="18"/>
                <w:u w:val="single"/>
              </w:rPr>
            </w:pPr>
            <w:r w:rsidRPr="00C33EEB">
              <w:rPr>
                <w:rFonts w:cs="Times New Roman"/>
                <w:b/>
                <w:color w:val="000000"/>
                <w:sz w:val="18"/>
                <w:szCs w:val="18"/>
                <w:u w:val="single"/>
              </w:rPr>
              <w:t>41 TEKOČI TRANSFERI</w:t>
            </w:r>
          </w:p>
        </w:tc>
        <w:tc>
          <w:tcPr>
            <w:tcW w:w="1559" w:type="dxa"/>
            <w:tcBorders>
              <w:top w:val="nil"/>
              <w:left w:val="nil"/>
              <w:bottom w:val="nil"/>
              <w:right w:val="nil"/>
            </w:tcBorders>
            <w:vAlign w:val="center"/>
            <w:hideMark/>
          </w:tcPr>
          <w:p w14:paraId="1CD32BFA" w14:textId="77777777" w:rsidR="00C33EEB" w:rsidRPr="00C33EEB" w:rsidRDefault="00C33EEB" w:rsidP="00C33EEB">
            <w:pPr>
              <w:spacing w:after="0" w:line="240" w:lineRule="auto"/>
              <w:ind w:left="0" w:right="0"/>
              <w:jc w:val="right"/>
              <w:rPr>
                <w:rFonts w:cs="Times New Roman"/>
                <w:b/>
                <w:color w:val="000000"/>
                <w:sz w:val="18"/>
                <w:szCs w:val="18"/>
                <w:u w:val="single"/>
              </w:rPr>
            </w:pPr>
            <w:r w:rsidRPr="00C33EEB">
              <w:rPr>
                <w:rFonts w:cs="Times New Roman"/>
                <w:b/>
                <w:color w:val="000000"/>
                <w:sz w:val="18"/>
                <w:szCs w:val="18"/>
                <w:u w:val="single"/>
              </w:rPr>
              <w:t>20.832.974</w:t>
            </w:r>
          </w:p>
        </w:tc>
      </w:tr>
      <w:tr w:rsidR="00C33EEB" w:rsidRPr="00C33EEB" w14:paraId="1F798CE4" w14:textId="77777777" w:rsidTr="00C33EEB">
        <w:trPr>
          <w:trHeight w:val="300"/>
        </w:trPr>
        <w:tc>
          <w:tcPr>
            <w:tcW w:w="6804" w:type="dxa"/>
            <w:tcBorders>
              <w:top w:val="nil"/>
              <w:left w:val="nil"/>
              <w:bottom w:val="nil"/>
              <w:right w:val="nil"/>
            </w:tcBorders>
            <w:vAlign w:val="center"/>
            <w:hideMark/>
          </w:tcPr>
          <w:p w14:paraId="10B0E564" w14:textId="77777777" w:rsidR="00C33EEB" w:rsidRPr="00C33EEB" w:rsidRDefault="00C33EEB" w:rsidP="00AC71BC">
            <w:pPr>
              <w:spacing w:after="0" w:line="240" w:lineRule="auto"/>
              <w:ind w:left="213" w:right="0"/>
              <w:jc w:val="left"/>
              <w:rPr>
                <w:rFonts w:cs="Times New Roman"/>
                <w:bCs w:val="0"/>
                <w:color w:val="000000"/>
                <w:sz w:val="18"/>
                <w:szCs w:val="18"/>
              </w:rPr>
            </w:pPr>
            <w:r w:rsidRPr="00C33EEB">
              <w:rPr>
                <w:rFonts w:cs="Times New Roman"/>
                <w:bCs w:val="0"/>
                <w:color w:val="000000"/>
                <w:sz w:val="18"/>
                <w:szCs w:val="18"/>
              </w:rPr>
              <w:t>410 Subvencije</w:t>
            </w:r>
          </w:p>
        </w:tc>
        <w:tc>
          <w:tcPr>
            <w:tcW w:w="1559" w:type="dxa"/>
            <w:tcBorders>
              <w:top w:val="nil"/>
              <w:left w:val="nil"/>
              <w:bottom w:val="nil"/>
              <w:right w:val="nil"/>
            </w:tcBorders>
            <w:vAlign w:val="center"/>
            <w:hideMark/>
          </w:tcPr>
          <w:p w14:paraId="6D5CE2E6" w14:textId="77777777" w:rsidR="00C33EEB" w:rsidRPr="00C33EEB" w:rsidRDefault="00C33EEB" w:rsidP="00C33EEB">
            <w:pPr>
              <w:spacing w:after="0" w:line="240" w:lineRule="auto"/>
              <w:ind w:left="0" w:right="0"/>
              <w:jc w:val="right"/>
              <w:rPr>
                <w:rFonts w:cs="Times New Roman"/>
                <w:bCs w:val="0"/>
                <w:color w:val="000000"/>
                <w:sz w:val="18"/>
                <w:szCs w:val="18"/>
              </w:rPr>
            </w:pPr>
            <w:r w:rsidRPr="00C33EEB">
              <w:rPr>
                <w:rFonts w:cs="Times New Roman"/>
                <w:bCs w:val="0"/>
                <w:color w:val="000000"/>
                <w:sz w:val="18"/>
                <w:szCs w:val="18"/>
              </w:rPr>
              <w:t>791.501</w:t>
            </w:r>
          </w:p>
        </w:tc>
      </w:tr>
      <w:tr w:rsidR="00C33EEB" w:rsidRPr="00C33EEB" w14:paraId="2E7F1AFE" w14:textId="77777777" w:rsidTr="00C33EEB">
        <w:trPr>
          <w:trHeight w:val="300"/>
        </w:trPr>
        <w:tc>
          <w:tcPr>
            <w:tcW w:w="6804" w:type="dxa"/>
            <w:tcBorders>
              <w:top w:val="nil"/>
              <w:left w:val="nil"/>
              <w:bottom w:val="nil"/>
              <w:right w:val="nil"/>
            </w:tcBorders>
            <w:vAlign w:val="center"/>
            <w:hideMark/>
          </w:tcPr>
          <w:p w14:paraId="151EB9B5" w14:textId="77777777" w:rsidR="00C33EEB" w:rsidRPr="00C33EEB" w:rsidRDefault="00C33EEB" w:rsidP="00AC71BC">
            <w:pPr>
              <w:spacing w:after="0" w:line="240" w:lineRule="auto"/>
              <w:ind w:left="213" w:right="0"/>
              <w:jc w:val="left"/>
              <w:rPr>
                <w:rFonts w:cs="Times New Roman"/>
                <w:bCs w:val="0"/>
                <w:color w:val="000000"/>
                <w:sz w:val="18"/>
                <w:szCs w:val="18"/>
              </w:rPr>
            </w:pPr>
            <w:r w:rsidRPr="00C33EEB">
              <w:rPr>
                <w:rFonts w:cs="Times New Roman"/>
                <w:bCs w:val="0"/>
                <w:color w:val="000000"/>
                <w:sz w:val="18"/>
                <w:szCs w:val="18"/>
              </w:rPr>
              <w:t>411 Transferi posameznikom in gospodinjstvom</w:t>
            </w:r>
          </w:p>
        </w:tc>
        <w:tc>
          <w:tcPr>
            <w:tcW w:w="1559" w:type="dxa"/>
            <w:tcBorders>
              <w:top w:val="nil"/>
              <w:left w:val="nil"/>
              <w:bottom w:val="nil"/>
              <w:right w:val="nil"/>
            </w:tcBorders>
            <w:vAlign w:val="center"/>
            <w:hideMark/>
          </w:tcPr>
          <w:p w14:paraId="56C7150B" w14:textId="77777777" w:rsidR="00C33EEB" w:rsidRPr="00C33EEB" w:rsidRDefault="00C33EEB" w:rsidP="00C33EEB">
            <w:pPr>
              <w:spacing w:after="0" w:line="240" w:lineRule="auto"/>
              <w:ind w:left="0" w:right="0"/>
              <w:jc w:val="right"/>
              <w:rPr>
                <w:rFonts w:cs="Times New Roman"/>
                <w:bCs w:val="0"/>
                <w:color w:val="000000"/>
                <w:sz w:val="18"/>
                <w:szCs w:val="18"/>
              </w:rPr>
            </w:pPr>
            <w:r w:rsidRPr="00C33EEB">
              <w:rPr>
                <w:rFonts w:cs="Times New Roman"/>
                <w:bCs w:val="0"/>
                <w:color w:val="000000"/>
                <w:sz w:val="18"/>
                <w:szCs w:val="18"/>
              </w:rPr>
              <w:t>8.147.822</w:t>
            </w:r>
          </w:p>
        </w:tc>
      </w:tr>
      <w:tr w:rsidR="00C33EEB" w:rsidRPr="00C33EEB" w14:paraId="27719FF7" w14:textId="77777777" w:rsidTr="00C33EEB">
        <w:trPr>
          <w:trHeight w:val="300"/>
        </w:trPr>
        <w:tc>
          <w:tcPr>
            <w:tcW w:w="6804" w:type="dxa"/>
            <w:tcBorders>
              <w:top w:val="nil"/>
              <w:left w:val="nil"/>
              <w:bottom w:val="nil"/>
              <w:right w:val="nil"/>
            </w:tcBorders>
            <w:vAlign w:val="center"/>
            <w:hideMark/>
          </w:tcPr>
          <w:p w14:paraId="5D3B4D80" w14:textId="77777777" w:rsidR="00C33EEB" w:rsidRPr="00C33EEB" w:rsidRDefault="00C33EEB" w:rsidP="00AC71BC">
            <w:pPr>
              <w:spacing w:after="0" w:line="240" w:lineRule="auto"/>
              <w:ind w:left="213" w:right="0"/>
              <w:jc w:val="left"/>
              <w:rPr>
                <w:rFonts w:cs="Times New Roman"/>
                <w:bCs w:val="0"/>
                <w:color w:val="000000"/>
                <w:sz w:val="18"/>
                <w:szCs w:val="18"/>
              </w:rPr>
            </w:pPr>
            <w:r w:rsidRPr="00C33EEB">
              <w:rPr>
                <w:rFonts w:cs="Times New Roman"/>
                <w:bCs w:val="0"/>
                <w:color w:val="000000"/>
                <w:sz w:val="18"/>
                <w:szCs w:val="18"/>
              </w:rPr>
              <w:t>412 Transferi nepridobitnim organizacijam in ustanovam</w:t>
            </w:r>
          </w:p>
        </w:tc>
        <w:tc>
          <w:tcPr>
            <w:tcW w:w="1559" w:type="dxa"/>
            <w:tcBorders>
              <w:top w:val="nil"/>
              <w:left w:val="nil"/>
              <w:bottom w:val="nil"/>
              <w:right w:val="nil"/>
            </w:tcBorders>
            <w:vAlign w:val="center"/>
            <w:hideMark/>
          </w:tcPr>
          <w:p w14:paraId="47190F6D" w14:textId="77777777" w:rsidR="00C33EEB" w:rsidRPr="00C33EEB" w:rsidRDefault="00C33EEB" w:rsidP="00C33EEB">
            <w:pPr>
              <w:spacing w:after="0" w:line="240" w:lineRule="auto"/>
              <w:ind w:left="0" w:right="0"/>
              <w:jc w:val="right"/>
              <w:rPr>
                <w:rFonts w:cs="Times New Roman"/>
                <w:bCs w:val="0"/>
                <w:color w:val="000000"/>
                <w:sz w:val="18"/>
                <w:szCs w:val="18"/>
              </w:rPr>
            </w:pPr>
            <w:r w:rsidRPr="00C33EEB">
              <w:rPr>
                <w:rFonts w:cs="Times New Roman"/>
                <w:bCs w:val="0"/>
                <w:color w:val="000000"/>
                <w:sz w:val="18"/>
                <w:szCs w:val="18"/>
              </w:rPr>
              <w:t>1.105.888</w:t>
            </w:r>
          </w:p>
        </w:tc>
      </w:tr>
      <w:tr w:rsidR="00C33EEB" w:rsidRPr="00C33EEB" w14:paraId="17C69119" w14:textId="77777777" w:rsidTr="00C33EEB">
        <w:trPr>
          <w:trHeight w:val="300"/>
        </w:trPr>
        <w:tc>
          <w:tcPr>
            <w:tcW w:w="6804" w:type="dxa"/>
            <w:tcBorders>
              <w:top w:val="nil"/>
              <w:left w:val="nil"/>
              <w:bottom w:val="nil"/>
              <w:right w:val="nil"/>
            </w:tcBorders>
            <w:vAlign w:val="center"/>
            <w:hideMark/>
          </w:tcPr>
          <w:p w14:paraId="4D1298A0" w14:textId="77777777" w:rsidR="00C33EEB" w:rsidRPr="00C33EEB" w:rsidRDefault="00C33EEB" w:rsidP="00AC71BC">
            <w:pPr>
              <w:spacing w:after="0" w:line="240" w:lineRule="auto"/>
              <w:ind w:left="213" w:right="0"/>
              <w:jc w:val="left"/>
              <w:rPr>
                <w:rFonts w:cs="Times New Roman"/>
                <w:bCs w:val="0"/>
                <w:color w:val="000000"/>
                <w:sz w:val="18"/>
                <w:szCs w:val="18"/>
              </w:rPr>
            </w:pPr>
            <w:r w:rsidRPr="00C33EEB">
              <w:rPr>
                <w:rFonts w:cs="Times New Roman"/>
                <w:bCs w:val="0"/>
                <w:color w:val="000000"/>
                <w:sz w:val="18"/>
                <w:szCs w:val="18"/>
              </w:rPr>
              <w:t>413 Drugi tekoči domači transferi</w:t>
            </w:r>
          </w:p>
        </w:tc>
        <w:tc>
          <w:tcPr>
            <w:tcW w:w="1559" w:type="dxa"/>
            <w:tcBorders>
              <w:top w:val="nil"/>
              <w:left w:val="nil"/>
              <w:bottom w:val="nil"/>
              <w:right w:val="nil"/>
            </w:tcBorders>
            <w:vAlign w:val="center"/>
            <w:hideMark/>
          </w:tcPr>
          <w:p w14:paraId="5D76206B" w14:textId="77777777" w:rsidR="00C33EEB" w:rsidRPr="00C33EEB" w:rsidRDefault="00C33EEB" w:rsidP="00C33EEB">
            <w:pPr>
              <w:spacing w:after="0" w:line="240" w:lineRule="auto"/>
              <w:ind w:left="0" w:right="0"/>
              <w:jc w:val="right"/>
              <w:rPr>
                <w:rFonts w:cs="Times New Roman"/>
                <w:bCs w:val="0"/>
                <w:color w:val="000000"/>
                <w:sz w:val="18"/>
                <w:szCs w:val="18"/>
              </w:rPr>
            </w:pPr>
            <w:r w:rsidRPr="00C33EEB">
              <w:rPr>
                <w:rFonts w:cs="Times New Roman"/>
                <w:bCs w:val="0"/>
                <w:color w:val="000000"/>
                <w:sz w:val="18"/>
                <w:szCs w:val="18"/>
              </w:rPr>
              <w:t>10.653.763</w:t>
            </w:r>
          </w:p>
        </w:tc>
      </w:tr>
      <w:tr w:rsidR="00C33EEB" w:rsidRPr="00C33EEB" w14:paraId="206A2017" w14:textId="77777777" w:rsidTr="00C33EEB">
        <w:trPr>
          <w:trHeight w:val="300"/>
        </w:trPr>
        <w:tc>
          <w:tcPr>
            <w:tcW w:w="6804" w:type="dxa"/>
            <w:tcBorders>
              <w:top w:val="nil"/>
              <w:left w:val="nil"/>
              <w:bottom w:val="nil"/>
              <w:right w:val="nil"/>
            </w:tcBorders>
            <w:vAlign w:val="center"/>
            <w:hideMark/>
          </w:tcPr>
          <w:p w14:paraId="37B938F6" w14:textId="77777777" w:rsidR="00C33EEB" w:rsidRPr="00C33EEB" w:rsidRDefault="00C33EEB" w:rsidP="00AC71BC">
            <w:pPr>
              <w:spacing w:after="0" w:line="240" w:lineRule="auto"/>
              <w:ind w:left="213" w:right="0"/>
              <w:jc w:val="left"/>
              <w:rPr>
                <w:rFonts w:cs="Times New Roman"/>
                <w:bCs w:val="0"/>
                <w:color w:val="000000"/>
                <w:sz w:val="18"/>
                <w:szCs w:val="18"/>
              </w:rPr>
            </w:pPr>
            <w:r w:rsidRPr="00C33EEB">
              <w:rPr>
                <w:rFonts w:cs="Times New Roman"/>
                <w:bCs w:val="0"/>
                <w:color w:val="000000"/>
                <w:sz w:val="18"/>
                <w:szCs w:val="18"/>
              </w:rPr>
              <w:t>414 Tekoči transferi v tujino</w:t>
            </w:r>
          </w:p>
        </w:tc>
        <w:tc>
          <w:tcPr>
            <w:tcW w:w="1559" w:type="dxa"/>
            <w:tcBorders>
              <w:top w:val="nil"/>
              <w:left w:val="nil"/>
              <w:bottom w:val="nil"/>
              <w:right w:val="nil"/>
            </w:tcBorders>
            <w:vAlign w:val="center"/>
            <w:hideMark/>
          </w:tcPr>
          <w:p w14:paraId="57CAF6C7" w14:textId="77777777" w:rsidR="00C33EEB" w:rsidRPr="00C33EEB" w:rsidRDefault="00C33EEB" w:rsidP="00C33EEB">
            <w:pPr>
              <w:spacing w:after="0" w:line="240" w:lineRule="auto"/>
              <w:ind w:left="0" w:right="0"/>
              <w:jc w:val="right"/>
              <w:rPr>
                <w:rFonts w:cs="Times New Roman"/>
                <w:bCs w:val="0"/>
                <w:color w:val="000000"/>
                <w:sz w:val="18"/>
                <w:szCs w:val="18"/>
              </w:rPr>
            </w:pPr>
            <w:r w:rsidRPr="00C33EEB">
              <w:rPr>
                <w:rFonts w:cs="Times New Roman"/>
                <w:bCs w:val="0"/>
                <w:color w:val="000000"/>
                <w:sz w:val="18"/>
                <w:szCs w:val="18"/>
              </w:rPr>
              <w:t>134.000</w:t>
            </w:r>
          </w:p>
        </w:tc>
      </w:tr>
      <w:tr w:rsidR="00C33EEB" w:rsidRPr="00C33EEB" w14:paraId="0887C9AE" w14:textId="77777777" w:rsidTr="00C33EEB">
        <w:trPr>
          <w:trHeight w:val="300"/>
        </w:trPr>
        <w:tc>
          <w:tcPr>
            <w:tcW w:w="6804" w:type="dxa"/>
            <w:tcBorders>
              <w:top w:val="nil"/>
              <w:left w:val="nil"/>
              <w:bottom w:val="nil"/>
              <w:right w:val="nil"/>
            </w:tcBorders>
            <w:vAlign w:val="center"/>
            <w:hideMark/>
          </w:tcPr>
          <w:p w14:paraId="225DC622" w14:textId="77777777" w:rsidR="00C33EEB" w:rsidRPr="00C33EEB" w:rsidRDefault="00C33EEB" w:rsidP="00C33EEB">
            <w:pPr>
              <w:spacing w:after="0" w:line="240" w:lineRule="auto"/>
              <w:ind w:left="0" w:right="0"/>
              <w:jc w:val="left"/>
              <w:rPr>
                <w:rFonts w:cs="Times New Roman"/>
                <w:b/>
                <w:color w:val="000000"/>
                <w:sz w:val="18"/>
                <w:szCs w:val="18"/>
                <w:u w:val="single"/>
              </w:rPr>
            </w:pPr>
            <w:r w:rsidRPr="00C33EEB">
              <w:rPr>
                <w:rFonts w:cs="Times New Roman"/>
                <w:b/>
                <w:color w:val="000000"/>
                <w:sz w:val="18"/>
                <w:szCs w:val="18"/>
                <w:u w:val="single"/>
              </w:rPr>
              <w:t>42 INVESTICIJSKI ODHODKI</w:t>
            </w:r>
          </w:p>
        </w:tc>
        <w:tc>
          <w:tcPr>
            <w:tcW w:w="1559" w:type="dxa"/>
            <w:tcBorders>
              <w:top w:val="nil"/>
              <w:left w:val="nil"/>
              <w:bottom w:val="nil"/>
              <w:right w:val="nil"/>
            </w:tcBorders>
            <w:vAlign w:val="center"/>
            <w:hideMark/>
          </w:tcPr>
          <w:p w14:paraId="0286CD8A" w14:textId="77777777" w:rsidR="00C33EEB" w:rsidRPr="00C33EEB" w:rsidRDefault="00C33EEB" w:rsidP="00C33EEB">
            <w:pPr>
              <w:spacing w:after="0" w:line="240" w:lineRule="auto"/>
              <w:ind w:left="0" w:right="0"/>
              <w:jc w:val="right"/>
              <w:rPr>
                <w:rFonts w:cs="Times New Roman"/>
                <w:b/>
                <w:color w:val="000000"/>
                <w:sz w:val="18"/>
                <w:szCs w:val="18"/>
                <w:u w:val="single"/>
              </w:rPr>
            </w:pPr>
            <w:r w:rsidRPr="00C33EEB">
              <w:rPr>
                <w:rFonts w:cs="Times New Roman"/>
                <w:b/>
                <w:color w:val="000000"/>
                <w:sz w:val="18"/>
                <w:szCs w:val="18"/>
                <w:u w:val="single"/>
              </w:rPr>
              <w:t>21.554.319</w:t>
            </w:r>
          </w:p>
        </w:tc>
      </w:tr>
      <w:tr w:rsidR="00C33EEB" w:rsidRPr="00C33EEB" w14:paraId="3C45AF1B" w14:textId="77777777" w:rsidTr="00C33EEB">
        <w:trPr>
          <w:trHeight w:val="300"/>
        </w:trPr>
        <w:tc>
          <w:tcPr>
            <w:tcW w:w="6804" w:type="dxa"/>
            <w:tcBorders>
              <w:top w:val="nil"/>
              <w:left w:val="nil"/>
              <w:bottom w:val="nil"/>
              <w:right w:val="nil"/>
            </w:tcBorders>
            <w:vAlign w:val="center"/>
            <w:hideMark/>
          </w:tcPr>
          <w:p w14:paraId="5C50C193" w14:textId="77777777" w:rsidR="00C33EEB" w:rsidRPr="00C33EEB" w:rsidRDefault="00C33EEB" w:rsidP="00AC71BC">
            <w:pPr>
              <w:spacing w:after="0" w:line="240" w:lineRule="auto"/>
              <w:ind w:left="213" w:right="0"/>
              <w:jc w:val="left"/>
              <w:rPr>
                <w:rFonts w:cs="Times New Roman"/>
                <w:bCs w:val="0"/>
                <w:color w:val="000000"/>
                <w:sz w:val="18"/>
                <w:szCs w:val="18"/>
              </w:rPr>
            </w:pPr>
            <w:r w:rsidRPr="00C33EEB">
              <w:rPr>
                <w:rFonts w:cs="Times New Roman"/>
                <w:bCs w:val="0"/>
                <w:color w:val="000000"/>
                <w:sz w:val="18"/>
                <w:szCs w:val="18"/>
              </w:rPr>
              <w:t>420 Nakup in gradnja osnovnih sredstev</w:t>
            </w:r>
          </w:p>
        </w:tc>
        <w:tc>
          <w:tcPr>
            <w:tcW w:w="1559" w:type="dxa"/>
            <w:tcBorders>
              <w:top w:val="nil"/>
              <w:left w:val="nil"/>
              <w:bottom w:val="nil"/>
              <w:right w:val="nil"/>
            </w:tcBorders>
            <w:vAlign w:val="center"/>
            <w:hideMark/>
          </w:tcPr>
          <w:p w14:paraId="211EF910" w14:textId="77777777" w:rsidR="00C33EEB" w:rsidRPr="00C33EEB" w:rsidRDefault="00C33EEB" w:rsidP="00C33EEB">
            <w:pPr>
              <w:spacing w:after="0" w:line="240" w:lineRule="auto"/>
              <w:ind w:left="0" w:right="0"/>
              <w:jc w:val="right"/>
              <w:rPr>
                <w:rFonts w:cs="Times New Roman"/>
                <w:bCs w:val="0"/>
                <w:color w:val="000000"/>
                <w:sz w:val="18"/>
                <w:szCs w:val="18"/>
              </w:rPr>
            </w:pPr>
            <w:r w:rsidRPr="00C33EEB">
              <w:rPr>
                <w:rFonts w:cs="Times New Roman"/>
                <w:bCs w:val="0"/>
                <w:color w:val="000000"/>
                <w:sz w:val="18"/>
                <w:szCs w:val="18"/>
              </w:rPr>
              <w:t>21.554.319</w:t>
            </w:r>
          </w:p>
        </w:tc>
      </w:tr>
      <w:tr w:rsidR="00C33EEB" w:rsidRPr="00C33EEB" w14:paraId="3E420BDC" w14:textId="77777777" w:rsidTr="00C33EEB">
        <w:trPr>
          <w:trHeight w:val="300"/>
        </w:trPr>
        <w:tc>
          <w:tcPr>
            <w:tcW w:w="6804" w:type="dxa"/>
            <w:tcBorders>
              <w:top w:val="nil"/>
              <w:left w:val="nil"/>
              <w:bottom w:val="nil"/>
              <w:right w:val="nil"/>
            </w:tcBorders>
            <w:vAlign w:val="center"/>
            <w:hideMark/>
          </w:tcPr>
          <w:p w14:paraId="585B85E9" w14:textId="77777777" w:rsidR="00C33EEB" w:rsidRPr="00C33EEB" w:rsidRDefault="00C33EEB" w:rsidP="00C33EEB">
            <w:pPr>
              <w:spacing w:after="0" w:line="240" w:lineRule="auto"/>
              <w:ind w:left="0" w:right="0"/>
              <w:jc w:val="left"/>
              <w:rPr>
                <w:rFonts w:cs="Times New Roman"/>
                <w:b/>
                <w:color w:val="000000"/>
                <w:sz w:val="18"/>
                <w:szCs w:val="18"/>
                <w:u w:val="single"/>
              </w:rPr>
            </w:pPr>
            <w:r w:rsidRPr="00C33EEB">
              <w:rPr>
                <w:rFonts w:cs="Times New Roman"/>
                <w:b/>
                <w:color w:val="000000"/>
                <w:sz w:val="18"/>
                <w:szCs w:val="18"/>
                <w:u w:val="single"/>
              </w:rPr>
              <w:t>43 INVESTICIJSKI TRANSFERI</w:t>
            </w:r>
          </w:p>
        </w:tc>
        <w:tc>
          <w:tcPr>
            <w:tcW w:w="1559" w:type="dxa"/>
            <w:tcBorders>
              <w:top w:val="nil"/>
              <w:left w:val="nil"/>
              <w:bottom w:val="nil"/>
              <w:right w:val="nil"/>
            </w:tcBorders>
            <w:vAlign w:val="center"/>
            <w:hideMark/>
          </w:tcPr>
          <w:p w14:paraId="4A2D1316" w14:textId="77777777" w:rsidR="00C33EEB" w:rsidRPr="00C33EEB" w:rsidRDefault="00C33EEB" w:rsidP="00C33EEB">
            <w:pPr>
              <w:spacing w:after="0" w:line="240" w:lineRule="auto"/>
              <w:ind w:left="0" w:right="0"/>
              <w:jc w:val="right"/>
              <w:rPr>
                <w:rFonts w:cs="Times New Roman"/>
                <w:b/>
                <w:color w:val="000000"/>
                <w:sz w:val="18"/>
                <w:szCs w:val="18"/>
                <w:u w:val="single"/>
              </w:rPr>
            </w:pPr>
            <w:r w:rsidRPr="00C33EEB">
              <w:rPr>
                <w:rFonts w:cs="Times New Roman"/>
                <w:b/>
                <w:color w:val="000000"/>
                <w:sz w:val="18"/>
                <w:szCs w:val="18"/>
                <w:u w:val="single"/>
              </w:rPr>
              <w:t>1.761.822</w:t>
            </w:r>
          </w:p>
        </w:tc>
      </w:tr>
      <w:tr w:rsidR="00C33EEB" w:rsidRPr="00C33EEB" w14:paraId="0C2CD121" w14:textId="77777777" w:rsidTr="00C33EEB">
        <w:trPr>
          <w:trHeight w:val="420"/>
        </w:trPr>
        <w:tc>
          <w:tcPr>
            <w:tcW w:w="6804" w:type="dxa"/>
            <w:tcBorders>
              <w:top w:val="nil"/>
              <w:left w:val="nil"/>
              <w:bottom w:val="nil"/>
              <w:right w:val="nil"/>
            </w:tcBorders>
            <w:vAlign w:val="center"/>
            <w:hideMark/>
          </w:tcPr>
          <w:p w14:paraId="06CDBABC" w14:textId="77777777" w:rsidR="00C33EEB" w:rsidRPr="00C33EEB" w:rsidRDefault="00C33EEB" w:rsidP="00AC71BC">
            <w:pPr>
              <w:spacing w:after="0" w:line="240" w:lineRule="auto"/>
              <w:ind w:left="496" w:right="0" w:hanging="283"/>
              <w:jc w:val="left"/>
              <w:rPr>
                <w:rFonts w:cs="Times New Roman"/>
                <w:bCs w:val="0"/>
                <w:color w:val="000000"/>
                <w:sz w:val="18"/>
                <w:szCs w:val="18"/>
              </w:rPr>
            </w:pPr>
            <w:r w:rsidRPr="00C33EEB">
              <w:rPr>
                <w:rFonts w:cs="Times New Roman"/>
                <w:bCs w:val="0"/>
                <w:color w:val="000000"/>
                <w:sz w:val="18"/>
                <w:szCs w:val="18"/>
              </w:rPr>
              <w:t>431 Investicijski transferi pravnim in fizičnim osebam, ki niso proračunski uporabniki</w:t>
            </w:r>
          </w:p>
        </w:tc>
        <w:tc>
          <w:tcPr>
            <w:tcW w:w="1559" w:type="dxa"/>
            <w:tcBorders>
              <w:top w:val="nil"/>
              <w:left w:val="nil"/>
              <w:bottom w:val="nil"/>
              <w:right w:val="nil"/>
            </w:tcBorders>
            <w:vAlign w:val="center"/>
            <w:hideMark/>
          </w:tcPr>
          <w:p w14:paraId="1D818089" w14:textId="77777777" w:rsidR="00C33EEB" w:rsidRPr="00C33EEB" w:rsidRDefault="00C33EEB" w:rsidP="00C33EEB">
            <w:pPr>
              <w:spacing w:after="0" w:line="240" w:lineRule="auto"/>
              <w:ind w:left="0" w:right="0"/>
              <w:jc w:val="right"/>
              <w:rPr>
                <w:rFonts w:cs="Times New Roman"/>
                <w:bCs w:val="0"/>
                <w:color w:val="000000"/>
                <w:sz w:val="18"/>
                <w:szCs w:val="18"/>
              </w:rPr>
            </w:pPr>
            <w:r w:rsidRPr="00C33EEB">
              <w:rPr>
                <w:rFonts w:cs="Times New Roman"/>
                <w:bCs w:val="0"/>
                <w:color w:val="000000"/>
                <w:sz w:val="18"/>
                <w:szCs w:val="18"/>
              </w:rPr>
              <w:t>724.825</w:t>
            </w:r>
          </w:p>
        </w:tc>
      </w:tr>
      <w:tr w:rsidR="00C33EEB" w:rsidRPr="00C33EEB" w14:paraId="114E970B" w14:textId="77777777" w:rsidTr="00C33EEB">
        <w:trPr>
          <w:trHeight w:val="300"/>
        </w:trPr>
        <w:tc>
          <w:tcPr>
            <w:tcW w:w="6804" w:type="dxa"/>
            <w:tcBorders>
              <w:top w:val="nil"/>
              <w:left w:val="nil"/>
              <w:bottom w:val="nil"/>
              <w:right w:val="nil"/>
            </w:tcBorders>
            <w:vAlign w:val="center"/>
            <w:hideMark/>
          </w:tcPr>
          <w:p w14:paraId="2E5F8BCC" w14:textId="77777777" w:rsidR="00C33EEB" w:rsidRPr="00C33EEB" w:rsidRDefault="00C33EEB" w:rsidP="00AC71BC">
            <w:pPr>
              <w:spacing w:after="0" w:line="240" w:lineRule="auto"/>
              <w:ind w:left="213" w:right="0"/>
              <w:jc w:val="left"/>
              <w:rPr>
                <w:rFonts w:cs="Times New Roman"/>
                <w:bCs w:val="0"/>
                <w:color w:val="000000"/>
                <w:sz w:val="18"/>
                <w:szCs w:val="18"/>
              </w:rPr>
            </w:pPr>
            <w:r w:rsidRPr="00C33EEB">
              <w:rPr>
                <w:rFonts w:cs="Times New Roman"/>
                <w:bCs w:val="0"/>
                <w:color w:val="000000"/>
                <w:sz w:val="18"/>
                <w:szCs w:val="18"/>
              </w:rPr>
              <w:t>432 Investicijski transferi proračunskim uporabnikom</w:t>
            </w:r>
          </w:p>
        </w:tc>
        <w:tc>
          <w:tcPr>
            <w:tcW w:w="1559" w:type="dxa"/>
            <w:tcBorders>
              <w:top w:val="nil"/>
              <w:left w:val="nil"/>
              <w:bottom w:val="nil"/>
              <w:right w:val="nil"/>
            </w:tcBorders>
            <w:vAlign w:val="center"/>
            <w:hideMark/>
          </w:tcPr>
          <w:p w14:paraId="2282DC6A" w14:textId="77777777" w:rsidR="00C33EEB" w:rsidRPr="00C33EEB" w:rsidRDefault="00C33EEB" w:rsidP="00C33EEB">
            <w:pPr>
              <w:spacing w:after="0" w:line="240" w:lineRule="auto"/>
              <w:ind w:left="0" w:right="0"/>
              <w:jc w:val="right"/>
              <w:rPr>
                <w:rFonts w:cs="Times New Roman"/>
                <w:bCs w:val="0"/>
                <w:color w:val="000000"/>
                <w:sz w:val="18"/>
                <w:szCs w:val="18"/>
              </w:rPr>
            </w:pPr>
            <w:r w:rsidRPr="00C33EEB">
              <w:rPr>
                <w:rFonts w:cs="Times New Roman"/>
                <w:bCs w:val="0"/>
                <w:color w:val="000000"/>
                <w:sz w:val="18"/>
                <w:szCs w:val="18"/>
              </w:rPr>
              <w:t>1.036.997</w:t>
            </w:r>
          </w:p>
        </w:tc>
      </w:tr>
      <w:tr w:rsidR="00C33EEB" w:rsidRPr="00C33EEB" w14:paraId="13BAAE81" w14:textId="77777777" w:rsidTr="00C33EEB">
        <w:trPr>
          <w:trHeight w:val="300"/>
        </w:trPr>
        <w:tc>
          <w:tcPr>
            <w:tcW w:w="6804" w:type="dxa"/>
            <w:tcBorders>
              <w:top w:val="nil"/>
              <w:left w:val="nil"/>
              <w:bottom w:val="nil"/>
              <w:right w:val="nil"/>
            </w:tcBorders>
            <w:noWrap/>
            <w:vAlign w:val="center"/>
            <w:hideMark/>
          </w:tcPr>
          <w:p w14:paraId="0F052DE2" w14:textId="77777777" w:rsidR="00C33EEB" w:rsidRPr="00C33EEB" w:rsidRDefault="00C33EEB" w:rsidP="00C33EEB">
            <w:pPr>
              <w:spacing w:after="0" w:line="240" w:lineRule="auto"/>
              <w:ind w:left="0" w:right="0"/>
              <w:jc w:val="right"/>
              <w:rPr>
                <w:rFonts w:cs="Times New Roman"/>
                <w:bCs w:val="0"/>
                <w:color w:val="000000"/>
                <w:sz w:val="18"/>
                <w:szCs w:val="18"/>
              </w:rPr>
            </w:pPr>
          </w:p>
        </w:tc>
        <w:tc>
          <w:tcPr>
            <w:tcW w:w="1559" w:type="dxa"/>
            <w:tcBorders>
              <w:top w:val="nil"/>
              <w:left w:val="nil"/>
              <w:bottom w:val="nil"/>
              <w:right w:val="nil"/>
            </w:tcBorders>
            <w:noWrap/>
            <w:vAlign w:val="bottom"/>
            <w:hideMark/>
          </w:tcPr>
          <w:p w14:paraId="54BDE302" w14:textId="77777777" w:rsidR="00C33EEB" w:rsidRPr="00C33EEB" w:rsidRDefault="00C33EEB" w:rsidP="00C33EEB">
            <w:pPr>
              <w:spacing w:after="0" w:line="240" w:lineRule="auto"/>
              <w:ind w:left="0" w:right="0"/>
              <w:jc w:val="left"/>
              <w:rPr>
                <w:rFonts w:cs="Times New Roman"/>
                <w:bCs w:val="0"/>
                <w:sz w:val="18"/>
                <w:szCs w:val="18"/>
              </w:rPr>
            </w:pPr>
          </w:p>
        </w:tc>
      </w:tr>
      <w:tr w:rsidR="00C33EEB" w:rsidRPr="00C33EEB" w14:paraId="17CD6556" w14:textId="77777777" w:rsidTr="00C33EEB">
        <w:trPr>
          <w:trHeight w:val="300"/>
        </w:trPr>
        <w:tc>
          <w:tcPr>
            <w:tcW w:w="6804" w:type="dxa"/>
            <w:tcBorders>
              <w:top w:val="nil"/>
              <w:left w:val="nil"/>
              <w:bottom w:val="nil"/>
              <w:right w:val="nil"/>
            </w:tcBorders>
            <w:vAlign w:val="center"/>
            <w:hideMark/>
          </w:tcPr>
          <w:p w14:paraId="7BC5381E" w14:textId="77777777" w:rsidR="00C33EEB" w:rsidRPr="00C33EEB" w:rsidRDefault="00C33EEB" w:rsidP="00C33EEB">
            <w:pPr>
              <w:spacing w:after="0" w:line="240" w:lineRule="auto"/>
              <w:ind w:left="0" w:right="0"/>
              <w:jc w:val="left"/>
              <w:rPr>
                <w:rFonts w:cs="Times New Roman"/>
                <w:b/>
                <w:color w:val="000000"/>
                <w:sz w:val="18"/>
                <w:szCs w:val="18"/>
                <w:u w:val="single"/>
              </w:rPr>
            </w:pPr>
            <w:r w:rsidRPr="00C33EEB">
              <w:rPr>
                <w:rFonts w:cs="Times New Roman"/>
                <w:b/>
                <w:color w:val="000000"/>
                <w:sz w:val="18"/>
                <w:szCs w:val="18"/>
                <w:u w:val="single"/>
              </w:rPr>
              <w:t>III. PRORAČUNSKI PRESEŽEK (PRORAČUNSKI PRIMANJKLJAJ)</w:t>
            </w:r>
          </w:p>
        </w:tc>
        <w:tc>
          <w:tcPr>
            <w:tcW w:w="1559" w:type="dxa"/>
            <w:tcBorders>
              <w:top w:val="nil"/>
              <w:left w:val="nil"/>
              <w:bottom w:val="nil"/>
              <w:right w:val="nil"/>
            </w:tcBorders>
            <w:vAlign w:val="center"/>
            <w:hideMark/>
          </w:tcPr>
          <w:p w14:paraId="5806CC03" w14:textId="77777777" w:rsidR="00C33EEB" w:rsidRPr="00C33EEB" w:rsidRDefault="00C33EEB" w:rsidP="00C33EEB">
            <w:pPr>
              <w:spacing w:after="0" w:line="240" w:lineRule="auto"/>
              <w:ind w:left="0" w:right="0"/>
              <w:jc w:val="right"/>
              <w:rPr>
                <w:rFonts w:cs="Times New Roman"/>
                <w:b/>
                <w:color w:val="000000"/>
                <w:sz w:val="18"/>
                <w:szCs w:val="18"/>
                <w:u w:val="single"/>
              </w:rPr>
            </w:pPr>
            <w:r w:rsidRPr="00C33EEB">
              <w:rPr>
                <w:rFonts w:cs="Times New Roman"/>
                <w:b/>
                <w:color w:val="000000"/>
                <w:sz w:val="18"/>
                <w:szCs w:val="18"/>
                <w:u w:val="single"/>
              </w:rPr>
              <w:t>-5.528.489</w:t>
            </w:r>
          </w:p>
        </w:tc>
      </w:tr>
      <w:tr w:rsidR="00C33EEB" w:rsidRPr="00C33EEB" w14:paraId="4D052E84" w14:textId="77777777" w:rsidTr="00C33EEB">
        <w:trPr>
          <w:trHeight w:val="300"/>
        </w:trPr>
        <w:tc>
          <w:tcPr>
            <w:tcW w:w="6804" w:type="dxa"/>
            <w:tcBorders>
              <w:top w:val="nil"/>
              <w:left w:val="nil"/>
              <w:bottom w:val="nil"/>
              <w:right w:val="nil"/>
            </w:tcBorders>
            <w:vAlign w:val="center"/>
            <w:hideMark/>
          </w:tcPr>
          <w:p w14:paraId="2290F2E8" w14:textId="77777777" w:rsidR="00C33EEB" w:rsidRDefault="00C33EEB" w:rsidP="00C33EEB">
            <w:pPr>
              <w:spacing w:after="0" w:line="240" w:lineRule="auto"/>
              <w:ind w:left="0" w:right="0"/>
              <w:jc w:val="left"/>
              <w:rPr>
                <w:rFonts w:cs="Times New Roman"/>
                <w:b/>
                <w:color w:val="000000"/>
                <w:sz w:val="18"/>
                <w:szCs w:val="18"/>
              </w:rPr>
            </w:pPr>
            <w:r w:rsidRPr="00C33EEB">
              <w:rPr>
                <w:rFonts w:cs="Times New Roman"/>
                <w:b/>
                <w:color w:val="000000"/>
                <w:sz w:val="18"/>
                <w:szCs w:val="18"/>
              </w:rPr>
              <w:t xml:space="preserve">     (I. - II.) (Skupaj prihodki minus skupaj odhodki)</w:t>
            </w:r>
          </w:p>
          <w:p w14:paraId="3DB54A57" w14:textId="77777777" w:rsidR="0018582A" w:rsidRPr="00C33EEB" w:rsidRDefault="0018582A" w:rsidP="00C33EEB">
            <w:pPr>
              <w:spacing w:after="0" w:line="240" w:lineRule="auto"/>
              <w:ind w:left="0" w:right="0"/>
              <w:jc w:val="left"/>
              <w:rPr>
                <w:rFonts w:cs="Times New Roman"/>
                <w:b/>
                <w:color w:val="000000"/>
                <w:sz w:val="18"/>
                <w:szCs w:val="18"/>
              </w:rPr>
            </w:pPr>
          </w:p>
        </w:tc>
        <w:tc>
          <w:tcPr>
            <w:tcW w:w="1559" w:type="dxa"/>
            <w:tcBorders>
              <w:top w:val="nil"/>
              <w:left w:val="nil"/>
              <w:bottom w:val="nil"/>
              <w:right w:val="nil"/>
            </w:tcBorders>
            <w:vAlign w:val="center"/>
            <w:hideMark/>
          </w:tcPr>
          <w:p w14:paraId="6EF1CAFD" w14:textId="77777777" w:rsidR="00C33EEB" w:rsidRPr="00C33EEB" w:rsidRDefault="00C33EEB" w:rsidP="00C33EEB">
            <w:pPr>
              <w:spacing w:after="0" w:line="240" w:lineRule="auto"/>
              <w:ind w:left="0" w:right="0"/>
              <w:jc w:val="left"/>
              <w:rPr>
                <w:rFonts w:cs="Times New Roman"/>
                <w:b/>
                <w:color w:val="000000"/>
                <w:sz w:val="18"/>
                <w:szCs w:val="18"/>
              </w:rPr>
            </w:pPr>
          </w:p>
        </w:tc>
      </w:tr>
      <w:tr w:rsidR="00C33EEB" w:rsidRPr="00C33EEB" w14:paraId="7BE5A012" w14:textId="77777777" w:rsidTr="00C33EEB">
        <w:trPr>
          <w:trHeight w:val="300"/>
        </w:trPr>
        <w:tc>
          <w:tcPr>
            <w:tcW w:w="6804" w:type="dxa"/>
            <w:tcBorders>
              <w:top w:val="nil"/>
              <w:left w:val="nil"/>
              <w:bottom w:val="nil"/>
              <w:right w:val="nil"/>
            </w:tcBorders>
            <w:vAlign w:val="center"/>
            <w:hideMark/>
          </w:tcPr>
          <w:p w14:paraId="5AD6594A" w14:textId="77777777" w:rsidR="00C33EEB" w:rsidRPr="00C33EEB" w:rsidRDefault="00C33EEB" w:rsidP="00C33EEB">
            <w:pPr>
              <w:spacing w:after="0" w:line="240" w:lineRule="auto"/>
              <w:ind w:left="0" w:right="0"/>
              <w:jc w:val="right"/>
              <w:rPr>
                <w:rFonts w:cs="Times New Roman"/>
                <w:bCs w:val="0"/>
                <w:sz w:val="18"/>
                <w:szCs w:val="18"/>
              </w:rPr>
            </w:pPr>
          </w:p>
        </w:tc>
        <w:tc>
          <w:tcPr>
            <w:tcW w:w="1559" w:type="dxa"/>
            <w:tcBorders>
              <w:top w:val="nil"/>
              <w:left w:val="nil"/>
              <w:bottom w:val="nil"/>
              <w:right w:val="nil"/>
            </w:tcBorders>
            <w:vAlign w:val="center"/>
            <w:hideMark/>
          </w:tcPr>
          <w:p w14:paraId="6C2C55D4" w14:textId="77777777" w:rsidR="00C33EEB" w:rsidRPr="00C33EEB" w:rsidRDefault="00C33EEB" w:rsidP="00C33EEB">
            <w:pPr>
              <w:spacing w:after="0" w:line="240" w:lineRule="auto"/>
              <w:ind w:left="0" w:right="0"/>
              <w:jc w:val="left"/>
              <w:rPr>
                <w:rFonts w:cs="Times New Roman"/>
                <w:bCs w:val="0"/>
                <w:sz w:val="18"/>
                <w:szCs w:val="18"/>
              </w:rPr>
            </w:pPr>
          </w:p>
        </w:tc>
      </w:tr>
      <w:tr w:rsidR="00C33EEB" w:rsidRPr="00C33EEB" w14:paraId="72185BC0" w14:textId="77777777" w:rsidTr="00C33EEB">
        <w:trPr>
          <w:trHeight w:val="300"/>
        </w:trPr>
        <w:tc>
          <w:tcPr>
            <w:tcW w:w="8363" w:type="dxa"/>
            <w:gridSpan w:val="2"/>
            <w:tcBorders>
              <w:top w:val="single" w:sz="4" w:space="0" w:color="auto"/>
              <w:left w:val="single" w:sz="4" w:space="0" w:color="auto"/>
              <w:bottom w:val="single" w:sz="4" w:space="0" w:color="auto"/>
              <w:right w:val="single" w:sz="4" w:space="0" w:color="000000"/>
            </w:tcBorders>
            <w:noWrap/>
            <w:vAlign w:val="center"/>
            <w:hideMark/>
          </w:tcPr>
          <w:p w14:paraId="333ACEB2" w14:textId="77777777" w:rsidR="00C33EEB" w:rsidRPr="00C33EEB" w:rsidRDefault="00C33EEB" w:rsidP="00C33EEB">
            <w:pPr>
              <w:spacing w:after="0" w:line="240" w:lineRule="auto"/>
              <w:ind w:left="0" w:right="0"/>
              <w:jc w:val="left"/>
              <w:rPr>
                <w:rFonts w:cs="Times New Roman"/>
                <w:b/>
                <w:color w:val="000000"/>
                <w:sz w:val="18"/>
                <w:szCs w:val="18"/>
              </w:rPr>
            </w:pPr>
            <w:r w:rsidRPr="00C33EEB">
              <w:rPr>
                <w:rFonts w:cs="Times New Roman"/>
                <w:b/>
                <w:color w:val="000000"/>
                <w:sz w:val="18"/>
                <w:szCs w:val="18"/>
              </w:rPr>
              <w:t>B. RAČUN FINANČNIH TERJATEV IN NALOŽB</w:t>
            </w:r>
          </w:p>
        </w:tc>
      </w:tr>
      <w:tr w:rsidR="00C33EEB" w:rsidRPr="00C33EEB" w14:paraId="4243B018" w14:textId="77777777" w:rsidTr="00C33EEB">
        <w:trPr>
          <w:trHeight w:val="300"/>
        </w:trPr>
        <w:tc>
          <w:tcPr>
            <w:tcW w:w="6804" w:type="dxa"/>
            <w:tcBorders>
              <w:top w:val="nil"/>
              <w:left w:val="nil"/>
              <w:bottom w:val="nil"/>
              <w:right w:val="nil"/>
            </w:tcBorders>
            <w:vAlign w:val="center"/>
            <w:hideMark/>
          </w:tcPr>
          <w:p w14:paraId="2B84D3D4" w14:textId="77777777" w:rsidR="00C33EEB" w:rsidRPr="00C33EEB" w:rsidRDefault="00C33EEB" w:rsidP="00C33EEB">
            <w:pPr>
              <w:spacing w:after="0" w:line="240" w:lineRule="auto"/>
              <w:ind w:left="0" w:right="0"/>
              <w:jc w:val="left"/>
              <w:rPr>
                <w:rFonts w:cs="Times New Roman"/>
                <w:b/>
                <w:color w:val="000000"/>
                <w:sz w:val="18"/>
                <w:szCs w:val="18"/>
                <w:u w:val="single"/>
              </w:rPr>
            </w:pPr>
            <w:r w:rsidRPr="00C33EEB">
              <w:rPr>
                <w:rFonts w:cs="Times New Roman"/>
                <w:b/>
                <w:color w:val="000000"/>
                <w:sz w:val="18"/>
                <w:szCs w:val="18"/>
                <w:u w:val="single"/>
              </w:rPr>
              <w:lastRenderedPageBreak/>
              <w:t xml:space="preserve">IV. PREJETA VRAČILA DANIH POSOJIL IN ZMANJŠANJE </w:t>
            </w:r>
          </w:p>
        </w:tc>
        <w:tc>
          <w:tcPr>
            <w:tcW w:w="1559" w:type="dxa"/>
            <w:tcBorders>
              <w:top w:val="nil"/>
              <w:left w:val="nil"/>
              <w:bottom w:val="nil"/>
              <w:right w:val="nil"/>
            </w:tcBorders>
            <w:vAlign w:val="center"/>
            <w:hideMark/>
          </w:tcPr>
          <w:p w14:paraId="21BF4841" w14:textId="77777777" w:rsidR="00C33EEB" w:rsidRPr="00C33EEB" w:rsidRDefault="00C33EEB" w:rsidP="00C33EEB">
            <w:pPr>
              <w:spacing w:after="0" w:line="240" w:lineRule="auto"/>
              <w:ind w:left="0" w:right="0"/>
              <w:jc w:val="right"/>
              <w:rPr>
                <w:rFonts w:cs="Times New Roman"/>
                <w:b/>
                <w:color w:val="000000"/>
                <w:sz w:val="18"/>
                <w:szCs w:val="18"/>
                <w:u w:val="single"/>
              </w:rPr>
            </w:pPr>
            <w:r w:rsidRPr="00C33EEB">
              <w:rPr>
                <w:rFonts w:cs="Times New Roman"/>
                <w:b/>
                <w:color w:val="000000"/>
                <w:sz w:val="18"/>
                <w:szCs w:val="18"/>
                <w:u w:val="single"/>
              </w:rPr>
              <w:t>107</w:t>
            </w:r>
          </w:p>
        </w:tc>
      </w:tr>
      <w:tr w:rsidR="00C33EEB" w:rsidRPr="00C33EEB" w14:paraId="27925F4D" w14:textId="77777777" w:rsidTr="00C33EEB">
        <w:trPr>
          <w:trHeight w:val="300"/>
        </w:trPr>
        <w:tc>
          <w:tcPr>
            <w:tcW w:w="6804" w:type="dxa"/>
            <w:tcBorders>
              <w:top w:val="nil"/>
              <w:left w:val="nil"/>
              <w:bottom w:val="nil"/>
              <w:right w:val="nil"/>
            </w:tcBorders>
            <w:vAlign w:val="center"/>
            <w:hideMark/>
          </w:tcPr>
          <w:p w14:paraId="39C75153" w14:textId="77777777" w:rsidR="00C33EEB" w:rsidRPr="00C33EEB" w:rsidRDefault="00C33EEB" w:rsidP="00C33EEB">
            <w:pPr>
              <w:spacing w:after="0" w:line="240" w:lineRule="auto"/>
              <w:ind w:left="0" w:right="0"/>
              <w:jc w:val="left"/>
              <w:rPr>
                <w:rFonts w:cs="Times New Roman"/>
                <w:b/>
                <w:color w:val="000000"/>
                <w:sz w:val="18"/>
                <w:szCs w:val="18"/>
                <w:u w:val="single"/>
              </w:rPr>
            </w:pPr>
            <w:r w:rsidRPr="00C33EEB">
              <w:rPr>
                <w:rFonts w:cs="Times New Roman"/>
                <w:b/>
                <w:color w:val="000000"/>
                <w:sz w:val="18"/>
                <w:szCs w:val="18"/>
                <w:u w:val="single"/>
              </w:rPr>
              <w:t>FINANČNIH NALOŽB (750+751+752)</w:t>
            </w:r>
          </w:p>
        </w:tc>
        <w:tc>
          <w:tcPr>
            <w:tcW w:w="1559" w:type="dxa"/>
            <w:tcBorders>
              <w:top w:val="nil"/>
              <w:left w:val="nil"/>
              <w:bottom w:val="nil"/>
              <w:right w:val="nil"/>
            </w:tcBorders>
            <w:vAlign w:val="center"/>
            <w:hideMark/>
          </w:tcPr>
          <w:p w14:paraId="2E87B75E" w14:textId="77777777" w:rsidR="00C33EEB" w:rsidRPr="00C33EEB" w:rsidRDefault="00C33EEB" w:rsidP="00C33EEB">
            <w:pPr>
              <w:spacing w:after="0" w:line="240" w:lineRule="auto"/>
              <w:ind w:left="0" w:right="0"/>
              <w:jc w:val="left"/>
              <w:rPr>
                <w:rFonts w:cs="Times New Roman"/>
                <w:b/>
                <w:color w:val="000000"/>
                <w:sz w:val="18"/>
                <w:szCs w:val="18"/>
                <w:u w:val="single"/>
              </w:rPr>
            </w:pPr>
          </w:p>
        </w:tc>
      </w:tr>
      <w:tr w:rsidR="00C33EEB" w:rsidRPr="00C33EEB" w14:paraId="07A51AEA" w14:textId="77777777" w:rsidTr="00C33EEB">
        <w:trPr>
          <w:trHeight w:val="300"/>
        </w:trPr>
        <w:tc>
          <w:tcPr>
            <w:tcW w:w="6804" w:type="dxa"/>
            <w:tcBorders>
              <w:top w:val="nil"/>
              <w:left w:val="nil"/>
              <w:bottom w:val="nil"/>
              <w:right w:val="nil"/>
            </w:tcBorders>
            <w:vAlign w:val="center"/>
            <w:hideMark/>
          </w:tcPr>
          <w:p w14:paraId="355ED1C2" w14:textId="77777777" w:rsidR="00C33EEB" w:rsidRPr="00C33EEB" w:rsidRDefault="00C33EEB" w:rsidP="00C33EEB">
            <w:pPr>
              <w:spacing w:after="0" w:line="240" w:lineRule="auto"/>
              <w:ind w:left="0" w:right="0"/>
              <w:jc w:val="left"/>
              <w:rPr>
                <w:rFonts w:cs="Times New Roman"/>
                <w:b/>
                <w:color w:val="000000"/>
                <w:sz w:val="18"/>
                <w:szCs w:val="18"/>
                <w:u w:val="single"/>
              </w:rPr>
            </w:pPr>
            <w:r w:rsidRPr="00C33EEB">
              <w:rPr>
                <w:rFonts w:cs="Times New Roman"/>
                <w:b/>
                <w:color w:val="000000"/>
                <w:sz w:val="18"/>
                <w:szCs w:val="18"/>
                <w:u w:val="single"/>
              </w:rPr>
              <w:t xml:space="preserve">75 PREJETA VRAČILA DANIH POSOJIL IN ZMANJŠANJE </w:t>
            </w:r>
          </w:p>
        </w:tc>
        <w:tc>
          <w:tcPr>
            <w:tcW w:w="1559" w:type="dxa"/>
            <w:tcBorders>
              <w:top w:val="nil"/>
              <w:left w:val="nil"/>
              <w:bottom w:val="nil"/>
              <w:right w:val="nil"/>
            </w:tcBorders>
            <w:vAlign w:val="center"/>
            <w:hideMark/>
          </w:tcPr>
          <w:p w14:paraId="11A1CF94" w14:textId="77777777" w:rsidR="00C33EEB" w:rsidRPr="00C33EEB" w:rsidRDefault="00C33EEB" w:rsidP="00C33EEB">
            <w:pPr>
              <w:spacing w:after="0" w:line="240" w:lineRule="auto"/>
              <w:ind w:left="0" w:right="0"/>
              <w:jc w:val="right"/>
              <w:rPr>
                <w:rFonts w:cs="Times New Roman"/>
                <w:b/>
                <w:color w:val="000000"/>
                <w:sz w:val="18"/>
                <w:szCs w:val="18"/>
                <w:u w:val="single"/>
              </w:rPr>
            </w:pPr>
            <w:r w:rsidRPr="00C33EEB">
              <w:rPr>
                <w:rFonts w:cs="Times New Roman"/>
                <w:b/>
                <w:color w:val="000000"/>
                <w:sz w:val="18"/>
                <w:szCs w:val="18"/>
                <w:u w:val="single"/>
              </w:rPr>
              <w:t>107</w:t>
            </w:r>
          </w:p>
        </w:tc>
      </w:tr>
      <w:tr w:rsidR="00C33EEB" w:rsidRPr="00C33EEB" w14:paraId="30D8F2DC" w14:textId="77777777" w:rsidTr="00C33EEB">
        <w:trPr>
          <w:trHeight w:val="300"/>
        </w:trPr>
        <w:tc>
          <w:tcPr>
            <w:tcW w:w="6804" w:type="dxa"/>
            <w:tcBorders>
              <w:top w:val="nil"/>
              <w:left w:val="nil"/>
              <w:bottom w:val="nil"/>
              <w:right w:val="nil"/>
            </w:tcBorders>
            <w:vAlign w:val="center"/>
            <w:hideMark/>
          </w:tcPr>
          <w:p w14:paraId="640634AF" w14:textId="77777777" w:rsidR="00C33EEB" w:rsidRPr="00C33EEB" w:rsidRDefault="00C33EEB" w:rsidP="00C33EEB">
            <w:pPr>
              <w:spacing w:after="0" w:line="240" w:lineRule="auto"/>
              <w:ind w:left="0" w:right="0" w:firstLineChars="200" w:firstLine="361"/>
              <w:jc w:val="left"/>
              <w:rPr>
                <w:rFonts w:cs="Times New Roman"/>
                <w:b/>
                <w:color w:val="000000"/>
                <w:sz w:val="18"/>
                <w:szCs w:val="18"/>
                <w:u w:val="single"/>
              </w:rPr>
            </w:pPr>
            <w:r w:rsidRPr="00C33EEB">
              <w:rPr>
                <w:rFonts w:cs="Times New Roman"/>
                <w:b/>
                <w:color w:val="000000"/>
                <w:sz w:val="18"/>
                <w:szCs w:val="18"/>
                <w:u w:val="single"/>
              </w:rPr>
              <w:t>FINANČNIH NALOŽB</w:t>
            </w:r>
          </w:p>
        </w:tc>
        <w:tc>
          <w:tcPr>
            <w:tcW w:w="1559" w:type="dxa"/>
            <w:tcBorders>
              <w:top w:val="nil"/>
              <w:left w:val="nil"/>
              <w:bottom w:val="nil"/>
              <w:right w:val="nil"/>
            </w:tcBorders>
            <w:vAlign w:val="center"/>
            <w:hideMark/>
          </w:tcPr>
          <w:p w14:paraId="5D2007D2" w14:textId="77777777" w:rsidR="00C33EEB" w:rsidRPr="00C33EEB" w:rsidRDefault="00C33EEB" w:rsidP="00C33EEB">
            <w:pPr>
              <w:spacing w:after="0" w:line="240" w:lineRule="auto"/>
              <w:ind w:left="0" w:right="0" w:firstLineChars="200" w:firstLine="361"/>
              <w:jc w:val="left"/>
              <w:rPr>
                <w:rFonts w:cs="Times New Roman"/>
                <w:b/>
                <w:color w:val="000000"/>
                <w:sz w:val="18"/>
                <w:szCs w:val="18"/>
                <w:u w:val="single"/>
              </w:rPr>
            </w:pPr>
          </w:p>
        </w:tc>
      </w:tr>
      <w:tr w:rsidR="00C33EEB" w:rsidRPr="00C33EEB" w14:paraId="41D1300C" w14:textId="77777777" w:rsidTr="00C33EEB">
        <w:trPr>
          <w:trHeight w:val="300"/>
        </w:trPr>
        <w:tc>
          <w:tcPr>
            <w:tcW w:w="6804" w:type="dxa"/>
            <w:tcBorders>
              <w:top w:val="nil"/>
              <w:left w:val="nil"/>
              <w:bottom w:val="nil"/>
              <w:right w:val="nil"/>
            </w:tcBorders>
            <w:vAlign w:val="center"/>
            <w:hideMark/>
          </w:tcPr>
          <w:p w14:paraId="0DE9A729" w14:textId="77777777" w:rsidR="00C33EEB" w:rsidRPr="00C33EEB" w:rsidRDefault="00C33EEB" w:rsidP="00AC71BC">
            <w:pPr>
              <w:spacing w:after="0" w:line="240" w:lineRule="auto"/>
              <w:ind w:left="213" w:right="0"/>
              <w:jc w:val="left"/>
              <w:rPr>
                <w:rFonts w:cs="Times New Roman"/>
                <w:bCs w:val="0"/>
                <w:color w:val="000000"/>
                <w:sz w:val="18"/>
                <w:szCs w:val="18"/>
              </w:rPr>
            </w:pPr>
            <w:r w:rsidRPr="00C33EEB">
              <w:rPr>
                <w:rFonts w:cs="Times New Roman"/>
                <w:bCs w:val="0"/>
                <w:color w:val="000000"/>
                <w:sz w:val="18"/>
                <w:szCs w:val="18"/>
              </w:rPr>
              <w:t>752 Kupnine iz naslova privatizacije</w:t>
            </w:r>
          </w:p>
        </w:tc>
        <w:tc>
          <w:tcPr>
            <w:tcW w:w="1559" w:type="dxa"/>
            <w:tcBorders>
              <w:top w:val="nil"/>
              <w:left w:val="nil"/>
              <w:bottom w:val="nil"/>
              <w:right w:val="nil"/>
            </w:tcBorders>
            <w:vAlign w:val="center"/>
            <w:hideMark/>
          </w:tcPr>
          <w:p w14:paraId="57BE7D13" w14:textId="77777777" w:rsidR="00C33EEB" w:rsidRPr="00C33EEB" w:rsidRDefault="00C33EEB" w:rsidP="00C33EEB">
            <w:pPr>
              <w:spacing w:after="0" w:line="240" w:lineRule="auto"/>
              <w:ind w:left="0" w:right="0"/>
              <w:jc w:val="right"/>
              <w:rPr>
                <w:rFonts w:cs="Times New Roman"/>
                <w:bCs w:val="0"/>
                <w:color w:val="000000"/>
                <w:sz w:val="18"/>
                <w:szCs w:val="18"/>
              </w:rPr>
            </w:pPr>
            <w:r w:rsidRPr="00C33EEB">
              <w:rPr>
                <w:rFonts w:cs="Times New Roman"/>
                <w:bCs w:val="0"/>
                <w:color w:val="000000"/>
                <w:sz w:val="18"/>
                <w:szCs w:val="18"/>
              </w:rPr>
              <w:t>107</w:t>
            </w:r>
          </w:p>
        </w:tc>
      </w:tr>
      <w:tr w:rsidR="00C33EEB" w:rsidRPr="00C33EEB" w14:paraId="40521D43" w14:textId="77777777" w:rsidTr="00C33EEB">
        <w:trPr>
          <w:trHeight w:val="300"/>
        </w:trPr>
        <w:tc>
          <w:tcPr>
            <w:tcW w:w="6804" w:type="dxa"/>
            <w:tcBorders>
              <w:top w:val="nil"/>
              <w:left w:val="nil"/>
              <w:bottom w:val="nil"/>
              <w:right w:val="nil"/>
            </w:tcBorders>
            <w:vAlign w:val="center"/>
            <w:hideMark/>
          </w:tcPr>
          <w:p w14:paraId="112D16A7" w14:textId="77777777" w:rsidR="00C33EEB" w:rsidRPr="00C33EEB" w:rsidRDefault="00C33EEB" w:rsidP="00C33EEB">
            <w:pPr>
              <w:spacing w:after="0" w:line="240" w:lineRule="auto"/>
              <w:ind w:left="0" w:right="0"/>
              <w:jc w:val="right"/>
              <w:rPr>
                <w:rFonts w:cs="Times New Roman"/>
                <w:bCs w:val="0"/>
                <w:color w:val="000000"/>
                <w:sz w:val="18"/>
                <w:szCs w:val="18"/>
              </w:rPr>
            </w:pPr>
          </w:p>
        </w:tc>
        <w:tc>
          <w:tcPr>
            <w:tcW w:w="1559" w:type="dxa"/>
            <w:tcBorders>
              <w:top w:val="nil"/>
              <w:left w:val="nil"/>
              <w:bottom w:val="nil"/>
              <w:right w:val="nil"/>
            </w:tcBorders>
            <w:vAlign w:val="center"/>
            <w:hideMark/>
          </w:tcPr>
          <w:p w14:paraId="09CAB36D" w14:textId="77777777" w:rsidR="00C33EEB" w:rsidRPr="00C33EEB" w:rsidRDefault="00C33EEB" w:rsidP="00C33EEB">
            <w:pPr>
              <w:spacing w:after="0" w:line="240" w:lineRule="auto"/>
              <w:ind w:left="0" w:right="0"/>
              <w:jc w:val="left"/>
              <w:rPr>
                <w:rFonts w:cs="Times New Roman"/>
                <w:bCs w:val="0"/>
                <w:sz w:val="18"/>
                <w:szCs w:val="18"/>
              </w:rPr>
            </w:pPr>
          </w:p>
        </w:tc>
      </w:tr>
      <w:tr w:rsidR="00C33EEB" w:rsidRPr="00C33EEB" w14:paraId="1C7687A9" w14:textId="77777777" w:rsidTr="00C33EEB">
        <w:trPr>
          <w:trHeight w:val="300"/>
        </w:trPr>
        <w:tc>
          <w:tcPr>
            <w:tcW w:w="6804" w:type="dxa"/>
            <w:tcBorders>
              <w:top w:val="nil"/>
              <w:left w:val="nil"/>
              <w:bottom w:val="nil"/>
              <w:right w:val="nil"/>
            </w:tcBorders>
            <w:vAlign w:val="center"/>
            <w:hideMark/>
          </w:tcPr>
          <w:p w14:paraId="293963D1" w14:textId="77777777" w:rsidR="00C33EEB" w:rsidRPr="00C33EEB" w:rsidRDefault="00C33EEB" w:rsidP="00C33EEB">
            <w:pPr>
              <w:spacing w:after="0" w:line="240" w:lineRule="auto"/>
              <w:ind w:left="0" w:right="0"/>
              <w:jc w:val="left"/>
              <w:rPr>
                <w:rFonts w:cs="Times New Roman"/>
                <w:b/>
                <w:color w:val="000000"/>
                <w:sz w:val="18"/>
                <w:szCs w:val="18"/>
                <w:u w:val="single"/>
              </w:rPr>
            </w:pPr>
            <w:r w:rsidRPr="00C33EEB">
              <w:rPr>
                <w:rFonts w:cs="Times New Roman"/>
                <w:b/>
                <w:color w:val="000000"/>
                <w:sz w:val="18"/>
                <w:szCs w:val="18"/>
                <w:u w:val="single"/>
              </w:rPr>
              <w:t xml:space="preserve">VI. PREJETA MINUS DANA POSOJILA IN </w:t>
            </w:r>
          </w:p>
        </w:tc>
        <w:tc>
          <w:tcPr>
            <w:tcW w:w="1559" w:type="dxa"/>
            <w:tcBorders>
              <w:top w:val="nil"/>
              <w:left w:val="nil"/>
              <w:bottom w:val="nil"/>
              <w:right w:val="nil"/>
            </w:tcBorders>
            <w:vAlign w:val="center"/>
            <w:hideMark/>
          </w:tcPr>
          <w:p w14:paraId="19B6FF8D" w14:textId="77777777" w:rsidR="00C33EEB" w:rsidRPr="00C33EEB" w:rsidRDefault="00C33EEB" w:rsidP="00C33EEB">
            <w:pPr>
              <w:spacing w:after="0" w:line="240" w:lineRule="auto"/>
              <w:ind w:left="0" w:right="0"/>
              <w:jc w:val="right"/>
              <w:rPr>
                <w:rFonts w:cs="Times New Roman"/>
                <w:b/>
                <w:color w:val="000000"/>
                <w:sz w:val="18"/>
                <w:szCs w:val="18"/>
                <w:u w:val="single"/>
              </w:rPr>
            </w:pPr>
            <w:r w:rsidRPr="00C33EEB">
              <w:rPr>
                <w:rFonts w:cs="Times New Roman"/>
                <w:b/>
                <w:color w:val="000000"/>
                <w:sz w:val="18"/>
                <w:szCs w:val="18"/>
                <w:u w:val="single"/>
              </w:rPr>
              <w:t>107</w:t>
            </w:r>
          </w:p>
        </w:tc>
      </w:tr>
      <w:tr w:rsidR="00C33EEB" w:rsidRPr="00C33EEB" w14:paraId="3D092549" w14:textId="77777777" w:rsidTr="00C33EEB">
        <w:trPr>
          <w:trHeight w:val="300"/>
        </w:trPr>
        <w:tc>
          <w:tcPr>
            <w:tcW w:w="6804" w:type="dxa"/>
            <w:tcBorders>
              <w:top w:val="nil"/>
              <w:left w:val="nil"/>
              <w:bottom w:val="nil"/>
              <w:right w:val="nil"/>
            </w:tcBorders>
            <w:vAlign w:val="center"/>
            <w:hideMark/>
          </w:tcPr>
          <w:p w14:paraId="0A3F2428" w14:textId="77777777" w:rsidR="00C33EEB" w:rsidRPr="00C33EEB" w:rsidRDefault="00C33EEB" w:rsidP="00C33EEB">
            <w:pPr>
              <w:spacing w:after="0" w:line="240" w:lineRule="auto"/>
              <w:ind w:left="0" w:right="0"/>
              <w:jc w:val="left"/>
              <w:rPr>
                <w:rFonts w:cs="Times New Roman"/>
                <w:b/>
                <w:color w:val="000000"/>
                <w:sz w:val="18"/>
                <w:szCs w:val="18"/>
                <w:u w:val="single"/>
              </w:rPr>
            </w:pPr>
            <w:r w:rsidRPr="00C33EEB">
              <w:rPr>
                <w:rFonts w:cs="Times New Roman"/>
                <w:b/>
                <w:color w:val="000000"/>
                <w:sz w:val="18"/>
                <w:szCs w:val="18"/>
                <w:u w:val="single"/>
              </w:rPr>
              <w:t>SPREMEMBE KAPITALSKIH DELEŽEV (IV. - V.)</w:t>
            </w:r>
          </w:p>
        </w:tc>
        <w:tc>
          <w:tcPr>
            <w:tcW w:w="1559" w:type="dxa"/>
            <w:tcBorders>
              <w:top w:val="nil"/>
              <w:left w:val="nil"/>
              <w:bottom w:val="nil"/>
              <w:right w:val="nil"/>
            </w:tcBorders>
            <w:vAlign w:val="center"/>
            <w:hideMark/>
          </w:tcPr>
          <w:p w14:paraId="335ACA21" w14:textId="77777777" w:rsidR="00C33EEB" w:rsidRPr="00C33EEB" w:rsidRDefault="00C33EEB" w:rsidP="00C33EEB">
            <w:pPr>
              <w:spacing w:after="0" w:line="240" w:lineRule="auto"/>
              <w:ind w:left="0" w:right="0"/>
              <w:jc w:val="left"/>
              <w:rPr>
                <w:rFonts w:cs="Times New Roman"/>
                <w:b/>
                <w:color w:val="000000"/>
                <w:sz w:val="18"/>
                <w:szCs w:val="18"/>
                <w:u w:val="single"/>
              </w:rPr>
            </w:pPr>
          </w:p>
        </w:tc>
      </w:tr>
      <w:tr w:rsidR="00C33EEB" w:rsidRPr="00C33EEB" w14:paraId="70E9099F" w14:textId="77777777" w:rsidTr="00C33EEB">
        <w:trPr>
          <w:trHeight w:val="300"/>
        </w:trPr>
        <w:tc>
          <w:tcPr>
            <w:tcW w:w="6804" w:type="dxa"/>
            <w:tcBorders>
              <w:top w:val="nil"/>
              <w:left w:val="nil"/>
              <w:bottom w:val="nil"/>
              <w:right w:val="nil"/>
            </w:tcBorders>
            <w:noWrap/>
            <w:vAlign w:val="bottom"/>
            <w:hideMark/>
          </w:tcPr>
          <w:p w14:paraId="22E83E6F" w14:textId="77777777" w:rsidR="00C33EEB" w:rsidRPr="00C33EEB" w:rsidRDefault="00C33EEB" w:rsidP="00C33EEB">
            <w:pPr>
              <w:spacing w:after="0" w:line="240" w:lineRule="auto"/>
              <w:ind w:left="0" w:right="0"/>
              <w:jc w:val="right"/>
              <w:rPr>
                <w:rFonts w:cs="Times New Roman"/>
                <w:bCs w:val="0"/>
                <w:sz w:val="18"/>
                <w:szCs w:val="18"/>
              </w:rPr>
            </w:pPr>
          </w:p>
        </w:tc>
        <w:tc>
          <w:tcPr>
            <w:tcW w:w="1559" w:type="dxa"/>
            <w:tcBorders>
              <w:top w:val="nil"/>
              <w:left w:val="nil"/>
              <w:bottom w:val="nil"/>
              <w:right w:val="nil"/>
            </w:tcBorders>
            <w:noWrap/>
            <w:vAlign w:val="bottom"/>
            <w:hideMark/>
          </w:tcPr>
          <w:p w14:paraId="42AFE4CB" w14:textId="77777777" w:rsidR="00C33EEB" w:rsidRPr="00C33EEB" w:rsidRDefault="00C33EEB" w:rsidP="00C33EEB">
            <w:pPr>
              <w:spacing w:after="0" w:line="240" w:lineRule="auto"/>
              <w:ind w:left="0" w:right="0"/>
              <w:jc w:val="left"/>
              <w:rPr>
                <w:rFonts w:cs="Times New Roman"/>
                <w:bCs w:val="0"/>
                <w:sz w:val="18"/>
                <w:szCs w:val="18"/>
              </w:rPr>
            </w:pPr>
          </w:p>
        </w:tc>
      </w:tr>
      <w:tr w:rsidR="00C33EEB" w:rsidRPr="00C33EEB" w14:paraId="59114702" w14:textId="77777777" w:rsidTr="00C33EEB">
        <w:trPr>
          <w:trHeight w:val="300"/>
        </w:trPr>
        <w:tc>
          <w:tcPr>
            <w:tcW w:w="8363" w:type="dxa"/>
            <w:gridSpan w:val="2"/>
            <w:tcBorders>
              <w:top w:val="single" w:sz="4" w:space="0" w:color="auto"/>
              <w:left w:val="single" w:sz="4" w:space="0" w:color="auto"/>
              <w:bottom w:val="single" w:sz="4" w:space="0" w:color="auto"/>
              <w:right w:val="single" w:sz="4" w:space="0" w:color="000000"/>
            </w:tcBorders>
            <w:noWrap/>
            <w:vAlign w:val="center"/>
            <w:hideMark/>
          </w:tcPr>
          <w:p w14:paraId="37231CB6" w14:textId="77777777" w:rsidR="00C33EEB" w:rsidRPr="008B4895" w:rsidRDefault="00C33EEB" w:rsidP="00C33EEB">
            <w:pPr>
              <w:spacing w:after="0" w:line="240" w:lineRule="auto"/>
              <w:ind w:left="0" w:right="0"/>
              <w:jc w:val="left"/>
              <w:rPr>
                <w:rFonts w:cs="Times New Roman"/>
                <w:b/>
                <w:color w:val="000000"/>
                <w:sz w:val="18"/>
                <w:szCs w:val="18"/>
              </w:rPr>
            </w:pPr>
            <w:r w:rsidRPr="008B4895">
              <w:rPr>
                <w:rFonts w:cs="Times New Roman"/>
                <w:b/>
                <w:color w:val="000000"/>
                <w:sz w:val="18"/>
                <w:szCs w:val="18"/>
              </w:rPr>
              <w:t>C.  RAČUN FINANCIRANJA</w:t>
            </w:r>
          </w:p>
        </w:tc>
      </w:tr>
      <w:tr w:rsidR="00C33EEB" w:rsidRPr="00C33EEB" w14:paraId="541D7200" w14:textId="77777777" w:rsidTr="00C33EEB">
        <w:trPr>
          <w:trHeight w:val="300"/>
        </w:trPr>
        <w:tc>
          <w:tcPr>
            <w:tcW w:w="6804" w:type="dxa"/>
            <w:tcBorders>
              <w:top w:val="nil"/>
              <w:left w:val="nil"/>
              <w:bottom w:val="nil"/>
              <w:right w:val="nil"/>
            </w:tcBorders>
            <w:vAlign w:val="center"/>
            <w:hideMark/>
          </w:tcPr>
          <w:p w14:paraId="06DE1037" w14:textId="77777777" w:rsidR="00C33EEB" w:rsidRPr="00C33EEB" w:rsidRDefault="00C33EEB" w:rsidP="00C33EEB">
            <w:pPr>
              <w:spacing w:after="0" w:line="240" w:lineRule="auto"/>
              <w:ind w:left="0" w:right="0"/>
              <w:jc w:val="left"/>
              <w:rPr>
                <w:rFonts w:cs="Times New Roman"/>
                <w:b/>
                <w:color w:val="000000"/>
                <w:sz w:val="18"/>
                <w:szCs w:val="18"/>
                <w:u w:val="single"/>
              </w:rPr>
            </w:pPr>
            <w:r w:rsidRPr="00C33EEB">
              <w:rPr>
                <w:rFonts w:cs="Times New Roman"/>
                <w:b/>
                <w:color w:val="000000"/>
                <w:sz w:val="18"/>
                <w:szCs w:val="18"/>
                <w:u w:val="single"/>
              </w:rPr>
              <w:t>VII. ZADOLŽEVANJE (500+501)</w:t>
            </w:r>
          </w:p>
        </w:tc>
        <w:tc>
          <w:tcPr>
            <w:tcW w:w="1559" w:type="dxa"/>
            <w:tcBorders>
              <w:top w:val="nil"/>
              <w:left w:val="nil"/>
              <w:bottom w:val="nil"/>
              <w:right w:val="nil"/>
            </w:tcBorders>
            <w:vAlign w:val="center"/>
            <w:hideMark/>
          </w:tcPr>
          <w:p w14:paraId="1020C475" w14:textId="77777777" w:rsidR="00C33EEB" w:rsidRPr="00C33EEB" w:rsidRDefault="00C33EEB" w:rsidP="00C33EEB">
            <w:pPr>
              <w:spacing w:after="0" w:line="240" w:lineRule="auto"/>
              <w:ind w:left="0" w:right="0"/>
              <w:jc w:val="right"/>
              <w:rPr>
                <w:rFonts w:cs="Times New Roman"/>
                <w:b/>
                <w:color w:val="000000"/>
                <w:sz w:val="18"/>
                <w:szCs w:val="18"/>
                <w:u w:val="single"/>
              </w:rPr>
            </w:pPr>
            <w:r w:rsidRPr="00C33EEB">
              <w:rPr>
                <w:rFonts w:cs="Times New Roman"/>
                <w:b/>
                <w:color w:val="000000"/>
                <w:sz w:val="18"/>
                <w:szCs w:val="18"/>
                <w:u w:val="single"/>
              </w:rPr>
              <w:t>9.377.983</w:t>
            </w:r>
          </w:p>
        </w:tc>
      </w:tr>
      <w:tr w:rsidR="00C33EEB" w:rsidRPr="00C33EEB" w14:paraId="6329F8FA" w14:textId="77777777" w:rsidTr="00C33EEB">
        <w:trPr>
          <w:trHeight w:val="300"/>
        </w:trPr>
        <w:tc>
          <w:tcPr>
            <w:tcW w:w="6804" w:type="dxa"/>
            <w:tcBorders>
              <w:top w:val="nil"/>
              <w:left w:val="nil"/>
              <w:bottom w:val="nil"/>
              <w:right w:val="nil"/>
            </w:tcBorders>
            <w:vAlign w:val="center"/>
            <w:hideMark/>
          </w:tcPr>
          <w:p w14:paraId="08AB5E5E" w14:textId="77777777" w:rsidR="00C33EEB" w:rsidRPr="00C33EEB" w:rsidRDefault="00C33EEB" w:rsidP="00C33EEB">
            <w:pPr>
              <w:spacing w:after="0" w:line="240" w:lineRule="auto"/>
              <w:ind w:left="0" w:right="0"/>
              <w:jc w:val="left"/>
              <w:rPr>
                <w:rFonts w:cs="Times New Roman"/>
                <w:b/>
                <w:color w:val="000000"/>
                <w:sz w:val="18"/>
                <w:szCs w:val="18"/>
                <w:u w:val="single"/>
              </w:rPr>
            </w:pPr>
            <w:r w:rsidRPr="00C33EEB">
              <w:rPr>
                <w:rFonts w:cs="Times New Roman"/>
                <w:b/>
                <w:color w:val="000000"/>
                <w:sz w:val="18"/>
                <w:szCs w:val="18"/>
                <w:u w:val="single"/>
              </w:rPr>
              <w:t>50 ZADOLŽEVANJE</w:t>
            </w:r>
          </w:p>
        </w:tc>
        <w:tc>
          <w:tcPr>
            <w:tcW w:w="1559" w:type="dxa"/>
            <w:tcBorders>
              <w:top w:val="nil"/>
              <w:left w:val="nil"/>
              <w:bottom w:val="nil"/>
              <w:right w:val="nil"/>
            </w:tcBorders>
            <w:vAlign w:val="center"/>
            <w:hideMark/>
          </w:tcPr>
          <w:p w14:paraId="314FF2FF" w14:textId="77777777" w:rsidR="00C33EEB" w:rsidRPr="00C33EEB" w:rsidRDefault="00C33EEB" w:rsidP="00C33EEB">
            <w:pPr>
              <w:spacing w:after="0" w:line="240" w:lineRule="auto"/>
              <w:ind w:left="0" w:right="0"/>
              <w:jc w:val="right"/>
              <w:rPr>
                <w:rFonts w:cs="Times New Roman"/>
                <w:b/>
                <w:color w:val="000000"/>
                <w:sz w:val="18"/>
                <w:szCs w:val="18"/>
                <w:u w:val="single"/>
              </w:rPr>
            </w:pPr>
            <w:r w:rsidRPr="00C33EEB">
              <w:rPr>
                <w:rFonts w:cs="Times New Roman"/>
                <w:b/>
                <w:color w:val="000000"/>
                <w:sz w:val="18"/>
                <w:szCs w:val="18"/>
                <w:u w:val="single"/>
              </w:rPr>
              <w:t>9.377.983</w:t>
            </w:r>
          </w:p>
        </w:tc>
      </w:tr>
      <w:tr w:rsidR="00C33EEB" w:rsidRPr="00C33EEB" w14:paraId="7A462BED" w14:textId="77777777" w:rsidTr="00C33EEB">
        <w:trPr>
          <w:trHeight w:val="300"/>
        </w:trPr>
        <w:tc>
          <w:tcPr>
            <w:tcW w:w="6804" w:type="dxa"/>
            <w:tcBorders>
              <w:top w:val="nil"/>
              <w:left w:val="nil"/>
              <w:bottom w:val="nil"/>
              <w:right w:val="nil"/>
            </w:tcBorders>
            <w:vAlign w:val="center"/>
            <w:hideMark/>
          </w:tcPr>
          <w:p w14:paraId="5C416E94" w14:textId="77777777" w:rsidR="00C33EEB" w:rsidRPr="00C33EEB" w:rsidRDefault="00C33EEB" w:rsidP="00AC71BC">
            <w:pPr>
              <w:spacing w:after="0" w:line="240" w:lineRule="auto"/>
              <w:ind w:left="213" w:right="0"/>
              <w:jc w:val="left"/>
              <w:rPr>
                <w:rFonts w:cs="Times New Roman"/>
                <w:bCs w:val="0"/>
                <w:color w:val="000000"/>
                <w:sz w:val="18"/>
                <w:szCs w:val="18"/>
              </w:rPr>
            </w:pPr>
            <w:r w:rsidRPr="00C33EEB">
              <w:rPr>
                <w:rFonts w:cs="Times New Roman"/>
                <w:bCs w:val="0"/>
                <w:color w:val="000000"/>
                <w:sz w:val="18"/>
                <w:szCs w:val="18"/>
              </w:rPr>
              <w:t>500 Domače zadolževanje</w:t>
            </w:r>
          </w:p>
        </w:tc>
        <w:tc>
          <w:tcPr>
            <w:tcW w:w="1559" w:type="dxa"/>
            <w:tcBorders>
              <w:top w:val="nil"/>
              <w:left w:val="nil"/>
              <w:bottom w:val="nil"/>
              <w:right w:val="nil"/>
            </w:tcBorders>
            <w:vAlign w:val="center"/>
            <w:hideMark/>
          </w:tcPr>
          <w:p w14:paraId="553C02D9" w14:textId="77777777" w:rsidR="00C33EEB" w:rsidRPr="00C33EEB" w:rsidRDefault="00C33EEB" w:rsidP="00C33EEB">
            <w:pPr>
              <w:spacing w:after="0" w:line="240" w:lineRule="auto"/>
              <w:ind w:left="0" w:right="0"/>
              <w:jc w:val="right"/>
              <w:rPr>
                <w:rFonts w:cs="Times New Roman"/>
                <w:bCs w:val="0"/>
                <w:color w:val="000000"/>
                <w:sz w:val="18"/>
                <w:szCs w:val="18"/>
              </w:rPr>
            </w:pPr>
            <w:r w:rsidRPr="00C33EEB">
              <w:rPr>
                <w:rFonts w:cs="Times New Roman"/>
                <w:bCs w:val="0"/>
                <w:color w:val="000000"/>
                <w:sz w:val="18"/>
                <w:szCs w:val="18"/>
              </w:rPr>
              <w:t>9.377.983</w:t>
            </w:r>
          </w:p>
        </w:tc>
      </w:tr>
      <w:tr w:rsidR="00C33EEB" w:rsidRPr="00C33EEB" w14:paraId="32357B04" w14:textId="77777777" w:rsidTr="00C33EEB">
        <w:trPr>
          <w:trHeight w:val="300"/>
        </w:trPr>
        <w:tc>
          <w:tcPr>
            <w:tcW w:w="6804" w:type="dxa"/>
            <w:tcBorders>
              <w:top w:val="nil"/>
              <w:left w:val="nil"/>
              <w:bottom w:val="nil"/>
              <w:right w:val="nil"/>
            </w:tcBorders>
            <w:vAlign w:val="center"/>
            <w:hideMark/>
          </w:tcPr>
          <w:p w14:paraId="71100EEB" w14:textId="77777777" w:rsidR="00C33EEB" w:rsidRPr="00C33EEB" w:rsidRDefault="00C33EEB" w:rsidP="00C33EEB">
            <w:pPr>
              <w:spacing w:after="0" w:line="240" w:lineRule="auto"/>
              <w:ind w:left="0" w:right="0"/>
              <w:jc w:val="left"/>
              <w:rPr>
                <w:rFonts w:cs="Times New Roman"/>
                <w:b/>
                <w:color w:val="000000"/>
                <w:sz w:val="18"/>
                <w:szCs w:val="18"/>
                <w:u w:val="single"/>
              </w:rPr>
            </w:pPr>
            <w:r w:rsidRPr="00C33EEB">
              <w:rPr>
                <w:rFonts w:cs="Times New Roman"/>
                <w:b/>
                <w:color w:val="000000"/>
                <w:sz w:val="18"/>
                <w:szCs w:val="18"/>
                <w:u w:val="single"/>
              </w:rPr>
              <w:t>VIII. ODPLAČILA DOLGA (550+551)</w:t>
            </w:r>
          </w:p>
        </w:tc>
        <w:tc>
          <w:tcPr>
            <w:tcW w:w="1559" w:type="dxa"/>
            <w:tcBorders>
              <w:top w:val="nil"/>
              <w:left w:val="nil"/>
              <w:bottom w:val="nil"/>
              <w:right w:val="nil"/>
            </w:tcBorders>
            <w:vAlign w:val="center"/>
            <w:hideMark/>
          </w:tcPr>
          <w:p w14:paraId="101935E6" w14:textId="77777777" w:rsidR="00C33EEB" w:rsidRPr="00C33EEB" w:rsidRDefault="00C33EEB" w:rsidP="00C33EEB">
            <w:pPr>
              <w:spacing w:after="0" w:line="240" w:lineRule="auto"/>
              <w:ind w:left="0" w:right="0"/>
              <w:jc w:val="right"/>
              <w:rPr>
                <w:rFonts w:cs="Times New Roman"/>
                <w:b/>
                <w:color w:val="000000"/>
                <w:sz w:val="18"/>
                <w:szCs w:val="18"/>
                <w:u w:val="single"/>
              </w:rPr>
            </w:pPr>
            <w:r w:rsidRPr="00C33EEB">
              <w:rPr>
                <w:rFonts w:cs="Times New Roman"/>
                <w:b/>
                <w:color w:val="000000"/>
                <w:sz w:val="18"/>
                <w:szCs w:val="18"/>
                <w:u w:val="single"/>
              </w:rPr>
              <w:t>2.650.242</w:t>
            </w:r>
          </w:p>
        </w:tc>
      </w:tr>
      <w:tr w:rsidR="00C33EEB" w:rsidRPr="00C33EEB" w14:paraId="0BD54050" w14:textId="77777777" w:rsidTr="00C33EEB">
        <w:trPr>
          <w:trHeight w:val="300"/>
        </w:trPr>
        <w:tc>
          <w:tcPr>
            <w:tcW w:w="6804" w:type="dxa"/>
            <w:tcBorders>
              <w:top w:val="nil"/>
              <w:left w:val="nil"/>
              <w:bottom w:val="nil"/>
              <w:right w:val="nil"/>
            </w:tcBorders>
            <w:vAlign w:val="center"/>
            <w:hideMark/>
          </w:tcPr>
          <w:p w14:paraId="48BD26B6" w14:textId="77777777" w:rsidR="00C33EEB" w:rsidRPr="00C33EEB" w:rsidRDefault="00C33EEB" w:rsidP="00C33EEB">
            <w:pPr>
              <w:spacing w:after="0" w:line="240" w:lineRule="auto"/>
              <w:ind w:left="0" w:right="0"/>
              <w:jc w:val="left"/>
              <w:rPr>
                <w:rFonts w:cs="Times New Roman"/>
                <w:b/>
                <w:color w:val="000000"/>
                <w:sz w:val="18"/>
                <w:szCs w:val="18"/>
                <w:u w:val="single"/>
              </w:rPr>
            </w:pPr>
            <w:r w:rsidRPr="00C33EEB">
              <w:rPr>
                <w:rFonts w:cs="Times New Roman"/>
                <w:b/>
                <w:color w:val="000000"/>
                <w:sz w:val="18"/>
                <w:szCs w:val="18"/>
                <w:u w:val="single"/>
              </w:rPr>
              <w:t>55 ODPLAČILA DOLGA</w:t>
            </w:r>
          </w:p>
        </w:tc>
        <w:tc>
          <w:tcPr>
            <w:tcW w:w="1559" w:type="dxa"/>
            <w:tcBorders>
              <w:top w:val="nil"/>
              <w:left w:val="nil"/>
              <w:bottom w:val="nil"/>
              <w:right w:val="nil"/>
            </w:tcBorders>
            <w:vAlign w:val="center"/>
            <w:hideMark/>
          </w:tcPr>
          <w:p w14:paraId="1B83014A" w14:textId="77777777" w:rsidR="00C33EEB" w:rsidRPr="00C33EEB" w:rsidRDefault="00C33EEB" w:rsidP="00C33EEB">
            <w:pPr>
              <w:spacing w:after="0" w:line="240" w:lineRule="auto"/>
              <w:ind w:left="0" w:right="0"/>
              <w:jc w:val="right"/>
              <w:rPr>
                <w:rFonts w:cs="Times New Roman"/>
                <w:b/>
                <w:color w:val="000000"/>
                <w:sz w:val="18"/>
                <w:szCs w:val="18"/>
                <w:u w:val="single"/>
              </w:rPr>
            </w:pPr>
            <w:r w:rsidRPr="00C33EEB">
              <w:rPr>
                <w:rFonts w:cs="Times New Roman"/>
                <w:b/>
                <w:color w:val="000000"/>
                <w:sz w:val="18"/>
                <w:szCs w:val="18"/>
                <w:u w:val="single"/>
              </w:rPr>
              <w:t>2.650.242</w:t>
            </w:r>
          </w:p>
        </w:tc>
      </w:tr>
      <w:tr w:rsidR="00C33EEB" w:rsidRPr="00C33EEB" w14:paraId="232F33EC" w14:textId="77777777" w:rsidTr="00C33EEB">
        <w:trPr>
          <w:trHeight w:val="300"/>
        </w:trPr>
        <w:tc>
          <w:tcPr>
            <w:tcW w:w="6804" w:type="dxa"/>
            <w:tcBorders>
              <w:top w:val="nil"/>
              <w:left w:val="nil"/>
              <w:bottom w:val="nil"/>
              <w:right w:val="nil"/>
            </w:tcBorders>
            <w:vAlign w:val="center"/>
            <w:hideMark/>
          </w:tcPr>
          <w:p w14:paraId="0F10FB08" w14:textId="77777777" w:rsidR="00C33EEB" w:rsidRPr="00C33EEB" w:rsidRDefault="00C33EEB" w:rsidP="00AC71BC">
            <w:pPr>
              <w:spacing w:after="0" w:line="240" w:lineRule="auto"/>
              <w:ind w:left="213" w:right="0"/>
              <w:jc w:val="left"/>
              <w:rPr>
                <w:rFonts w:cs="Times New Roman"/>
                <w:bCs w:val="0"/>
                <w:color w:val="000000"/>
                <w:sz w:val="18"/>
                <w:szCs w:val="18"/>
              </w:rPr>
            </w:pPr>
            <w:r w:rsidRPr="00C33EEB">
              <w:rPr>
                <w:rFonts w:cs="Times New Roman"/>
                <w:bCs w:val="0"/>
                <w:color w:val="000000"/>
                <w:sz w:val="18"/>
                <w:szCs w:val="18"/>
              </w:rPr>
              <w:t>550 Odplačila domačega dolga</w:t>
            </w:r>
          </w:p>
        </w:tc>
        <w:tc>
          <w:tcPr>
            <w:tcW w:w="1559" w:type="dxa"/>
            <w:tcBorders>
              <w:top w:val="nil"/>
              <w:left w:val="nil"/>
              <w:bottom w:val="nil"/>
              <w:right w:val="nil"/>
            </w:tcBorders>
            <w:vAlign w:val="center"/>
            <w:hideMark/>
          </w:tcPr>
          <w:p w14:paraId="197B1DB4" w14:textId="77777777" w:rsidR="00C33EEB" w:rsidRPr="00C33EEB" w:rsidRDefault="00C33EEB" w:rsidP="00C33EEB">
            <w:pPr>
              <w:spacing w:after="0" w:line="240" w:lineRule="auto"/>
              <w:ind w:left="0" w:right="0"/>
              <w:jc w:val="right"/>
              <w:rPr>
                <w:rFonts w:cs="Times New Roman"/>
                <w:bCs w:val="0"/>
                <w:color w:val="000000"/>
                <w:sz w:val="18"/>
                <w:szCs w:val="18"/>
              </w:rPr>
            </w:pPr>
            <w:r w:rsidRPr="00C33EEB">
              <w:rPr>
                <w:rFonts w:cs="Times New Roman"/>
                <w:bCs w:val="0"/>
                <w:color w:val="000000"/>
                <w:sz w:val="18"/>
                <w:szCs w:val="18"/>
              </w:rPr>
              <w:t>2.650.242</w:t>
            </w:r>
          </w:p>
        </w:tc>
      </w:tr>
      <w:tr w:rsidR="00C33EEB" w:rsidRPr="00C33EEB" w14:paraId="606893AA" w14:textId="77777777" w:rsidTr="00C33EEB">
        <w:trPr>
          <w:trHeight w:val="300"/>
        </w:trPr>
        <w:tc>
          <w:tcPr>
            <w:tcW w:w="6804" w:type="dxa"/>
            <w:tcBorders>
              <w:top w:val="nil"/>
              <w:left w:val="nil"/>
              <w:bottom w:val="nil"/>
              <w:right w:val="nil"/>
            </w:tcBorders>
            <w:vAlign w:val="center"/>
            <w:hideMark/>
          </w:tcPr>
          <w:p w14:paraId="64E79AAE" w14:textId="77777777" w:rsidR="00C33EEB" w:rsidRPr="00C33EEB" w:rsidRDefault="00C33EEB" w:rsidP="00C33EEB">
            <w:pPr>
              <w:spacing w:after="0" w:line="240" w:lineRule="auto"/>
              <w:ind w:left="0" w:right="0"/>
              <w:jc w:val="right"/>
              <w:rPr>
                <w:rFonts w:cs="Times New Roman"/>
                <w:bCs w:val="0"/>
                <w:color w:val="000000"/>
                <w:sz w:val="18"/>
                <w:szCs w:val="18"/>
              </w:rPr>
            </w:pPr>
          </w:p>
        </w:tc>
        <w:tc>
          <w:tcPr>
            <w:tcW w:w="1559" w:type="dxa"/>
            <w:tcBorders>
              <w:top w:val="nil"/>
              <w:left w:val="nil"/>
              <w:bottom w:val="nil"/>
              <w:right w:val="nil"/>
            </w:tcBorders>
            <w:vAlign w:val="center"/>
            <w:hideMark/>
          </w:tcPr>
          <w:p w14:paraId="2425FD06" w14:textId="77777777" w:rsidR="00C33EEB" w:rsidRPr="00C33EEB" w:rsidRDefault="00C33EEB" w:rsidP="00C33EEB">
            <w:pPr>
              <w:spacing w:after="0" w:line="240" w:lineRule="auto"/>
              <w:ind w:left="0" w:right="0"/>
              <w:jc w:val="left"/>
              <w:rPr>
                <w:rFonts w:cs="Times New Roman"/>
                <w:bCs w:val="0"/>
                <w:sz w:val="18"/>
                <w:szCs w:val="18"/>
              </w:rPr>
            </w:pPr>
          </w:p>
        </w:tc>
      </w:tr>
      <w:tr w:rsidR="00C33EEB" w:rsidRPr="00C33EEB" w14:paraId="5B6E26E8" w14:textId="77777777" w:rsidTr="00C33EEB">
        <w:trPr>
          <w:trHeight w:val="300"/>
        </w:trPr>
        <w:tc>
          <w:tcPr>
            <w:tcW w:w="6804" w:type="dxa"/>
            <w:tcBorders>
              <w:top w:val="nil"/>
              <w:left w:val="nil"/>
              <w:bottom w:val="nil"/>
              <w:right w:val="nil"/>
            </w:tcBorders>
            <w:vAlign w:val="center"/>
            <w:hideMark/>
          </w:tcPr>
          <w:p w14:paraId="26F5BB59" w14:textId="77777777" w:rsidR="00C33EEB" w:rsidRPr="00C33EEB" w:rsidRDefault="00C33EEB" w:rsidP="00C33EEB">
            <w:pPr>
              <w:spacing w:after="0" w:line="240" w:lineRule="auto"/>
              <w:ind w:left="0" w:right="0"/>
              <w:jc w:val="left"/>
              <w:rPr>
                <w:rFonts w:cs="Times New Roman"/>
                <w:b/>
                <w:color w:val="000000"/>
                <w:sz w:val="18"/>
                <w:szCs w:val="18"/>
                <w:u w:val="single"/>
              </w:rPr>
            </w:pPr>
            <w:r w:rsidRPr="00C33EEB">
              <w:rPr>
                <w:rFonts w:cs="Times New Roman"/>
                <w:b/>
                <w:color w:val="000000"/>
                <w:sz w:val="18"/>
                <w:szCs w:val="18"/>
                <w:u w:val="single"/>
              </w:rPr>
              <w:t xml:space="preserve">IX. SPREMEMBA STANJA SREDSTEV NA RAČUNU </w:t>
            </w:r>
          </w:p>
        </w:tc>
        <w:tc>
          <w:tcPr>
            <w:tcW w:w="1559" w:type="dxa"/>
            <w:tcBorders>
              <w:top w:val="nil"/>
              <w:left w:val="nil"/>
              <w:bottom w:val="nil"/>
              <w:right w:val="nil"/>
            </w:tcBorders>
            <w:vAlign w:val="center"/>
            <w:hideMark/>
          </w:tcPr>
          <w:p w14:paraId="3C210FF6" w14:textId="77777777" w:rsidR="00C33EEB" w:rsidRPr="00C33EEB" w:rsidRDefault="00C33EEB" w:rsidP="00C33EEB">
            <w:pPr>
              <w:spacing w:after="0" w:line="240" w:lineRule="auto"/>
              <w:ind w:left="0" w:right="0"/>
              <w:jc w:val="right"/>
              <w:rPr>
                <w:rFonts w:cs="Times New Roman"/>
                <w:b/>
                <w:color w:val="000000"/>
                <w:sz w:val="18"/>
                <w:szCs w:val="18"/>
                <w:u w:val="single"/>
              </w:rPr>
            </w:pPr>
            <w:r w:rsidRPr="00C33EEB">
              <w:rPr>
                <w:rFonts w:cs="Times New Roman"/>
                <w:b/>
                <w:color w:val="000000"/>
                <w:sz w:val="18"/>
                <w:szCs w:val="18"/>
                <w:u w:val="single"/>
              </w:rPr>
              <w:t>1.199.359</w:t>
            </w:r>
          </w:p>
        </w:tc>
      </w:tr>
      <w:tr w:rsidR="00C33EEB" w:rsidRPr="00C33EEB" w14:paraId="64DEADB6" w14:textId="77777777" w:rsidTr="00C33EEB">
        <w:trPr>
          <w:trHeight w:val="300"/>
        </w:trPr>
        <w:tc>
          <w:tcPr>
            <w:tcW w:w="6804" w:type="dxa"/>
            <w:tcBorders>
              <w:top w:val="nil"/>
              <w:left w:val="nil"/>
              <w:bottom w:val="nil"/>
              <w:right w:val="nil"/>
            </w:tcBorders>
            <w:vAlign w:val="center"/>
            <w:hideMark/>
          </w:tcPr>
          <w:p w14:paraId="2BD78A9E" w14:textId="77777777" w:rsidR="00C33EEB" w:rsidRPr="00C33EEB" w:rsidRDefault="00C33EEB" w:rsidP="00C33EEB">
            <w:pPr>
              <w:spacing w:after="0" w:line="240" w:lineRule="auto"/>
              <w:ind w:left="0" w:right="0"/>
              <w:jc w:val="left"/>
              <w:rPr>
                <w:rFonts w:cs="Times New Roman"/>
                <w:b/>
                <w:color w:val="000000"/>
                <w:sz w:val="18"/>
                <w:szCs w:val="18"/>
                <w:u w:val="single"/>
              </w:rPr>
            </w:pPr>
            <w:r w:rsidRPr="00C33EEB">
              <w:rPr>
                <w:rFonts w:cs="Times New Roman"/>
                <w:b/>
                <w:color w:val="000000"/>
                <w:sz w:val="18"/>
                <w:szCs w:val="18"/>
                <w:u w:val="single"/>
              </w:rPr>
              <w:t>(I.+IV.+VII.-II.-V.-VIII.)</w:t>
            </w:r>
          </w:p>
        </w:tc>
        <w:tc>
          <w:tcPr>
            <w:tcW w:w="1559" w:type="dxa"/>
            <w:tcBorders>
              <w:top w:val="nil"/>
              <w:left w:val="nil"/>
              <w:bottom w:val="nil"/>
              <w:right w:val="nil"/>
            </w:tcBorders>
            <w:vAlign w:val="center"/>
            <w:hideMark/>
          </w:tcPr>
          <w:p w14:paraId="06ED9E4D" w14:textId="77777777" w:rsidR="00C33EEB" w:rsidRPr="00C33EEB" w:rsidRDefault="00C33EEB" w:rsidP="00C33EEB">
            <w:pPr>
              <w:spacing w:after="0" w:line="240" w:lineRule="auto"/>
              <w:ind w:left="0" w:right="0"/>
              <w:jc w:val="left"/>
              <w:rPr>
                <w:rFonts w:cs="Times New Roman"/>
                <w:b/>
                <w:color w:val="000000"/>
                <w:sz w:val="18"/>
                <w:szCs w:val="18"/>
                <w:u w:val="single"/>
              </w:rPr>
            </w:pPr>
          </w:p>
        </w:tc>
      </w:tr>
      <w:tr w:rsidR="00C33EEB" w:rsidRPr="00C33EEB" w14:paraId="1DD830A1" w14:textId="77777777" w:rsidTr="00C33EEB">
        <w:trPr>
          <w:trHeight w:val="300"/>
        </w:trPr>
        <w:tc>
          <w:tcPr>
            <w:tcW w:w="6804" w:type="dxa"/>
            <w:tcBorders>
              <w:top w:val="nil"/>
              <w:left w:val="nil"/>
              <w:bottom w:val="nil"/>
              <w:right w:val="nil"/>
            </w:tcBorders>
            <w:vAlign w:val="center"/>
            <w:hideMark/>
          </w:tcPr>
          <w:p w14:paraId="4DBB12BB" w14:textId="77777777" w:rsidR="00C33EEB" w:rsidRPr="00C33EEB" w:rsidRDefault="00C33EEB" w:rsidP="00C33EEB">
            <w:pPr>
              <w:spacing w:after="0" w:line="240" w:lineRule="auto"/>
              <w:ind w:left="0" w:right="0"/>
              <w:jc w:val="left"/>
              <w:rPr>
                <w:rFonts w:cs="Times New Roman"/>
                <w:b/>
                <w:color w:val="000000"/>
                <w:sz w:val="18"/>
                <w:szCs w:val="18"/>
                <w:u w:val="single"/>
              </w:rPr>
            </w:pPr>
            <w:r w:rsidRPr="00C33EEB">
              <w:rPr>
                <w:rFonts w:cs="Times New Roman"/>
                <w:b/>
                <w:color w:val="000000"/>
                <w:sz w:val="18"/>
                <w:szCs w:val="18"/>
                <w:u w:val="single"/>
              </w:rPr>
              <w:t>X. NETO ZADOLŽEVANJE (VII.-VIII.)</w:t>
            </w:r>
          </w:p>
        </w:tc>
        <w:tc>
          <w:tcPr>
            <w:tcW w:w="1559" w:type="dxa"/>
            <w:tcBorders>
              <w:top w:val="nil"/>
              <w:left w:val="nil"/>
              <w:bottom w:val="nil"/>
              <w:right w:val="nil"/>
            </w:tcBorders>
            <w:vAlign w:val="center"/>
            <w:hideMark/>
          </w:tcPr>
          <w:p w14:paraId="1CCA7431" w14:textId="77777777" w:rsidR="00C33EEB" w:rsidRPr="00C33EEB" w:rsidRDefault="00C33EEB" w:rsidP="00C33EEB">
            <w:pPr>
              <w:spacing w:after="0" w:line="240" w:lineRule="auto"/>
              <w:ind w:left="0" w:right="0"/>
              <w:jc w:val="right"/>
              <w:rPr>
                <w:rFonts w:cs="Times New Roman"/>
                <w:b/>
                <w:color w:val="000000"/>
                <w:sz w:val="18"/>
                <w:szCs w:val="18"/>
                <w:u w:val="single"/>
              </w:rPr>
            </w:pPr>
            <w:r w:rsidRPr="00C33EEB">
              <w:rPr>
                <w:rFonts w:cs="Times New Roman"/>
                <w:b/>
                <w:color w:val="000000"/>
                <w:sz w:val="18"/>
                <w:szCs w:val="18"/>
                <w:u w:val="single"/>
              </w:rPr>
              <w:t>6.727.741</w:t>
            </w:r>
          </w:p>
        </w:tc>
      </w:tr>
      <w:tr w:rsidR="00C33EEB" w:rsidRPr="00C33EEB" w14:paraId="573843A3" w14:textId="77777777" w:rsidTr="00C33EEB">
        <w:trPr>
          <w:trHeight w:val="300"/>
        </w:trPr>
        <w:tc>
          <w:tcPr>
            <w:tcW w:w="6804" w:type="dxa"/>
            <w:tcBorders>
              <w:top w:val="nil"/>
              <w:left w:val="nil"/>
              <w:bottom w:val="nil"/>
              <w:right w:val="nil"/>
            </w:tcBorders>
            <w:vAlign w:val="center"/>
            <w:hideMark/>
          </w:tcPr>
          <w:p w14:paraId="09CE4624" w14:textId="77777777" w:rsidR="00C33EEB" w:rsidRPr="00C33EEB" w:rsidRDefault="00C33EEB" w:rsidP="00C33EEB">
            <w:pPr>
              <w:spacing w:after="0" w:line="240" w:lineRule="auto"/>
              <w:ind w:left="0" w:right="0"/>
              <w:jc w:val="left"/>
              <w:rPr>
                <w:rFonts w:cs="Times New Roman"/>
                <w:b/>
                <w:color w:val="000000"/>
                <w:sz w:val="18"/>
                <w:szCs w:val="18"/>
                <w:u w:val="single"/>
              </w:rPr>
            </w:pPr>
            <w:r w:rsidRPr="00C33EEB">
              <w:rPr>
                <w:rFonts w:cs="Times New Roman"/>
                <w:b/>
                <w:color w:val="000000"/>
                <w:sz w:val="18"/>
                <w:szCs w:val="18"/>
                <w:u w:val="single"/>
              </w:rPr>
              <w:t>XI. NETO FINANCIRANJE (VI.+X.-IX.)</w:t>
            </w:r>
          </w:p>
        </w:tc>
        <w:tc>
          <w:tcPr>
            <w:tcW w:w="1559" w:type="dxa"/>
            <w:tcBorders>
              <w:top w:val="nil"/>
              <w:left w:val="nil"/>
              <w:bottom w:val="nil"/>
              <w:right w:val="nil"/>
            </w:tcBorders>
            <w:vAlign w:val="center"/>
            <w:hideMark/>
          </w:tcPr>
          <w:p w14:paraId="496588A7" w14:textId="77777777" w:rsidR="00C33EEB" w:rsidRPr="00C33EEB" w:rsidRDefault="00C33EEB" w:rsidP="00C33EEB">
            <w:pPr>
              <w:spacing w:after="0" w:line="240" w:lineRule="auto"/>
              <w:ind w:left="0" w:right="0"/>
              <w:jc w:val="right"/>
              <w:rPr>
                <w:rFonts w:cs="Times New Roman"/>
                <w:b/>
                <w:color w:val="000000"/>
                <w:sz w:val="18"/>
                <w:szCs w:val="18"/>
                <w:u w:val="single"/>
              </w:rPr>
            </w:pPr>
            <w:r w:rsidRPr="00C33EEB">
              <w:rPr>
                <w:rFonts w:cs="Times New Roman"/>
                <w:b/>
                <w:color w:val="000000"/>
                <w:sz w:val="18"/>
                <w:szCs w:val="18"/>
                <w:u w:val="single"/>
              </w:rPr>
              <w:t>5.528.489</w:t>
            </w:r>
          </w:p>
        </w:tc>
      </w:tr>
      <w:tr w:rsidR="00C33EEB" w:rsidRPr="00C33EEB" w14:paraId="07B1D8F7" w14:textId="77777777" w:rsidTr="00C33EEB">
        <w:trPr>
          <w:trHeight w:val="300"/>
        </w:trPr>
        <w:tc>
          <w:tcPr>
            <w:tcW w:w="6804" w:type="dxa"/>
            <w:tcBorders>
              <w:top w:val="nil"/>
              <w:left w:val="nil"/>
              <w:bottom w:val="nil"/>
              <w:right w:val="nil"/>
            </w:tcBorders>
            <w:vAlign w:val="center"/>
            <w:hideMark/>
          </w:tcPr>
          <w:p w14:paraId="24879D4E" w14:textId="77777777" w:rsidR="00C33EEB" w:rsidRPr="00C33EEB" w:rsidRDefault="00C33EEB" w:rsidP="00C33EEB">
            <w:pPr>
              <w:spacing w:after="0" w:line="240" w:lineRule="auto"/>
              <w:ind w:left="0" w:right="0"/>
              <w:jc w:val="left"/>
              <w:rPr>
                <w:rFonts w:cs="Times New Roman"/>
                <w:b/>
                <w:color w:val="000000"/>
                <w:sz w:val="18"/>
                <w:szCs w:val="18"/>
                <w:u w:val="single"/>
              </w:rPr>
            </w:pPr>
            <w:r w:rsidRPr="00C33EEB">
              <w:rPr>
                <w:rFonts w:cs="Times New Roman"/>
                <w:b/>
                <w:color w:val="000000"/>
                <w:sz w:val="18"/>
                <w:szCs w:val="18"/>
                <w:u w:val="single"/>
              </w:rPr>
              <w:t>XII. STANJE SREDSTEV NA RAČUNIH NA DAN 31.12. PRETEKLEGA LETA</w:t>
            </w:r>
          </w:p>
        </w:tc>
        <w:tc>
          <w:tcPr>
            <w:tcW w:w="1559" w:type="dxa"/>
            <w:tcBorders>
              <w:top w:val="nil"/>
              <w:left w:val="nil"/>
              <w:bottom w:val="nil"/>
              <w:right w:val="nil"/>
            </w:tcBorders>
            <w:vAlign w:val="center"/>
            <w:hideMark/>
          </w:tcPr>
          <w:p w14:paraId="01AA920E" w14:textId="77777777" w:rsidR="00C33EEB" w:rsidRPr="00C33EEB" w:rsidRDefault="00C33EEB" w:rsidP="00C33EEB">
            <w:pPr>
              <w:spacing w:after="0" w:line="240" w:lineRule="auto"/>
              <w:ind w:left="0" w:right="0"/>
              <w:jc w:val="right"/>
              <w:rPr>
                <w:rFonts w:cs="Times New Roman"/>
                <w:b/>
                <w:color w:val="000000"/>
                <w:sz w:val="18"/>
                <w:szCs w:val="18"/>
                <w:u w:val="single"/>
              </w:rPr>
            </w:pPr>
            <w:r w:rsidRPr="00C33EEB">
              <w:rPr>
                <w:rFonts w:cs="Times New Roman"/>
                <w:b/>
                <w:color w:val="000000"/>
                <w:sz w:val="18"/>
                <w:szCs w:val="18"/>
                <w:u w:val="single"/>
              </w:rPr>
              <w:t>511.323</w:t>
            </w:r>
          </w:p>
        </w:tc>
      </w:tr>
    </w:tbl>
    <w:p w14:paraId="0A56D86F" w14:textId="77777777" w:rsidR="007D08E7" w:rsidRPr="00EE6DE4" w:rsidRDefault="007D08E7" w:rsidP="00EE6DE4">
      <w:pPr>
        <w:jc w:val="left"/>
      </w:pPr>
    </w:p>
    <w:p w14:paraId="6BA9E1A8" w14:textId="0A25FF3E" w:rsidR="000E5815" w:rsidRDefault="00EE6DE4" w:rsidP="00EE6DE4">
      <w:pPr>
        <w:jc w:val="center"/>
      </w:pPr>
      <w:r>
        <w:t>3.</w:t>
      </w:r>
    </w:p>
    <w:p w14:paraId="7760FB1E" w14:textId="4DF520B5" w:rsidR="007D08E7" w:rsidRPr="007D08E7" w:rsidRDefault="007D08E7" w:rsidP="007D08E7">
      <w:pPr>
        <w:jc w:val="left"/>
      </w:pPr>
      <w:r w:rsidRPr="007D08E7">
        <w:t>Zaključni račun proračuna Mestne občine Nova Gorica za leto 202</w:t>
      </w:r>
      <w:r w:rsidR="00BC04B3">
        <w:t>5</w:t>
      </w:r>
      <w:r w:rsidRPr="007D08E7">
        <w:t xml:space="preserve"> se objavi v </w:t>
      </w:r>
      <w:r w:rsidRPr="00793081">
        <w:t xml:space="preserve">Uradnem listu Republike Slovenije. </w:t>
      </w:r>
      <w:r w:rsidRPr="007D08E7">
        <w:t>Splošni in posebni del, poročilo o izvajanju načrta razvojnih programov ter dodatne obrazložitve s prilogami, se objavijo na spletni strani Mestne občine Nova Gorica.</w:t>
      </w:r>
    </w:p>
    <w:p w14:paraId="7F35A8C6" w14:textId="3A12267C" w:rsidR="000E5815" w:rsidRDefault="000E5815" w:rsidP="004B0652">
      <w:pPr>
        <w:ind w:left="0"/>
        <w:rPr>
          <w:rStyle w:val="ZvezaZnak"/>
          <w:sz w:val="20"/>
          <w:u w:val="none"/>
        </w:rPr>
      </w:pPr>
    </w:p>
    <w:p w14:paraId="7D88DB35" w14:textId="5AE26DD6" w:rsidR="00352A82" w:rsidRDefault="00352A82" w:rsidP="00BE5B70">
      <w:pPr>
        <w:pStyle w:val="stevilkadokumenta"/>
        <w:rPr>
          <w:rStyle w:val="ZvezaZnak"/>
          <w:sz w:val="20"/>
          <w:u w:val="none"/>
        </w:rPr>
      </w:pPr>
      <w:r w:rsidRPr="0005678C">
        <w:rPr>
          <w:rStyle w:val="ZvezaZnak"/>
          <w:sz w:val="20"/>
          <w:u w:val="none"/>
        </w:rPr>
        <w:t xml:space="preserve">Številka: </w:t>
      </w:r>
      <w:r w:rsidR="004B0652">
        <w:rPr>
          <w:rStyle w:val="ZvezaZnak"/>
          <w:sz w:val="20"/>
          <w:u w:val="none"/>
        </w:rPr>
        <w:t>410-0002/2026</w:t>
      </w:r>
      <w:r>
        <w:rPr>
          <w:rStyle w:val="ZvezaZnak"/>
          <w:sz w:val="20"/>
          <w:u w:val="none"/>
        </w:rPr>
        <w:br/>
      </w:r>
      <w:r>
        <w:t>Nova Gorica, dne</w:t>
      </w:r>
      <w:r w:rsidRPr="0005678C">
        <w:t xml:space="preserve"> </w:t>
      </w:r>
    </w:p>
    <w:p w14:paraId="2AA2FCC7" w14:textId="6E241C97" w:rsidR="00731380" w:rsidRDefault="00731380" w:rsidP="00352A82"/>
    <w:p w14:paraId="4549E1F2" w14:textId="3E6DD13D" w:rsidR="00714788" w:rsidRDefault="00714788" w:rsidP="00352A82"/>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3CD79ED9" w14:textId="77777777" w:rsidTr="009060A3">
        <w:tc>
          <w:tcPr>
            <w:tcW w:w="3549" w:type="dxa"/>
          </w:tcPr>
          <w:p w14:paraId="3281E915" w14:textId="77777777" w:rsidR="009060A3" w:rsidRPr="00E639CC" w:rsidRDefault="009060A3" w:rsidP="009060A3">
            <w:pPr>
              <w:pStyle w:val="Podpisoseba"/>
              <w:spacing w:before="0" w:after="0"/>
              <w:rPr>
                <w:b/>
                <w:color w:val="FFFFFF" w:themeColor="background1"/>
              </w:rPr>
            </w:pPr>
            <w:r w:rsidRPr="00E639CC">
              <w:rPr>
                <w:b/>
                <w:color w:val="FFFFFF" w:themeColor="background1"/>
              </w:rPr>
              <w:t>Desnik podpisnik</w:t>
            </w:r>
          </w:p>
        </w:tc>
      </w:tr>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2FB7A1B5" w:rsidR="009060A3" w:rsidRPr="00E639CC" w:rsidRDefault="00484ECE" w:rsidP="009060A3">
            <w:pPr>
              <w:pStyle w:val="Podpisoseba"/>
              <w:spacing w:before="0" w:after="0"/>
              <w:rPr>
                <w:bCs w:val="0"/>
              </w:rPr>
            </w:pPr>
            <w:r>
              <w:t>Ž</w:t>
            </w:r>
            <w:r w:rsidR="009060A3" w:rsidRPr="00E639CC">
              <w:t>upan</w:t>
            </w:r>
          </w:p>
        </w:tc>
      </w:tr>
    </w:tbl>
    <w:p w14:paraId="1600E036" w14:textId="3AA6434C" w:rsidR="00714788" w:rsidRDefault="00714788" w:rsidP="00352A82"/>
    <w:p w14:paraId="17707F9F" w14:textId="51DCB567" w:rsidR="00714788" w:rsidRDefault="00714788" w:rsidP="00352A82"/>
    <w:p w14:paraId="6C2DE500" w14:textId="3724C442" w:rsidR="00714788" w:rsidRDefault="00714788" w:rsidP="00352A82"/>
    <w:p w14:paraId="06BE4516" w14:textId="77777777" w:rsidR="00731380" w:rsidRDefault="00731380" w:rsidP="005D78B5">
      <w:pPr>
        <w:ind w:left="0"/>
        <w:sectPr w:rsidR="00731380" w:rsidSect="00E217AD">
          <w:pgSz w:w="11906" w:h="16838"/>
          <w:pgMar w:top="1418" w:right="1418" w:bottom="1418" w:left="1418" w:header="1304" w:footer="454" w:gutter="0"/>
          <w:cols w:space="708"/>
          <w:titlePg/>
          <w:docGrid w:linePitch="360"/>
        </w:sectPr>
      </w:pPr>
    </w:p>
    <w:p w14:paraId="603D3EF9" w14:textId="3B879F7B" w:rsidR="00731380" w:rsidRPr="00484ECE" w:rsidRDefault="006B201F" w:rsidP="00484ECE">
      <w:pPr>
        <w:pStyle w:val="Nazivenote"/>
        <w:rPr>
          <w:b w:val="0"/>
          <w:bCs/>
        </w:rPr>
      </w:pPr>
      <w:r>
        <w:lastRenderedPageBreak/>
        <w:t>Urad direktorja</w:t>
      </w:r>
      <w:r w:rsidR="00731380">
        <w:br/>
      </w:r>
      <w:r w:rsidR="00731380" w:rsidRPr="008802E3">
        <w:rPr>
          <w:b w:val="0"/>
          <w:bCs/>
        </w:rPr>
        <w:t>Trg Edvarda Kardelja 1, 5000 Nova Gorica</w:t>
      </w:r>
    </w:p>
    <w:p w14:paraId="31D67305" w14:textId="6C04BC63" w:rsidR="00731380" w:rsidRPr="0066085E" w:rsidRDefault="002473C7" w:rsidP="00731380">
      <w:pPr>
        <w:pStyle w:val="Naslov1"/>
      </w:pPr>
      <w:r>
        <w:t>Obrazložitev</w:t>
      </w:r>
    </w:p>
    <w:p w14:paraId="5BF64FD1" w14:textId="50293C66" w:rsidR="00204C4F" w:rsidRPr="00204C4F" w:rsidRDefault="00204C4F" w:rsidP="00204C4F">
      <w:r w:rsidRPr="00204C4F">
        <w:t>Tretji odstavek 98. člena Zakona o javnih financah predvideva, da mora župan predložiti predlog zaključnega računa občinskega proračuna občinskemu svetu v sprejem do 15. aprila tekočega leta za preteklo leto.</w:t>
      </w:r>
    </w:p>
    <w:p w14:paraId="6EFA37F4" w14:textId="637070BB" w:rsidR="00204C4F" w:rsidRDefault="00204C4F" w:rsidP="00204C4F">
      <w:pPr>
        <w:rPr>
          <w:b/>
          <w:color w:val="2F5496" w:themeColor="accent1" w:themeShade="BF"/>
        </w:rPr>
      </w:pPr>
      <w:r w:rsidRPr="00793081">
        <w:rPr>
          <w:b/>
          <w:color w:val="2F5496" w:themeColor="accent1" w:themeShade="BF"/>
        </w:rPr>
        <w:t>Prihodki</w:t>
      </w:r>
    </w:p>
    <w:p w14:paraId="4702B143" w14:textId="7190EC6F" w:rsidR="004415C2" w:rsidRPr="004415C2" w:rsidRDefault="004415C2" w:rsidP="004415C2">
      <w:r w:rsidRPr="004415C2">
        <w:t>V letu 2025 so prihodki znašali 53,73 mio EUR, kar predstavlja 85,3 % realizacijo načrtovanih prihodkov v sprejetem proračunu za leto 2025. Skupni prihodki so bili v letu 2025 v primerjavi z letom 2024 višji za 5,88 mio EUR oz. za 12,29 %. Realizacija davčnih prihodkov je višj</w:t>
      </w:r>
      <w:r w:rsidR="0021416C">
        <w:t>a</w:t>
      </w:r>
      <w:r w:rsidRPr="004415C2">
        <w:t xml:space="preserve"> glede na preteklo leto za 7,36 %. Nedavčni prihodki so v primerjavi s predhodnim letom nižji za 16,61 %. Kapitalski prihodki so bili višji za 132,38</w:t>
      </w:r>
      <w:r w:rsidR="00710ACE">
        <w:t xml:space="preserve"> </w:t>
      </w:r>
      <w:r w:rsidRPr="004415C2">
        <w:t>% glede na leto 2024. Realizacija transfernih prihodkov je bila višja za 75,57%, realizacija prejetih sredstev iz EU pa nižja za 47,01 % glede na leto 2024.</w:t>
      </w:r>
    </w:p>
    <w:p w14:paraId="24AA8786" w14:textId="76383EC6" w:rsidR="004415C2" w:rsidRPr="004415C2" w:rsidRDefault="004415C2" w:rsidP="004415C2">
      <w:r w:rsidRPr="004415C2">
        <w:t>V strukturi realiziranih prihodkov za leto 2025 predstavljajo davčni prihodki 52,48 % vseh prihodkov. Nedavčni prihodki predstavljajo 20,60 % vseh prihodkov, kapitalski prihodki 2,27 % vseh prihodkov, prejete donacije 0,05 % vseh prihodkov, transferni prihodki 24,25 % vseh prihodkov ter prejeta sredstva iz Evropske unije 0,35 % vseh prihodkov.</w:t>
      </w:r>
    </w:p>
    <w:p w14:paraId="3D1DE37E" w14:textId="77777777" w:rsidR="004415C2" w:rsidRPr="004415C2" w:rsidRDefault="004415C2" w:rsidP="004415C2">
      <w:r w:rsidRPr="004415C2">
        <w:t xml:space="preserve">V spodnjem grafikonu je prikazan delež prihodkov v letu 2025 po virih sredstev. Iz grafikona je jasno razvidna pomembnost vpliva davčnih prihodkov na proračun občine, saj njihova realizacija predstavlja več kot polovico vseh prihodkov proračuna. </w:t>
      </w:r>
    </w:p>
    <w:p w14:paraId="68AAA349" w14:textId="29323B86" w:rsidR="00BD68A1" w:rsidRPr="00BD68A1" w:rsidRDefault="00BD68A1" w:rsidP="00BE6048">
      <w:pPr>
        <w:spacing w:after="0"/>
      </w:pPr>
      <w:r w:rsidRPr="00BD68A1">
        <w:t xml:space="preserve">Grafikon 1: </w:t>
      </w:r>
      <w:r w:rsidR="00E742A3">
        <w:t>D</w:t>
      </w:r>
      <w:r w:rsidRPr="00BD68A1">
        <w:t>elež prihodkov v letu 2025 po virih sredstev</w:t>
      </w:r>
    </w:p>
    <w:p w14:paraId="741FE157" w14:textId="4B692A51" w:rsidR="00BD68A1" w:rsidRPr="00BD68A1" w:rsidRDefault="00BD68A1" w:rsidP="00BD68A1">
      <w:pPr>
        <w:rPr>
          <w:noProof/>
        </w:rPr>
      </w:pPr>
      <w:r w:rsidRPr="003768ED">
        <w:rPr>
          <w:noProof/>
        </w:rPr>
        <w:drawing>
          <wp:inline distT="0" distB="0" distL="0" distR="0" wp14:anchorId="62C60B6E" wp14:editId="6E01448F">
            <wp:extent cx="5429250" cy="2800350"/>
            <wp:effectExtent l="0" t="0" r="0" b="0"/>
            <wp:docPr id="131672124" name="Grafikon 1">
              <a:extLst xmlns:a="http://schemas.openxmlformats.org/drawingml/2006/main">
                <a:ext uri="{FF2B5EF4-FFF2-40B4-BE49-F238E27FC236}">
                  <a16:creationId xmlns:a16="http://schemas.microsoft.com/office/drawing/2014/main" id="{ADB0D1F4-AA7D-D96F-44CE-224E0B7D1A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6B5664F" w14:textId="019B3AEF" w:rsidR="000903BA" w:rsidRPr="009B0B9A" w:rsidRDefault="00BD68A1" w:rsidP="009B0B9A">
      <w:r w:rsidRPr="00BD68A1">
        <w:lastRenderedPageBreak/>
        <w:t>Realizacija prihodkov v primerjavi z zadnjim veljavnim planom je prikazana v naslednji tabeli.</w:t>
      </w:r>
    </w:p>
    <w:p w14:paraId="7822A4C3" w14:textId="77777777" w:rsidR="000903BA" w:rsidRDefault="000903BA" w:rsidP="009B0B9A">
      <w:pPr>
        <w:spacing w:after="0"/>
      </w:pPr>
      <w:r w:rsidRPr="000903BA">
        <w:t>Tabela 1: Realizacija prihodkov v primerjavi z veljavnim proračunom</w:t>
      </w:r>
    </w:p>
    <w:tbl>
      <w:tblPr>
        <w:tblW w:w="8505" w:type="dxa"/>
        <w:tblInd w:w="704" w:type="dxa"/>
        <w:tblCellMar>
          <w:left w:w="70" w:type="dxa"/>
          <w:right w:w="70" w:type="dxa"/>
        </w:tblCellMar>
        <w:tblLook w:val="04A0" w:firstRow="1" w:lastRow="0" w:firstColumn="1" w:lastColumn="0" w:noHBand="0" w:noVBand="1"/>
      </w:tblPr>
      <w:tblGrid>
        <w:gridCol w:w="794"/>
        <w:gridCol w:w="3917"/>
        <w:gridCol w:w="1294"/>
        <w:gridCol w:w="1294"/>
        <w:gridCol w:w="1206"/>
      </w:tblGrid>
      <w:tr w:rsidR="0085162D" w:rsidRPr="0085162D" w14:paraId="4DE8E7B5" w14:textId="77777777" w:rsidTr="00D61713">
        <w:trPr>
          <w:trHeight w:val="705"/>
        </w:trPr>
        <w:tc>
          <w:tcPr>
            <w:tcW w:w="794" w:type="dxa"/>
            <w:tcBorders>
              <w:top w:val="single" w:sz="4" w:space="0" w:color="auto"/>
              <w:left w:val="single" w:sz="4" w:space="0" w:color="auto"/>
              <w:bottom w:val="single" w:sz="4" w:space="0" w:color="auto"/>
              <w:right w:val="single" w:sz="4" w:space="0" w:color="auto"/>
            </w:tcBorders>
            <w:shd w:val="clear" w:color="FFFFFF" w:fill="CCFFCC"/>
            <w:noWrap/>
            <w:vAlign w:val="center"/>
            <w:hideMark/>
          </w:tcPr>
          <w:p w14:paraId="4968CEDF" w14:textId="77777777" w:rsidR="0085162D" w:rsidRPr="0085162D" w:rsidRDefault="0085162D" w:rsidP="0085162D">
            <w:pPr>
              <w:spacing w:after="0" w:line="240" w:lineRule="auto"/>
              <w:ind w:left="0" w:right="0"/>
              <w:jc w:val="left"/>
              <w:rPr>
                <w:rFonts w:cs="Arial CE"/>
                <w:bCs w:val="0"/>
                <w:sz w:val="18"/>
                <w:szCs w:val="18"/>
              </w:rPr>
            </w:pPr>
            <w:r w:rsidRPr="0085162D">
              <w:rPr>
                <w:rFonts w:cs="Arial CE"/>
                <w:bCs w:val="0"/>
                <w:sz w:val="18"/>
                <w:szCs w:val="18"/>
              </w:rPr>
              <w:t>KONTO</w:t>
            </w:r>
          </w:p>
        </w:tc>
        <w:tc>
          <w:tcPr>
            <w:tcW w:w="3917" w:type="dxa"/>
            <w:tcBorders>
              <w:top w:val="single" w:sz="4" w:space="0" w:color="auto"/>
              <w:left w:val="nil"/>
              <w:bottom w:val="single" w:sz="4" w:space="0" w:color="auto"/>
              <w:right w:val="single" w:sz="4" w:space="0" w:color="auto"/>
            </w:tcBorders>
            <w:shd w:val="clear" w:color="FFFFFF" w:fill="CCFFCC"/>
            <w:noWrap/>
            <w:vAlign w:val="center"/>
            <w:hideMark/>
          </w:tcPr>
          <w:p w14:paraId="54D50AD1" w14:textId="77777777" w:rsidR="0085162D" w:rsidRPr="0085162D" w:rsidRDefault="0085162D" w:rsidP="0085162D">
            <w:pPr>
              <w:spacing w:after="0" w:line="240" w:lineRule="auto"/>
              <w:ind w:left="0" w:right="0"/>
              <w:jc w:val="center"/>
              <w:rPr>
                <w:rFonts w:cs="Arial CE"/>
                <w:bCs w:val="0"/>
                <w:sz w:val="18"/>
                <w:szCs w:val="18"/>
              </w:rPr>
            </w:pPr>
            <w:r w:rsidRPr="0085162D">
              <w:rPr>
                <w:rFonts w:cs="Arial CE"/>
                <w:bCs w:val="0"/>
                <w:sz w:val="18"/>
                <w:szCs w:val="18"/>
              </w:rPr>
              <w:t>OPIS</w:t>
            </w:r>
          </w:p>
        </w:tc>
        <w:tc>
          <w:tcPr>
            <w:tcW w:w="1294" w:type="dxa"/>
            <w:tcBorders>
              <w:top w:val="single" w:sz="4" w:space="0" w:color="auto"/>
              <w:left w:val="nil"/>
              <w:bottom w:val="single" w:sz="4" w:space="0" w:color="auto"/>
              <w:right w:val="single" w:sz="4" w:space="0" w:color="auto"/>
            </w:tcBorders>
            <w:shd w:val="clear" w:color="FFFFFF" w:fill="CCFFCC"/>
            <w:vAlign w:val="center"/>
            <w:hideMark/>
          </w:tcPr>
          <w:p w14:paraId="0C0CCA8C" w14:textId="77777777" w:rsidR="0085162D" w:rsidRPr="0085162D" w:rsidRDefault="0085162D" w:rsidP="0085162D">
            <w:pPr>
              <w:spacing w:after="0" w:line="240" w:lineRule="auto"/>
              <w:ind w:left="0" w:right="0"/>
              <w:jc w:val="center"/>
              <w:rPr>
                <w:rFonts w:cs="Arial CE"/>
                <w:bCs w:val="0"/>
                <w:sz w:val="18"/>
                <w:szCs w:val="18"/>
              </w:rPr>
            </w:pPr>
            <w:r w:rsidRPr="0085162D">
              <w:rPr>
                <w:rFonts w:cs="Arial CE"/>
                <w:bCs w:val="0"/>
                <w:sz w:val="18"/>
                <w:szCs w:val="18"/>
              </w:rPr>
              <w:t>Realizacija: 2025</w:t>
            </w:r>
            <w:r w:rsidRPr="0085162D">
              <w:rPr>
                <w:rFonts w:cs="Arial CE"/>
                <w:bCs w:val="0"/>
                <w:sz w:val="18"/>
                <w:szCs w:val="18"/>
              </w:rPr>
              <w:br/>
              <w:t>v EUR</w:t>
            </w:r>
          </w:p>
        </w:tc>
        <w:tc>
          <w:tcPr>
            <w:tcW w:w="1294" w:type="dxa"/>
            <w:tcBorders>
              <w:top w:val="single" w:sz="4" w:space="0" w:color="auto"/>
              <w:left w:val="nil"/>
              <w:bottom w:val="single" w:sz="4" w:space="0" w:color="auto"/>
              <w:right w:val="single" w:sz="4" w:space="0" w:color="auto"/>
            </w:tcBorders>
            <w:shd w:val="clear" w:color="FFFFFF" w:fill="CCFFCC"/>
            <w:vAlign w:val="center"/>
            <w:hideMark/>
          </w:tcPr>
          <w:p w14:paraId="61C30F6F" w14:textId="77777777" w:rsidR="0085162D" w:rsidRPr="0085162D" w:rsidRDefault="0085162D" w:rsidP="0085162D">
            <w:pPr>
              <w:spacing w:after="0" w:line="240" w:lineRule="auto"/>
              <w:ind w:left="0" w:right="0"/>
              <w:jc w:val="center"/>
              <w:rPr>
                <w:rFonts w:cs="Arial CE"/>
                <w:bCs w:val="0"/>
                <w:sz w:val="18"/>
                <w:szCs w:val="18"/>
              </w:rPr>
            </w:pPr>
            <w:r w:rsidRPr="0085162D">
              <w:rPr>
                <w:rFonts w:cs="Arial CE"/>
                <w:bCs w:val="0"/>
                <w:sz w:val="18"/>
                <w:szCs w:val="18"/>
              </w:rPr>
              <w:t>Veljavni proračun: 2025</w:t>
            </w:r>
            <w:r w:rsidRPr="0085162D">
              <w:rPr>
                <w:rFonts w:cs="Arial CE"/>
                <w:bCs w:val="0"/>
                <w:sz w:val="18"/>
                <w:szCs w:val="18"/>
              </w:rPr>
              <w:br/>
              <w:t>v EUR</w:t>
            </w:r>
          </w:p>
        </w:tc>
        <w:tc>
          <w:tcPr>
            <w:tcW w:w="1206" w:type="dxa"/>
            <w:tcBorders>
              <w:top w:val="single" w:sz="4" w:space="0" w:color="auto"/>
              <w:left w:val="nil"/>
              <w:bottom w:val="single" w:sz="4" w:space="0" w:color="auto"/>
              <w:right w:val="single" w:sz="4" w:space="0" w:color="auto"/>
            </w:tcBorders>
            <w:shd w:val="clear" w:color="FFFFFF" w:fill="CCFFCC"/>
            <w:vAlign w:val="center"/>
            <w:hideMark/>
          </w:tcPr>
          <w:p w14:paraId="13340678" w14:textId="77777777" w:rsidR="0085162D" w:rsidRPr="0085162D" w:rsidRDefault="0085162D" w:rsidP="0085162D">
            <w:pPr>
              <w:spacing w:after="0" w:line="240" w:lineRule="auto"/>
              <w:ind w:left="0" w:right="0"/>
              <w:jc w:val="center"/>
              <w:rPr>
                <w:rFonts w:cs="Arial CE"/>
                <w:bCs w:val="0"/>
                <w:sz w:val="18"/>
                <w:szCs w:val="18"/>
              </w:rPr>
            </w:pPr>
            <w:r w:rsidRPr="0085162D">
              <w:rPr>
                <w:rFonts w:cs="Arial CE"/>
                <w:bCs w:val="0"/>
                <w:sz w:val="18"/>
                <w:szCs w:val="18"/>
              </w:rPr>
              <w:t>Odstotek realizacije</w:t>
            </w:r>
          </w:p>
        </w:tc>
      </w:tr>
      <w:tr w:rsidR="0085162D" w:rsidRPr="0085162D" w14:paraId="76582536" w14:textId="77777777" w:rsidTr="00D61713">
        <w:trPr>
          <w:trHeight w:val="444"/>
        </w:trPr>
        <w:tc>
          <w:tcPr>
            <w:tcW w:w="794" w:type="dxa"/>
            <w:tcBorders>
              <w:top w:val="nil"/>
              <w:left w:val="single" w:sz="4" w:space="0" w:color="auto"/>
              <w:bottom w:val="single" w:sz="4" w:space="0" w:color="auto"/>
              <w:right w:val="single" w:sz="4" w:space="0" w:color="auto"/>
            </w:tcBorders>
            <w:noWrap/>
            <w:vAlign w:val="center"/>
            <w:hideMark/>
          </w:tcPr>
          <w:p w14:paraId="7B0DFAD8" w14:textId="77777777" w:rsidR="0085162D" w:rsidRPr="0085162D" w:rsidRDefault="0085162D" w:rsidP="0085162D">
            <w:pPr>
              <w:spacing w:after="0" w:line="240" w:lineRule="auto"/>
              <w:ind w:left="0" w:right="0"/>
              <w:jc w:val="left"/>
              <w:rPr>
                <w:rFonts w:cs="Arial CE"/>
                <w:bCs w:val="0"/>
                <w:sz w:val="18"/>
                <w:szCs w:val="18"/>
              </w:rPr>
            </w:pPr>
            <w:r w:rsidRPr="0085162D">
              <w:rPr>
                <w:rFonts w:cs="Arial CE"/>
                <w:bCs w:val="0"/>
                <w:sz w:val="18"/>
                <w:szCs w:val="18"/>
              </w:rPr>
              <w:t xml:space="preserve"> </w:t>
            </w:r>
          </w:p>
        </w:tc>
        <w:tc>
          <w:tcPr>
            <w:tcW w:w="3917" w:type="dxa"/>
            <w:tcBorders>
              <w:top w:val="nil"/>
              <w:left w:val="nil"/>
              <w:bottom w:val="single" w:sz="4" w:space="0" w:color="auto"/>
              <w:right w:val="single" w:sz="4" w:space="0" w:color="auto"/>
            </w:tcBorders>
            <w:vAlign w:val="center"/>
            <w:hideMark/>
          </w:tcPr>
          <w:p w14:paraId="625D267B" w14:textId="77777777" w:rsidR="0085162D" w:rsidRPr="0085162D" w:rsidRDefault="0085162D" w:rsidP="0085162D">
            <w:pPr>
              <w:spacing w:after="0" w:line="240" w:lineRule="auto"/>
              <w:ind w:left="0" w:right="0"/>
              <w:jc w:val="left"/>
              <w:rPr>
                <w:rFonts w:cs="Arial CE"/>
                <w:b/>
                <w:sz w:val="18"/>
                <w:szCs w:val="18"/>
              </w:rPr>
            </w:pPr>
            <w:r w:rsidRPr="0085162D">
              <w:rPr>
                <w:rFonts w:cs="Arial CE"/>
                <w:b/>
                <w:sz w:val="18"/>
                <w:szCs w:val="18"/>
              </w:rPr>
              <w:t>S K U P A J    P R I H O D K I  (70+71+72+73+74+78)</w:t>
            </w:r>
          </w:p>
        </w:tc>
        <w:tc>
          <w:tcPr>
            <w:tcW w:w="1294" w:type="dxa"/>
            <w:tcBorders>
              <w:top w:val="nil"/>
              <w:left w:val="nil"/>
              <w:bottom w:val="single" w:sz="4" w:space="0" w:color="auto"/>
              <w:right w:val="single" w:sz="4" w:space="0" w:color="auto"/>
            </w:tcBorders>
            <w:noWrap/>
            <w:vAlign w:val="center"/>
            <w:hideMark/>
          </w:tcPr>
          <w:p w14:paraId="2A9A19D2" w14:textId="77777777" w:rsidR="0085162D" w:rsidRPr="0085162D" w:rsidRDefault="0085162D" w:rsidP="0085162D">
            <w:pPr>
              <w:spacing w:after="0" w:line="240" w:lineRule="auto"/>
              <w:ind w:left="0" w:right="0"/>
              <w:jc w:val="right"/>
              <w:rPr>
                <w:rFonts w:cs="Arial CE"/>
                <w:b/>
                <w:sz w:val="18"/>
                <w:szCs w:val="18"/>
              </w:rPr>
            </w:pPr>
            <w:r w:rsidRPr="0085162D">
              <w:rPr>
                <w:rFonts w:cs="Arial CE"/>
                <w:b/>
                <w:sz w:val="18"/>
                <w:szCs w:val="18"/>
              </w:rPr>
              <w:t>53.731.911</w:t>
            </w:r>
          </w:p>
        </w:tc>
        <w:tc>
          <w:tcPr>
            <w:tcW w:w="1294" w:type="dxa"/>
            <w:tcBorders>
              <w:top w:val="nil"/>
              <w:left w:val="nil"/>
              <w:bottom w:val="single" w:sz="4" w:space="0" w:color="auto"/>
              <w:right w:val="single" w:sz="4" w:space="0" w:color="auto"/>
            </w:tcBorders>
            <w:noWrap/>
            <w:vAlign w:val="center"/>
            <w:hideMark/>
          </w:tcPr>
          <w:p w14:paraId="74DD5EA9" w14:textId="77777777" w:rsidR="0085162D" w:rsidRPr="0085162D" w:rsidRDefault="0085162D" w:rsidP="0085162D">
            <w:pPr>
              <w:spacing w:after="0" w:line="240" w:lineRule="auto"/>
              <w:ind w:left="0" w:right="0"/>
              <w:jc w:val="right"/>
              <w:rPr>
                <w:rFonts w:cs="Arial CE"/>
                <w:b/>
                <w:sz w:val="18"/>
                <w:szCs w:val="18"/>
              </w:rPr>
            </w:pPr>
            <w:r w:rsidRPr="0085162D">
              <w:rPr>
                <w:rFonts w:cs="Arial CE"/>
                <w:b/>
                <w:sz w:val="18"/>
                <w:szCs w:val="18"/>
              </w:rPr>
              <w:t>62.966.121</w:t>
            </w:r>
          </w:p>
        </w:tc>
        <w:tc>
          <w:tcPr>
            <w:tcW w:w="1206" w:type="dxa"/>
            <w:tcBorders>
              <w:top w:val="nil"/>
              <w:left w:val="nil"/>
              <w:bottom w:val="single" w:sz="4" w:space="0" w:color="auto"/>
              <w:right w:val="single" w:sz="4" w:space="0" w:color="auto"/>
            </w:tcBorders>
            <w:noWrap/>
            <w:vAlign w:val="center"/>
            <w:hideMark/>
          </w:tcPr>
          <w:p w14:paraId="6B855D46" w14:textId="77777777" w:rsidR="0085162D" w:rsidRPr="0085162D" w:rsidRDefault="0085162D" w:rsidP="0085162D">
            <w:pPr>
              <w:spacing w:after="0" w:line="240" w:lineRule="auto"/>
              <w:ind w:left="0" w:right="0"/>
              <w:jc w:val="right"/>
              <w:rPr>
                <w:rFonts w:cs="Arial CE"/>
                <w:b/>
                <w:sz w:val="18"/>
                <w:szCs w:val="18"/>
              </w:rPr>
            </w:pPr>
            <w:r w:rsidRPr="0085162D">
              <w:rPr>
                <w:rFonts w:cs="Arial CE"/>
                <w:b/>
                <w:sz w:val="18"/>
                <w:szCs w:val="18"/>
              </w:rPr>
              <w:t>85,33</w:t>
            </w:r>
          </w:p>
        </w:tc>
      </w:tr>
      <w:tr w:rsidR="0085162D" w:rsidRPr="0085162D" w14:paraId="1EDFE39B" w14:textId="77777777" w:rsidTr="00D61713">
        <w:trPr>
          <w:trHeight w:val="174"/>
        </w:trPr>
        <w:tc>
          <w:tcPr>
            <w:tcW w:w="794" w:type="dxa"/>
            <w:tcBorders>
              <w:top w:val="nil"/>
              <w:left w:val="single" w:sz="4" w:space="0" w:color="auto"/>
              <w:bottom w:val="single" w:sz="4" w:space="0" w:color="auto"/>
              <w:right w:val="single" w:sz="4" w:space="0" w:color="auto"/>
            </w:tcBorders>
            <w:noWrap/>
            <w:vAlign w:val="center"/>
            <w:hideMark/>
          </w:tcPr>
          <w:p w14:paraId="2E988047" w14:textId="77777777" w:rsidR="0085162D" w:rsidRPr="0085162D" w:rsidRDefault="0085162D" w:rsidP="0085162D">
            <w:pPr>
              <w:spacing w:after="0" w:line="240" w:lineRule="auto"/>
              <w:ind w:left="0" w:right="0"/>
              <w:jc w:val="left"/>
              <w:rPr>
                <w:rFonts w:cs="Arial CE"/>
                <w:bCs w:val="0"/>
                <w:sz w:val="18"/>
                <w:szCs w:val="18"/>
              </w:rPr>
            </w:pPr>
            <w:r w:rsidRPr="0085162D">
              <w:rPr>
                <w:rFonts w:cs="Arial CE"/>
                <w:bCs w:val="0"/>
                <w:sz w:val="18"/>
                <w:szCs w:val="18"/>
              </w:rPr>
              <w:t> </w:t>
            </w:r>
          </w:p>
        </w:tc>
        <w:tc>
          <w:tcPr>
            <w:tcW w:w="3917" w:type="dxa"/>
            <w:tcBorders>
              <w:top w:val="nil"/>
              <w:left w:val="nil"/>
              <w:bottom w:val="single" w:sz="4" w:space="0" w:color="auto"/>
              <w:right w:val="single" w:sz="4" w:space="0" w:color="auto"/>
            </w:tcBorders>
            <w:noWrap/>
            <w:vAlign w:val="center"/>
            <w:hideMark/>
          </w:tcPr>
          <w:p w14:paraId="2B7E00C8" w14:textId="77777777" w:rsidR="0085162D" w:rsidRPr="0085162D" w:rsidRDefault="0085162D" w:rsidP="0085162D">
            <w:pPr>
              <w:spacing w:after="0" w:line="240" w:lineRule="auto"/>
              <w:ind w:left="0" w:right="0"/>
              <w:jc w:val="left"/>
              <w:rPr>
                <w:rFonts w:cs="Arial CE"/>
                <w:bCs w:val="0"/>
                <w:sz w:val="18"/>
                <w:szCs w:val="18"/>
              </w:rPr>
            </w:pPr>
            <w:r w:rsidRPr="0085162D">
              <w:rPr>
                <w:rFonts w:cs="Arial CE"/>
                <w:bCs w:val="0"/>
                <w:sz w:val="18"/>
                <w:szCs w:val="18"/>
              </w:rPr>
              <w:t>TEKOČI PRIHODKI  (70+71)</w:t>
            </w:r>
          </w:p>
        </w:tc>
        <w:tc>
          <w:tcPr>
            <w:tcW w:w="1294" w:type="dxa"/>
            <w:tcBorders>
              <w:top w:val="nil"/>
              <w:left w:val="nil"/>
              <w:bottom w:val="single" w:sz="4" w:space="0" w:color="auto"/>
              <w:right w:val="single" w:sz="4" w:space="0" w:color="auto"/>
            </w:tcBorders>
            <w:noWrap/>
            <w:vAlign w:val="center"/>
            <w:hideMark/>
          </w:tcPr>
          <w:p w14:paraId="1BF0BC18"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39.266.844</w:t>
            </w:r>
          </w:p>
        </w:tc>
        <w:tc>
          <w:tcPr>
            <w:tcW w:w="1294" w:type="dxa"/>
            <w:tcBorders>
              <w:top w:val="nil"/>
              <w:left w:val="nil"/>
              <w:bottom w:val="single" w:sz="4" w:space="0" w:color="auto"/>
              <w:right w:val="single" w:sz="4" w:space="0" w:color="auto"/>
            </w:tcBorders>
            <w:noWrap/>
            <w:vAlign w:val="center"/>
            <w:hideMark/>
          </w:tcPr>
          <w:p w14:paraId="7D6CAA79"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40.422.208</w:t>
            </w:r>
          </w:p>
        </w:tc>
        <w:tc>
          <w:tcPr>
            <w:tcW w:w="1206" w:type="dxa"/>
            <w:tcBorders>
              <w:top w:val="nil"/>
              <w:left w:val="nil"/>
              <w:bottom w:val="single" w:sz="4" w:space="0" w:color="auto"/>
              <w:right w:val="single" w:sz="4" w:space="0" w:color="auto"/>
            </w:tcBorders>
            <w:noWrap/>
            <w:vAlign w:val="center"/>
            <w:hideMark/>
          </w:tcPr>
          <w:p w14:paraId="4CD4E848"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97,14</w:t>
            </w:r>
          </w:p>
        </w:tc>
      </w:tr>
      <w:tr w:rsidR="0085162D" w:rsidRPr="0085162D" w14:paraId="15D73300" w14:textId="77777777" w:rsidTr="00D61713">
        <w:trPr>
          <w:trHeight w:val="174"/>
        </w:trPr>
        <w:tc>
          <w:tcPr>
            <w:tcW w:w="794" w:type="dxa"/>
            <w:tcBorders>
              <w:top w:val="nil"/>
              <w:left w:val="single" w:sz="4" w:space="0" w:color="auto"/>
              <w:bottom w:val="single" w:sz="4" w:space="0" w:color="auto"/>
              <w:right w:val="single" w:sz="4" w:space="0" w:color="auto"/>
            </w:tcBorders>
            <w:shd w:val="clear" w:color="000000" w:fill="BFBFBF"/>
            <w:noWrap/>
            <w:vAlign w:val="center"/>
            <w:hideMark/>
          </w:tcPr>
          <w:p w14:paraId="0E2B75CC"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70</w:t>
            </w:r>
          </w:p>
        </w:tc>
        <w:tc>
          <w:tcPr>
            <w:tcW w:w="3917" w:type="dxa"/>
            <w:tcBorders>
              <w:top w:val="nil"/>
              <w:left w:val="nil"/>
              <w:bottom w:val="single" w:sz="4" w:space="0" w:color="auto"/>
              <w:right w:val="single" w:sz="4" w:space="0" w:color="auto"/>
            </w:tcBorders>
            <w:shd w:val="clear" w:color="000000" w:fill="BFBFBF"/>
            <w:noWrap/>
            <w:vAlign w:val="center"/>
            <w:hideMark/>
          </w:tcPr>
          <w:p w14:paraId="3452C756" w14:textId="77777777" w:rsidR="0085162D" w:rsidRPr="0085162D" w:rsidRDefault="0085162D" w:rsidP="0085162D">
            <w:pPr>
              <w:spacing w:after="0" w:line="240" w:lineRule="auto"/>
              <w:ind w:left="0" w:right="0"/>
              <w:jc w:val="left"/>
              <w:rPr>
                <w:rFonts w:cs="Arial CE"/>
                <w:bCs w:val="0"/>
                <w:sz w:val="18"/>
                <w:szCs w:val="18"/>
              </w:rPr>
            </w:pPr>
            <w:r w:rsidRPr="0085162D">
              <w:rPr>
                <w:rFonts w:cs="Arial CE"/>
                <w:bCs w:val="0"/>
                <w:sz w:val="18"/>
                <w:szCs w:val="18"/>
              </w:rPr>
              <w:t xml:space="preserve">DAVČNI PRIHODKI  (700+703+704+706)     </w:t>
            </w:r>
          </w:p>
        </w:tc>
        <w:tc>
          <w:tcPr>
            <w:tcW w:w="1294" w:type="dxa"/>
            <w:tcBorders>
              <w:top w:val="nil"/>
              <w:left w:val="nil"/>
              <w:bottom w:val="single" w:sz="4" w:space="0" w:color="auto"/>
              <w:right w:val="single" w:sz="4" w:space="0" w:color="auto"/>
            </w:tcBorders>
            <w:shd w:val="clear" w:color="000000" w:fill="BFBFBF"/>
            <w:noWrap/>
            <w:vAlign w:val="center"/>
            <w:hideMark/>
          </w:tcPr>
          <w:p w14:paraId="66B5F8DE"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28.198.528</w:t>
            </w:r>
          </w:p>
        </w:tc>
        <w:tc>
          <w:tcPr>
            <w:tcW w:w="1294" w:type="dxa"/>
            <w:tcBorders>
              <w:top w:val="nil"/>
              <w:left w:val="nil"/>
              <w:bottom w:val="single" w:sz="4" w:space="0" w:color="auto"/>
              <w:right w:val="single" w:sz="4" w:space="0" w:color="auto"/>
            </w:tcBorders>
            <w:shd w:val="clear" w:color="000000" w:fill="BFBFBF"/>
            <w:noWrap/>
            <w:vAlign w:val="center"/>
            <w:hideMark/>
          </w:tcPr>
          <w:p w14:paraId="6E19598D"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28.168.072</w:t>
            </w:r>
          </w:p>
        </w:tc>
        <w:tc>
          <w:tcPr>
            <w:tcW w:w="1206" w:type="dxa"/>
            <w:tcBorders>
              <w:top w:val="nil"/>
              <w:left w:val="nil"/>
              <w:bottom w:val="single" w:sz="4" w:space="0" w:color="auto"/>
              <w:right w:val="single" w:sz="4" w:space="0" w:color="auto"/>
            </w:tcBorders>
            <w:shd w:val="clear" w:color="000000" w:fill="BFBFBF"/>
            <w:noWrap/>
            <w:vAlign w:val="center"/>
            <w:hideMark/>
          </w:tcPr>
          <w:p w14:paraId="5D8D6E8E"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100,11</w:t>
            </w:r>
          </w:p>
        </w:tc>
      </w:tr>
      <w:tr w:rsidR="0085162D" w:rsidRPr="0085162D" w14:paraId="099E6AF0" w14:textId="77777777" w:rsidTr="00D61713">
        <w:trPr>
          <w:trHeight w:val="215"/>
        </w:trPr>
        <w:tc>
          <w:tcPr>
            <w:tcW w:w="794" w:type="dxa"/>
            <w:tcBorders>
              <w:top w:val="nil"/>
              <w:left w:val="single" w:sz="4" w:space="0" w:color="auto"/>
              <w:bottom w:val="single" w:sz="4" w:space="0" w:color="auto"/>
              <w:right w:val="single" w:sz="4" w:space="0" w:color="auto"/>
            </w:tcBorders>
            <w:noWrap/>
            <w:vAlign w:val="center"/>
            <w:hideMark/>
          </w:tcPr>
          <w:p w14:paraId="7BCC52AD"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700</w:t>
            </w:r>
          </w:p>
        </w:tc>
        <w:tc>
          <w:tcPr>
            <w:tcW w:w="3917" w:type="dxa"/>
            <w:tcBorders>
              <w:top w:val="nil"/>
              <w:left w:val="nil"/>
              <w:bottom w:val="single" w:sz="4" w:space="0" w:color="auto"/>
              <w:right w:val="single" w:sz="4" w:space="0" w:color="auto"/>
            </w:tcBorders>
            <w:noWrap/>
            <w:vAlign w:val="center"/>
            <w:hideMark/>
          </w:tcPr>
          <w:p w14:paraId="688CA238" w14:textId="77777777" w:rsidR="0085162D" w:rsidRPr="0085162D" w:rsidRDefault="0085162D" w:rsidP="0085162D">
            <w:pPr>
              <w:spacing w:after="0" w:line="240" w:lineRule="auto"/>
              <w:ind w:left="0" w:right="0"/>
              <w:jc w:val="left"/>
              <w:rPr>
                <w:rFonts w:cs="Arial CE"/>
                <w:bCs w:val="0"/>
                <w:sz w:val="18"/>
                <w:szCs w:val="18"/>
              </w:rPr>
            </w:pPr>
            <w:r w:rsidRPr="0085162D">
              <w:rPr>
                <w:rFonts w:cs="Arial CE"/>
                <w:bCs w:val="0"/>
                <w:sz w:val="18"/>
                <w:szCs w:val="18"/>
              </w:rPr>
              <w:t>DAVKI NA DOHODEK IN DOBIČEK</w:t>
            </w:r>
          </w:p>
        </w:tc>
        <w:tc>
          <w:tcPr>
            <w:tcW w:w="1294" w:type="dxa"/>
            <w:tcBorders>
              <w:top w:val="nil"/>
              <w:left w:val="nil"/>
              <w:bottom w:val="single" w:sz="4" w:space="0" w:color="auto"/>
              <w:right w:val="single" w:sz="4" w:space="0" w:color="auto"/>
            </w:tcBorders>
            <w:noWrap/>
            <w:vAlign w:val="center"/>
            <w:hideMark/>
          </w:tcPr>
          <w:p w14:paraId="7638236B"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22.819.472</w:t>
            </w:r>
          </w:p>
        </w:tc>
        <w:tc>
          <w:tcPr>
            <w:tcW w:w="1294" w:type="dxa"/>
            <w:tcBorders>
              <w:top w:val="nil"/>
              <w:left w:val="nil"/>
              <w:bottom w:val="single" w:sz="4" w:space="0" w:color="auto"/>
              <w:right w:val="single" w:sz="4" w:space="0" w:color="auto"/>
            </w:tcBorders>
            <w:noWrap/>
            <w:vAlign w:val="center"/>
            <w:hideMark/>
          </w:tcPr>
          <w:p w14:paraId="62B3C158"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22.819.472</w:t>
            </w:r>
          </w:p>
        </w:tc>
        <w:tc>
          <w:tcPr>
            <w:tcW w:w="1206" w:type="dxa"/>
            <w:tcBorders>
              <w:top w:val="nil"/>
              <w:left w:val="nil"/>
              <w:bottom w:val="single" w:sz="4" w:space="0" w:color="auto"/>
              <w:right w:val="single" w:sz="4" w:space="0" w:color="auto"/>
            </w:tcBorders>
            <w:shd w:val="clear" w:color="000000" w:fill="FFFFFF"/>
            <w:noWrap/>
            <w:vAlign w:val="center"/>
            <w:hideMark/>
          </w:tcPr>
          <w:p w14:paraId="250D4861"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100,00</w:t>
            </w:r>
          </w:p>
        </w:tc>
      </w:tr>
      <w:tr w:rsidR="0085162D" w:rsidRPr="0085162D" w14:paraId="5CF29AC0" w14:textId="77777777" w:rsidTr="00D61713">
        <w:trPr>
          <w:trHeight w:val="174"/>
        </w:trPr>
        <w:tc>
          <w:tcPr>
            <w:tcW w:w="794" w:type="dxa"/>
            <w:tcBorders>
              <w:top w:val="nil"/>
              <w:left w:val="single" w:sz="4" w:space="0" w:color="auto"/>
              <w:bottom w:val="single" w:sz="4" w:space="0" w:color="auto"/>
              <w:right w:val="single" w:sz="4" w:space="0" w:color="auto"/>
            </w:tcBorders>
            <w:noWrap/>
            <w:vAlign w:val="center"/>
            <w:hideMark/>
          </w:tcPr>
          <w:p w14:paraId="1D79276C"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703</w:t>
            </w:r>
          </w:p>
        </w:tc>
        <w:tc>
          <w:tcPr>
            <w:tcW w:w="3917" w:type="dxa"/>
            <w:tcBorders>
              <w:top w:val="nil"/>
              <w:left w:val="nil"/>
              <w:bottom w:val="single" w:sz="4" w:space="0" w:color="auto"/>
              <w:right w:val="single" w:sz="4" w:space="0" w:color="auto"/>
            </w:tcBorders>
            <w:noWrap/>
            <w:vAlign w:val="center"/>
            <w:hideMark/>
          </w:tcPr>
          <w:p w14:paraId="4BEA107B" w14:textId="77777777" w:rsidR="0085162D" w:rsidRPr="0085162D" w:rsidRDefault="0085162D" w:rsidP="0085162D">
            <w:pPr>
              <w:spacing w:after="0" w:line="240" w:lineRule="auto"/>
              <w:ind w:left="0" w:right="0"/>
              <w:jc w:val="left"/>
              <w:rPr>
                <w:rFonts w:cs="Arial CE"/>
                <w:bCs w:val="0"/>
                <w:sz w:val="18"/>
                <w:szCs w:val="18"/>
              </w:rPr>
            </w:pPr>
            <w:r w:rsidRPr="0085162D">
              <w:rPr>
                <w:rFonts w:cs="Arial CE"/>
                <w:bCs w:val="0"/>
                <w:sz w:val="18"/>
                <w:szCs w:val="18"/>
              </w:rPr>
              <w:t>DAVKI NA PREMOŽENJE</w:t>
            </w:r>
          </w:p>
        </w:tc>
        <w:tc>
          <w:tcPr>
            <w:tcW w:w="1294" w:type="dxa"/>
            <w:tcBorders>
              <w:top w:val="nil"/>
              <w:left w:val="nil"/>
              <w:bottom w:val="single" w:sz="4" w:space="0" w:color="auto"/>
              <w:right w:val="single" w:sz="4" w:space="0" w:color="auto"/>
            </w:tcBorders>
            <w:noWrap/>
            <w:vAlign w:val="center"/>
            <w:hideMark/>
          </w:tcPr>
          <w:p w14:paraId="6D872C00"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4.412.612</w:t>
            </w:r>
          </w:p>
        </w:tc>
        <w:tc>
          <w:tcPr>
            <w:tcW w:w="1294" w:type="dxa"/>
            <w:tcBorders>
              <w:top w:val="nil"/>
              <w:left w:val="nil"/>
              <w:bottom w:val="single" w:sz="4" w:space="0" w:color="auto"/>
              <w:right w:val="single" w:sz="4" w:space="0" w:color="auto"/>
            </w:tcBorders>
            <w:noWrap/>
            <w:vAlign w:val="center"/>
            <w:hideMark/>
          </w:tcPr>
          <w:p w14:paraId="75AFFCB9"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4.510.600</w:t>
            </w:r>
          </w:p>
        </w:tc>
        <w:tc>
          <w:tcPr>
            <w:tcW w:w="1206" w:type="dxa"/>
            <w:tcBorders>
              <w:top w:val="nil"/>
              <w:left w:val="nil"/>
              <w:bottom w:val="single" w:sz="4" w:space="0" w:color="auto"/>
              <w:right w:val="single" w:sz="4" w:space="0" w:color="auto"/>
            </w:tcBorders>
            <w:noWrap/>
            <w:vAlign w:val="center"/>
            <w:hideMark/>
          </w:tcPr>
          <w:p w14:paraId="7B7F47CE"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97,83</w:t>
            </w:r>
          </w:p>
        </w:tc>
      </w:tr>
      <w:tr w:rsidR="0085162D" w:rsidRPr="0085162D" w14:paraId="6CBCE69E" w14:textId="77777777" w:rsidTr="00D61713">
        <w:trPr>
          <w:trHeight w:val="174"/>
        </w:trPr>
        <w:tc>
          <w:tcPr>
            <w:tcW w:w="794" w:type="dxa"/>
            <w:tcBorders>
              <w:top w:val="nil"/>
              <w:left w:val="single" w:sz="4" w:space="0" w:color="auto"/>
              <w:bottom w:val="single" w:sz="4" w:space="0" w:color="auto"/>
              <w:right w:val="single" w:sz="4" w:space="0" w:color="auto"/>
            </w:tcBorders>
            <w:noWrap/>
            <w:vAlign w:val="center"/>
            <w:hideMark/>
          </w:tcPr>
          <w:p w14:paraId="6227ADC3"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704</w:t>
            </w:r>
          </w:p>
        </w:tc>
        <w:tc>
          <w:tcPr>
            <w:tcW w:w="3917" w:type="dxa"/>
            <w:tcBorders>
              <w:top w:val="nil"/>
              <w:left w:val="nil"/>
              <w:bottom w:val="single" w:sz="4" w:space="0" w:color="auto"/>
              <w:right w:val="single" w:sz="4" w:space="0" w:color="auto"/>
            </w:tcBorders>
            <w:noWrap/>
            <w:vAlign w:val="center"/>
            <w:hideMark/>
          </w:tcPr>
          <w:p w14:paraId="2741EEE7" w14:textId="77777777" w:rsidR="0085162D" w:rsidRPr="0085162D" w:rsidRDefault="0085162D" w:rsidP="0085162D">
            <w:pPr>
              <w:spacing w:after="0" w:line="240" w:lineRule="auto"/>
              <w:ind w:left="0" w:right="0"/>
              <w:jc w:val="left"/>
              <w:rPr>
                <w:rFonts w:cs="Arial CE"/>
                <w:bCs w:val="0"/>
                <w:sz w:val="18"/>
                <w:szCs w:val="18"/>
              </w:rPr>
            </w:pPr>
            <w:r w:rsidRPr="0085162D">
              <w:rPr>
                <w:rFonts w:cs="Arial CE"/>
                <w:bCs w:val="0"/>
                <w:sz w:val="18"/>
                <w:szCs w:val="18"/>
              </w:rPr>
              <w:t>DOMAČI DAVKI NA BLAGO IN STORITVE</w:t>
            </w:r>
          </w:p>
        </w:tc>
        <w:tc>
          <w:tcPr>
            <w:tcW w:w="1294" w:type="dxa"/>
            <w:tcBorders>
              <w:top w:val="nil"/>
              <w:left w:val="nil"/>
              <w:bottom w:val="single" w:sz="4" w:space="0" w:color="auto"/>
              <w:right w:val="single" w:sz="4" w:space="0" w:color="auto"/>
            </w:tcBorders>
            <w:noWrap/>
            <w:vAlign w:val="center"/>
            <w:hideMark/>
          </w:tcPr>
          <w:p w14:paraId="2776DE53"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965.314</w:t>
            </w:r>
          </w:p>
        </w:tc>
        <w:tc>
          <w:tcPr>
            <w:tcW w:w="1294" w:type="dxa"/>
            <w:tcBorders>
              <w:top w:val="nil"/>
              <w:left w:val="nil"/>
              <w:bottom w:val="single" w:sz="4" w:space="0" w:color="auto"/>
              <w:right w:val="single" w:sz="4" w:space="0" w:color="auto"/>
            </w:tcBorders>
            <w:noWrap/>
            <w:vAlign w:val="center"/>
            <w:hideMark/>
          </w:tcPr>
          <w:p w14:paraId="163BD7CB"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838.000</w:t>
            </w:r>
          </w:p>
        </w:tc>
        <w:tc>
          <w:tcPr>
            <w:tcW w:w="1206" w:type="dxa"/>
            <w:tcBorders>
              <w:top w:val="nil"/>
              <w:left w:val="nil"/>
              <w:bottom w:val="single" w:sz="4" w:space="0" w:color="auto"/>
              <w:right w:val="single" w:sz="4" w:space="0" w:color="auto"/>
            </w:tcBorders>
            <w:noWrap/>
            <w:vAlign w:val="center"/>
            <w:hideMark/>
          </w:tcPr>
          <w:p w14:paraId="10D23EB9"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115,19</w:t>
            </w:r>
          </w:p>
        </w:tc>
      </w:tr>
      <w:tr w:rsidR="0085162D" w:rsidRPr="0085162D" w14:paraId="76F3E9D5" w14:textId="77777777" w:rsidTr="00D61713">
        <w:trPr>
          <w:trHeight w:val="174"/>
        </w:trPr>
        <w:tc>
          <w:tcPr>
            <w:tcW w:w="794" w:type="dxa"/>
            <w:tcBorders>
              <w:top w:val="nil"/>
              <w:left w:val="single" w:sz="4" w:space="0" w:color="auto"/>
              <w:bottom w:val="single" w:sz="4" w:space="0" w:color="auto"/>
              <w:right w:val="single" w:sz="4" w:space="0" w:color="auto"/>
            </w:tcBorders>
            <w:noWrap/>
            <w:vAlign w:val="center"/>
            <w:hideMark/>
          </w:tcPr>
          <w:p w14:paraId="25E82A12"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706</w:t>
            </w:r>
          </w:p>
        </w:tc>
        <w:tc>
          <w:tcPr>
            <w:tcW w:w="3917" w:type="dxa"/>
            <w:tcBorders>
              <w:top w:val="nil"/>
              <w:left w:val="nil"/>
              <w:bottom w:val="single" w:sz="4" w:space="0" w:color="auto"/>
              <w:right w:val="single" w:sz="4" w:space="0" w:color="auto"/>
            </w:tcBorders>
            <w:noWrap/>
            <w:vAlign w:val="center"/>
            <w:hideMark/>
          </w:tcPr>
          <w:p w14:paraId="56A2B2F4" w14:textId="77777777" w:rsidR="0085162D" w:rsidRPr="0085162D" w:rsidRDefault="0085162D" w:rsidP="0085162D">
            <w:pPr>
              <w:spacing w:after="0" w:line="240" w:lineRule="auto"/>
              <w:ind w:left="0" w:right="0"/>
              <w:jc w:val="left"/>
              <w:rPr>
                <w:rFonts w:cs="Arial CE"/>
                <w:bCs w:val="0"/>
                <w:sz w:val="18"/>
                <w:szCs w:val="18"/>
              </w:rPr>
            </w:pPr>
            <w:r w:rsidRPr="0085162D">
              <w:rPr>
                <w:rFonts w:cs="Arial CE"/>
                <w:bCs w:val="0"/>
                <w:sz w:val="18"/>
                <w:szCs w:val="18"/>
              </w:rPr>
              <w:t>DRUGI DAVKI</w:t>
            </w:r>
          </w:p>
        </w:tc>
        <w:tc>
          <w:tcPr>
            <w:tcW w:w="1294" w:type="dxa"/>
            <w:tcBorders>
              <w:top w:val="nil"/>
              <w:left w:val="nil"/>
              <w:bottom w:val="single" w:sz="4" w:space="0" w:color="auto"/>
              <w:right w:val="single" w:sz="4" w:space="0" w:color="auto"/>
            </w:tcBorders>
            <w:noWrap/>
            <w:vAlign w:val="center"/>
            <w:hideMark/>
          </w:tcPr>
          <w:p w14:paraId="3AB8203E"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1.130</w:t>
            </w:r>
          </w:p>
        </w:tc>
        <w:tc>
          <w:tcPr>
            <w:tcW w:w="1294" w:type="dxa"/>
            <w:tcBorders>
              <w:top w:val="nil"/>
              <w:left w:val="nil"/>
              <w:bottom w:val="single" w:sz="4" w:space="0" w:color="auto"/>
              <w:right w:val="single" w:sz="4" w:space="0" w:color="auto"/>
            </w:tcBorders>
            <w:noWrap/>
            <w:vAlign w:val="center"/>
            <w:hideMark/>
          </w:tcPr>
          <w:p w14:paraId="44B9D00D"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0</w:t>
            </w:r>
          </w:p>
        </w:tc>
        <w:tc>
          <w:tcPr>
            <w:tcW w:w="1206" w:type="dxa"/>
            <w:tcBorders>
              <w:top w:val="nil"/>
              <w:left w:val="nil"/>
              <w:bottom w:val="single" w:sz="4" w:space="0" w:color="auto"/>
              <w:right w:val="single" w:sz="4" w:space="0" w:color="auto"/>
            </w:tcBorders>
            <w:noWrap/>
            <w:vAlign w:val="center"/>
            <w:hideMark/>
          </w:tcPr>
          <w:p w14:paraId="276F6149" w14:textId="77777777" w:rsidR="0085162D" w:rsidRPr="0085162D" w:rsidRDefault="0085162D" w:rsidP="0085162D">
            <w:pPr>
              <w:spacing w:after="0" w:line="240" w:lineRule="auto"/>
              <w:ind w:left="0" w:right="0"/>
              <w:jc w:val="left"/>
              <w:rPr>
                <w:rFonts w:cs="Arial CE"/>
                <w:bCs w:val="0"/>
                <w:sz w:val="18"/>
                <w:szCs w:val="18"/>
              </w:rPr>
            </w:pPr>
            <w:r w:rsidRPr="0085162D">
              <w:rPr>
                <w:rFonts w:cs="Arial CE"/>
                <w:bCs w:val="0"/>
                <w:sz w:val="18"/>
                <w:szCs w:val="18"/>
              </w:rPr>
              <w:t> </w:t>
            </w:r>
          </w:p>
        </w:tc>
      </w:tr>
      <w:tr w:rsidR="0085162D" w:rsidRPr="0085162D" w14:paraId="210B974F" w14:textId="77777777" w:rsidTr="00D61713">
        <w:trPr>
          <w:trHeight w:val="174"/>
        </w:trPr>
        <w:tc>
          <w:tcPr>
            <w:tcW w:w="794" w:type="dxa"/>
            <w:tcBorders>
              <w:top w:val="nil"/>
              <w:left w:val="single" w:sz="4" w:space="0" w:color="auto"/>
              <w:bottom w:val="single" w:sz="4" w:space="0" w:color="auto"/>
              <w:right w:val="single" w:sz="4" w:space="0" w:color="auto"/>
            </w:tcBorders>
            <w:shd w:val="clear" w:color="000000" w:fill="BFBFBF"/>
            <w:noWrap/>
            <w:vAlign w:val="center"/>
            <w:hideMark/>
          </w:tcPr>
          <w:p w14:paraId="065E990D"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71</w:t>
            </w:r>
          </w:p>
        </w:tc>
        <w:tc>
          <w:tcPr>
            <w:tcW w:w="3917" w:type="dxa"/>
            <w:tcBorders>
              <w:top w:val="nil"/>
              <w:left w:val="nil"/>
              <w:bottom w:val="single" w:sz="4" w:space="0" w:color="auto"/>
              <w:right w:val="single" w:sz="4" w:space="0" w:color="auto"/>
            </w:tcBorders>
            <w:shd w:val="clear" w:color="000000" w:fill="BFBFBF"/>
            <w:noWrap/>
            <w:vAlign w:val="center"/>
            <w:hideMark/>
          </w:tcPr>
          <w:p w14:paraId="7622472F" w14:textId="77777777" w:rsidR="0085162D" w:rsidRPr="0085162D" w:rsidRDefault="0085162D" w:rsidP="0085162D">
            <w:pPr>
              <w:spacing w:after="0" w:line="240" w:lineRule="auto"/>
              <w:ind w:left="0" w:right="0"/>
              <w:jc w:val="left"/>
              <w:rPr>
                <w:rFonts w:cs="Arial CE"/>
                <w:bCs w:val="0"/>
                <w:sz w:val="18"/>
                <w:szCs w:val="18"/>
              </w:rPr>
            </w:pPr>
            <w:r w:rsidRPr="0085162D">
              <w:rPr>
                <w:rFonts w:cs="Arial CE"/>
                <w:bCs w:val="0"/>
                <w:sz w:val="18"/>
                <w:szCs w:val="18"/>
              </w:rPr>
              <w:t>NEDAVČNI  PRIHODKI  (710+711+712+713+714)</w:t>
            </w:r>
          </w:p>
        </w:tc>
        <w:tc>
          <w:tcPr>
            <w:tcW w:w="1294" w:type="dxa"/>
            <w:tcBorders>
              <w:top w:val="nil"/>
              <w:left w:val="nil"/>
              <w:bottom w:val="single" w:sz="4" w:space="0" w:color="auto"/>
              <w:right w:val="single" w:sz="4" w:space="0" w:color="auto"/>
            </w:tcBorders>
            <w:shd w:val="clear" w:color="000000" w:fill="BFBFBF"/>
            <w:noWrap/>
            <w:vAlign w:val="center"/>
            <w:hideMark/>
          </w:tcPr>
          <w:p w14:paraId="1C11D082"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11.068.316</w:t>
            </w:r>
          </w:p>
        </w:tc>
        <w:tc>
          <w:tcPr>
            <w:tcW w:w="1294" w:type="dxa"/>
            <w:tcBorders>
              <w:top w:val="nil"/>
              <w:left w:val="nil"/>
              <w:bottom w:val="single" w:sz="4" w:space="0" w:color="auto"/>
              <w:right w:val="single" w:sz="4" w:space="0" w:color="auto"/>
            </w:tcBorders>
            <w:shd w:val="clear" w:color="000000" w:fill="BFBFBF"/>
            <w:noWrap/>
            <w:vAlign w:val="center"/>
            <w:hideMark/>
          </w:tcPr>
          <w:p w14:paraId="7278DD92"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12.254.136</w:t>
            </w:r>
          </w:p>
        </w:tc>
        <w:tc>
          <w:tcPr>
            <w:tcW w:w="1206" w:type="dxa"/>
            <w:tcBorders>
              <w:top w:val="nil"/>
              <w:left w:val="nil"/>
              <w:bottom w:val="single" w:sz="4" w:space="0" w:color="auto"/>
              <w:right w:val="single" w:sz="4" w:space="0" w:color="auto"/>
            </w:tcBorders>
            <w:shd w:val="clear" w:color="000000" w:fill="BFBFBF"/>
            <w:noWrap/>
            <w:vAlign w:val="center"/>
            <w:hideMark/>
          </w:tcPr>
          <w:p w14:paraId="21D91BC8"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90,32</w:t>
            </w:r>
          </w:p>
        </w:tc>
      </w:tr>
      <w:tr w:rsidR="0085162D" w:rsidRPr="0085162D" w14:paraId="1121E8A5" w14:textId="77777777" w:rsidTr="00D61713">
        <w:trPr>
          <w:trHeight w:val="174"/>
        </w:trPr>
        <w:tc>
          <w:tcPr>
            <w:tcW w:w="794" w:type="dxa"/>
            <w:tcBorders>
              <w:top w:val="nil"/>
              <w:left w:val="single" w:sz="4" w:space="0" w:color="auto"/>
              <w:bottom w:val="single" w:sz="4" w:space="0" w:color="auto"/>
              <w:right w:val="single" w:sz="4" w:space="0" w:color="auto"/>
            </w:tcBorders>
            <w:noWrap/>
            <w:vAlign w:val="center"/>
            <w:hideMark/>
          </w:tcPr>
          <w:p w14:paraId="54B86865"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710</w:t>
            </w:r>
          </w:p>
        </w:tc>
        <w:tc>
          <w:tcPr>
            <w:tcW w:w="3917" w:type="dxa"/>
            <w:tcBorders>
              <w:top w:val="nil"/>
              <w:left w:val="nil"/>
              <w:bottom w:val="single" w:sz="4" w:space="0" w:color="auto"/>
              <w:right w:val="single" w:sz="4" w:space="0" w:color="auto"/>
            </w:tcBorders>
            <w:noWrap/>
            <w:vAlign w:val="center"/>
            <w:hideMark/>
          </w:tcPr>
          <w:p w14:paraId="4189DB75" w14:textId="77777777" w:rsidR="0085162D" w:rsidRPr="0085162D" w:rsidRDefault="0085162D" w:rsidP="0085162D">
            <w:pPr>
              <w:spacing w:after="0" w:line="240" w:lineRule="auto"/>
              <w:ind w:left="0" w:right="0"/>
              <w:jc w:val="left"/>
              <w:rPr>
                <w:rFonts w:cs="Arial CE"/>
                <w:bCs w:val="0"/>
                <w:sz w:val="18"/>
                <w:szCs w:val="18"/>
              </w:rPr>
            </w:pPr>
            <w:r w:rsidRPr="0085162D">
              <w:rPr>
                <w:rFonts w:cs="Arial CE"/>
                <w:bCs w:val="0"/>
                <w:sz w:val="18"/>
                <w:szCs w:val="18"/>
              </w:rPr>
              <w:t xml:space="preserve">UDELEŽBA NA DOBIČKU IN DOHODKI OD PREMOŽENJA </w:t>
            </w:r>
          </w:p>
        </w:tc>
        <w:tc>
          <w:tcPr>
            <w:tcW w:w="1294" w:type="dxa"/>
            <w:tcBorders>
              <w:top w:val="nil"/>
              <w:left w:val="nil"/>
              <w:bottom w:val="single" w:sz="4" w:space="0" w:color="auto"/>
              <w:right w:val="single" w:sz="4" w:space="0" w:color="auto"/>
            </w:tcBorders>
            <w:noWrap/>
            <w:vAlign w:val="center"/>
            <w:hideMark/>
          </w:tcPr>
          <w:p w14:paraId="60B4FF81"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9.488.814</w:t>
            </w:r>
          </w:p>
        </w:tc>
        <w:tc>
          <w:tcPr>
            <w:tcW w:w="1294" w:type="dxa"/>
            <w:tcBorders>
              <w:top w:val="nil"/>
              <w:left w:val="nil"/>
              <w:bottom w:val="single" w:sz="4" w:space="0" w:color="auto"/>
              <w:right w:val="single" w:sz="4" w:space="0" w:color="auto"/>
            </w:tcBorders>
            <w:noWrap/>
            <w:vAlign w:val="center"/>
            <w:hideMark/>
          </w:tcPr>
          <w:p w14:paraId="1ABAD633"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9.296.775</w:t>
            </w:r>
          </w:p>
        </w:tc>
        <w:tc>
          <w:tcPr>
            <w:tcW w:w="1206" w:type="dxa"/>
            <w:tcBorders>
              <w:top w:val="nil"/>
              <w:left w:val="nil"/>
              <w:bottom w:val="single" w:sz="4" w:space="0" w:color="auto"/>
              <w:right w:val="single" w:sz="4" w:space="0" w:color="auto"/>
            </w:tcBorders>
            <w:noWrap/>
            <w:vAlign w:val="center"/>
            <w:hideMark/>
          </w:tcPr>
          <w:p w14:paraId="0CB8304E"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102,07</w:t>
            </w:r>
          </w:p>
        </w:tc>
      </w:tr>
      <w:tr w:rsidR="0085162D" w:rsidRPr="0085162D" w14:paraId="47D27980" w14:textId="77777777" w:rsidTr="00D61713">
        <w:trPr>
          <w:trHeight w:val="174"/>
        </w:trPr>
        <w:tc>
          <w:tcPr>
            <w:tcW w:w="794" w:type="dxa"/>
            <w:tcBorders>
              <w:top w:val="nil"/>
              <w:left w:val="single" w:sz="4" w:space="0" w:color="auto"/>
              <w:bottom w:val="single" w:sz="4" w:space="0" w:color="auto"/>
              <w:right w:val="single" w:sz="4" w:space="0" w:color="auto"/>
            </w:tcBorders>
            <w:noWrap/>
            <w:vAlign w:val="center"/>
            <w:hideMark/>
          </w:tcPr>
          <w:p w14:paraId="5CE6C048"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711</w:t>
            </w:r>
          </w:p>
        </w:tc>
        <w:tc>
          <w:tcPr>
            <w:tcW w:w="3917" w:type="dxa"/>
            <w:tcBorders>
              <w:top w:val="nil"/>
              <w:left w:val="nil"/>
              <w:bottom w:val="single" w:sz="4" w:space="0" w:color="auto"/>
              <w:right w:val="single" w:sz="4" w:space="0" w:color="auto"/>
            </w:tcBorders>
            <w:noWrap/>
            <w:vAlign w:val="center"/>
            <w:hideMark/>
          </w:tcPr>
          <w:p w14:paraId="1B6B68CB" w14:textId="77777777" w:rsidR="0085162D" w:rsidRPr="0085162D" w:rsidRDefault="0085162D" w:rsidP="0085162D">
            <w:pPr>
              <w:spacing w:after="0" w:line="240" w:lineRule="auto"/>
              <w:ind w:left="0" w:right="0"/>
              <w:jc w:val="left"/>
              <w:rPr>
                <w:rFonts w:cs="Arial CE"/>
                <w:bCs w:val="0"/>
                <w:sz w:val="18"/>
                <w:szCs w:val="18"/>
              </w:rPr>
            </w:pPr>
            <w:r w:rsidRPr="0085162D">
              <w:rPr>
                <w:rFonts w:cs="Arial CE"/>
                <w:bCs w:val="0"/>
                <w:sz w:val="18"/>
                <w:szCs w:val="18"/>
              </w:rPr>
              <w:t>TAKSE IN PRISTOJBINE</w:t>
            </w:r>
          </w:p>
        </w:tc>
        <w:tc>
          <w:tcPr>
            <w:tcW w:w="1294" w:type="dxa"/>
            <w:tcBorders>
              <w:top w:val="nil"/>
              <w:left w:val="nil"/>
              <w:bottom w:val="single" w:sz="4" w:space="0" w:color="auto"/>
              <w:right w:val="single" w:sz="4" w:space="0" w:color="auto"/>
            </w:tcBorders>
            <w:noWrap/>
            <w:vAlign w:val="center"/>
            <w:hideMark/>
          </w:tcPr>
          <w:p w14:paraId="029FF709"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38.786</w:t>
            </w:r>
          </w:p>
        </w:tc>
        <w:tc>
          <w:tcPr>
            <w:tcW w:w="1294" w:type="dxa"/>
            <w:tcBorders>
              <w:top w:val="nil"/>
              <w:left w:val="nil"/>
              <w:bottom w:val="single" w:sz="4" w:space="0" w:color="auto"/>
              <w:right w:val="single" w:sz="4" w:space="0" w:color="auto"/>
            </w:tcBorders>
            <w:noWrap/>
            <w:vAlign w:val="center"/>
            <w:hideMark/>
          </w:tcPr>
          <w:p w14:paraId="4DD4CC17"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35.000</w:t>
            </w:r>
          </w:p>
        </w:tc>
        <w:tc>
          <w:tcPr>
            <w:tcW w:w="1206" w:type="dxa"/>
            <w:tcBorders>
              <w:top w:val="nil"/>
              <w:left w:val="nil"/>
              <w:bottom w:val="single" w:sz="4" w:space="0" w:color="auto"/>
              <w:right w:val="single" w:sz="4" w:space="0" w:color="auto"/>
            </w:tcBorders>
            <w:noWrap/>
            <w:vAlign w:val="center"/>
            <w:hideMark/>
          </w:tcPr>
          <w:p w14:paraId="77A6748F"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110,82</w:t>
            </w:r>
          </w:p>
        </w:tc>
      </w:tr>
      <w:tr w:rsidR="0085162D" w:rsidRPr="0085162D" w14:paraId="32203188" w14:textId="77777777" w:rsidTr="00D61713">
        <w:trPr>
          <w:trHeight w:val="174"/>
        </w:trPr>
        <w:tc>
          <w:tcPr>
            <w:tcW w:w="794" w:type="dxa"/>
            <w:tcBorders>
              <w:top w:val="nil"/>
              <w:left w:val="single" w:sz="4" w:space="0" w:color="auto"/>
              <w:bottom w:val="single" w:sz="4" w:space="0" w:color="auto"/>
              <w:right w:val="single" w:sz="4" w:space="0" w:color="auto"/>
            </w:tcBorders>
            <w:noWrap/>
            <w:vAlign w:val="center"/>
            <w:hideMark/>
          </w:tcPr>
          <w:p w14:paraId="708BFE89"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712</w:t>
            </w:r>
          </w:p>
        </w:tc>
        <w:tc>
          <w:tcPr>
            <w:tcW w:w="3917" w:type="dxa"/>
            <w:tcBorders>
              <w:top w:val="nil"/>
              <w:left w:val="nil"/>
              <w:bottom w:val="single" w:sz="4" w:space="0" w:color="auto"/>
              <w:right w:val="single" w:sz="4" w:space="0" w:color="auto"/>
            </w:tcBorders>
            <w:noWrap/>
            <w:vAlign w:val="center"/>
            <w:hideMark/>
          </w:tcPr>
          <w:p w14:paraId="45B0C235" w14:textId="77777777" w:rsidR="0085162D" w:rsidRPr="0085162D" w:rsidRDefault="0085162D" w:rsidP="0085162D">
            <w:pPr>
              <w:spacing w:after="0" w:line="240" w:lineRule="auto"/>
              <w:ind w:left="0" w:right="0"/>
              <w:jc w:val="left"/>
              <w:rPr>
                <w:rFonts w:cs="Arial CE"/>
                <w:bCs w:val="0"/>
                <w:sz w:val="18"/>
                <w:szCs w:val="18"/>
              </w:rPr>
            </w:pPr>
            <w:r w:rsidRPr="0085162D">
              <w:rPr>
                <w:rFonts w:cs="Arial CE"/>
                <w:bCs w:val="0"/>
                <w:sz w:val="18"/>
                <w:szCs w:val="18"/>
              </w:rPr>
              <w:t xml:space="preserve">GLOBE IN DRUGE DENARNE KAZNI </w:t>
            </w:r>
          </w:p>
        </w:tc>
        <w:tc>
          <w:tcPr>
            <w:tcW w:w="1294" w:type="dxa"/>
            <w:tcBorders>
              <w:top w:val="nil"/>
              <w:left w:val="nil"/>
              <w:bottom w:val="single" w:sz="4" w:space="0" w:color="auto"/>
              <w:right w:val="single" w:sz="4" w:space="0" w:color="auto"/>
            </w:tcBorders>
            <w:noWrap/>
            <w:vAlign w:val="center"/>
            <w:hideMark/>
          </w:tcPr>
          <w:p w14:paraId="29174F96"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174.604</w:t>
            </w:r>
          </w:p>
        </w:tc>
        <w:tc>
          <w:tcPr>
            <w:tcW w:w="1294" w:type="dxa"/>
            <w:tcBorders>
              <w:top w:val="nil"/>
              <w:left w:val="nil"/>
              <w:bottom w:val="single" w:sz="4" w:space="0" w:color="auto"/>
              <w:right w:val="single" w:sz="4" w:space="0" w:color="auto"/>
            </w:tcBorders>
            <w:noWrap/>
            <w:vAlign w:val="center"/>
            <w:hideMark/>
          </w:tcPr>
          <w:p w14:paraId="7E54E948"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110.000</w:t>
            </w:r>
          </w:p>
        </w:tc>
        <w:tc>
          <w:tcPr>
            <w:tcW w:w="1206" w:type="dxa"/>
            <w:tcBorders>
              <w:top w:val="nil"/>
              <w:left w:val="nil"/>
              <w:bottom w:val="single" w:sz="4" w:space="0" w:color="auto"/>
              <w:right w:val="single" w:sz="4" w:space="0" w:color="auto"/>
            </w:tcBorders>
            <w:noWrap/>
            <w:vAlign w:val="center"/>
            <w:hideMark/>
          </w:tcPr>
          <w:p w14:paraId="1A866D6A"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158,73</w:t>
            </w:r>
          </w:p>
        </w:tc>
      </w:tr>
      <w:tr w:rsidR="0085162D" w:rsidRPr="0085162D" w14:paraId="48D4C3FA" w14:textId="77777777" w:rsidTr="00D61713">
        <w:trPr>
          <w:trHeight w:val="174"/>
        </w:trPr>
        <w:tc>
          <w:tcPr>
            <w:tcW w:w="794" w:type="dxa"/>
            <w:tcBorders>
              <w:top w:val="nil"/>
              <w:left w:val="single" w:sz="4" w:space="0" w:color="auto"/>
              <w:bottom w:val="single" w:sz="4" w:space="0" w:color="auto"/>
              <w:right w:val="single" w:sz="4" w:space="0" w:color="auto"/>
            </w:tcBorders>
            <w:noWrap/>
            <w:vAlign w:val="center"/>
            <w:hideMark/>
          </w:tcPr>
          <w:p w14:paraId="181906D3"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713</w:t>
            </w:r>
          </w:p>
        </w:tc>
        <w:tc>
          <w:tcPr>
            <w:tcW w:w="3917" w:type="dxa"/>
            <w:tcBorders>
              <w:top w:val="nil"/>
              <w:left w:val="nil"/>
              <w:bottom w:val="single" w:sz="4" w:space="0" w:color="auto"/>
              <w:right w:val="single" w:sz="4" w:space="0" w:color="auto"/>
            </w:tcBorders>
            <w:noWrap/>
            <w:vAlign w:val="center"/>
            <w:hideMark/>
          </w:tcPr>
          <w:p w14:paraId="13278D05" w14:textId="77777777" w:rsidR="0085162D" w:rsidRPr="0085162D" w:rsidRDefault="0085162D" w:rsidP="0085162D">
            <w:pPr>
              <w:spacing w:after="0" w:line="240" w:lineRule="auto"/>
              <w:ind w:left="0" w:right="0"/>
              <w:jc w:val="left"/>
              <w:rPr>
                <w:rFonts w:cs="Arial CE"/>
                <w:bCs w:val="0"/>
                <w:sz w:val="18"/>
                <w:szCs w:val="18"/>
              </w:rPr>
            </w:pPr>
            <w:r w:rsidRPr="0085162D">
              <w:rPr>
                <w:rFonts w:cs="Arial CE"/>
                <w:bCs w:val="0"/>
                <w:sz w:val="18"/>
                <w:szCs w:val="18"/>
              </w:rPr>
              <w:t>PRIHODKI OD PRODAJE BLAGA IN STORITEV</w:t>
            </w:r>
          </w:p>
        </w:tc>
        <w:tc>
          <w:tcPr>
            <w:tcW w:w="1294" w:type="dxa"/>
            <w:tcBorders>
              <w:top w:val="nil"/>
              <w:left w:val="nil"/>
              <w:bottom w:val="single" w:sz="4" w:space="0" w:color="auto"/>
              <w:right w:val="single" w:sz="4" w:space="0" w:color="auto"/>
            </w:tcBorders>
            <w:noWrap/>
            <w:vAlign w:val="center"/>
            <w:hideMark/>
          </w:tcPr>
          <w:p w14:paraId="6F59AD6A"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552.010</w:t>
            </w:r>
          </w:p>
        </w:tc>
        <w:tc>
          <w:tcPr>
            <w:tcW w:w="1294" w:type="dxa"/>
            <w:tcBorders>
              <w:top w:val="nil"/>
              <w:left w:val="nil"/>
              <w:bottom w:val="single" w:sz="4" w:space="0" w:color="auto"/>
              <w:right w:val="single" w:sz="4" w:space="0" w:color="auto"/>
            </w:tcBorders>
            <w:noWrap/>
            <w:vAlign w:val="center"/>
            <w:hideMark/>
          </w:tcPr>
          <w:p w14:paraId="5E5EA8FA"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984.300</w:t>
            </w:r>
          </w:p>
        </w:tc>
        <w:tc>
          <w:tcPr>
            <w:tcW w:w="1206" w:type="dxa"/>
            <w:tcBorders>
              <w:top w:val="nil"/>
              <w:left w:val="nil"/>
              <w:bottom w:val="single" w:sz="4" w:space="0" w:color="auto"/>
              <w:right w:val="single" w:sz="4" w:space="0" w:color="auto"/>
            </w:tcBorders>
            <w:noWrap/>
            <w:vAlign w:val="center"/>
            <w:hideMark/>
          </w:tcPr>
          <w:p w14:paraId="70856731"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56,08</w:t>
            </w:r>
          </w:p>
        </w:tc>
      </w:tr>
      <w:tr w:rsidR="0085162D" w:rsidRPr="0085162D" w14:paraId="029DA56E" w14:textId="77777777" w:rsidTr="00D61713">
        <w:trPr>
          <w:trHeight w:val="174"/>
        </w:trPr>
        <w:tc>
          <w:tcPr>
            <w:tcW w:w="794" w:type="dxa"/>
            <w:tcBorders>
              <w:top w:val="nil"/>
              <w:left w:val="single" w:sz="4" w:space="0" w:color="auto"/>
              <w:bottom w:val="single" w:sz="4" w:space="0" w:color="auto"/>
              <w:right w:val="single" w:sz="4" w:space="0" w:color="auto"/>
            </w:tcBorders>
            <w:noWrap/>
            <w:vAlign w:val="center"/>
            <w:hideMark/>
          </w:tcPr>
          <w:p w14:paraId="256F2D5B"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714</w:t>
            </w:r>
          </w:p>
        </w:tc>
        <w:tc>
          <w:tcPr>
            <w:tcW w:w="3917" w:type="dxa"/>
            <w:tcBorders>
              <w:top w:val="nil"/>
              <w:left w:val="nil"/>
              <w:bottom w:val="single" w:sz="4" w:space="0" w:color="auto"/>
              <w:right w:val="single" w:sz="4" w:space="0" w:color="auto"/>
            </w:tcBorders>
            <w:noWrap/>
            <w:vAlign w:val="center"/>
            <w:hideMark/>
          </w:tcPr>
          <w:p w14:paraId="352BC63D" w14:textId="77777777" w:rsidR="0085162D" w:rsidRPr="0085162D" w:rsidRDefault="0085162D" w:rsidP="0085162D">
            <w:pPr>
              <w:spacing w:after="0" w:line="240" w:lineRule="auto"/>
              <w:ind w:left="0" w:right="0"/>
              <w:jc w:val="left"/>
              <w:rPr>
                <w:rFonts w:cs="Arial CE"/>
                <w:bCs w:val="0"/>
                <w:sz w:val="18"/>
                <w:szCs w:val="18"/>
              </w:rPr>
            </w:pPr>
            <w:r w:rsidRPr="0085162D">
              <w:rPr>
                <w:rFonts w:cs="Arial CE"/>
                <w:bCs w:val="0"/>
                <w:sz w:val="18"/>
                <w:szCs w:val="18"/>
              </w:rPr>
              <w:t>DRUGI NEDAVČNI PRIHODKI</w:t>
            </w:r>
          </w:p>
        </w:tc>
        <w:tc>
          <w:tcPr>
            <w:tcW w:w="1294" w:type="dxa"/>
            <w:tcBorders>
              <w:top w:val="nil"/>
              <w:left w:val="nil"/>
              <w:bottom w:val="single" w:sz="4" w:space="0" w:color="auto"/>
              <w:right w:val="single" w:sz="4" w:space="0" w:color="auto"/>
            </w:tcBorders>
            <w:noWrap/>
            <w:vAlign w:val="center"/>
            <w:hideMark/>
          </w:tcPr>
          <w:p w14:paraId="6B60E541"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814.102</w:t>
            </w:r>
          </w:p>
        </w:tc>
        <w:tc>
          <w:tcPr>
            <w:tcW w:w="1294" w:type="dxa"/>
            <w:tcBorders>
              <w:top w:val="nil"/>
              <w:left w:val="nil"/>
              <w:bottom w:val="single" w:sz="4" w:space="0" w:color="auto"/>
              <w:right w:val="single" w:sz="4" w:space="0" w:color="auto"/>
            </w:tcBorders>
            <w:noWrap/>
            <w:vAlign w:val="center"/>
            <w:hideMark/>
          </w:tcPr>
          <w:p w14:paraId="7F47D94F"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1.828.061</w:t>
            </w:r>
          </w:p>
        </w:tc>
        <w:tc>
          <w:tcPr>
            <w:tcW w:w="1206" w:type="dxa"/>
            <w:tcBorders>
              <w:top w:val="nil"/>
              <w:left w:val="nil"/>
              <w:bottom w:val="single" w:sz="4" w:space="0" w:color="auto"/>
              <w:right w:val="single" w:sz="4" w:space="0" w:color="auto"/>
            </w:tcBorders>
            <w:noWrap/>
            <w:vAlign w:val="center"/>
            <w:hideMark/>
          </w:tcPr>
          <w:p w14:paraId="02689EB8"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44,53</w:t>
            </w:r>
          </w:p>
        </w:tc>
      </w:tr>
      <w:tr w:rsidR="0085162D" w:rsidRPr="0085162D" w14:paraId="3CD2F84F" w14:textId="77777777" w:rsidTr="00D61713">
        <w:trPr>
          <w:trHeight w:val="174"/>
        </w:trPr>
        <w:tc>
          <w:tcPr>
            <w:tcW w:w="794" w:type="dxa"/>
            <w:tcBorders>
              <w:top w:val="nil"/>
              <w:left w:val="single" w:sz="4" w:space="0" w:color="auto"/>
              <w:bottom w:val="single" w:sz="4" w:space="0" w:color="auto"/>
              <w:right w:val="single" w:sz="4" w:space="0" w:color="auto"/>
            </w:tcBorders>
            <w:shd w:val="clear" w:color="000000" w:fill="BFBFBF"/>
            <w:noWrap/>
            <w:vAlign w:val="center"/>
            <w:hideMark/>
          </w:tcPr>
          <w:p w14:paraId="74E0235C"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72</w:t>
            </w:r>
          </w:p>
        </w:tc>
        <w:tc>
          <w:tcPr>
            <w:tcW w:w="3917" w:type="dxa"/>
            <w:tcBorders>
              <w:top w:val="nil"/>
              <w:left w:val="nil"/>
              <w:bottom w:val="single" w:sz="4" w:space="0" w:color="auto"/>
              <w:right w:val="single" w:sz="4" w:space="0" w:color="auto"/>
            </w:tcBorders>
            <w:shd w:val="clear" w:color="000000" w:fill="BFBFBF"/>
            <w:noWrap/>
            <w:vAlign w:val="center"/>
            <w:hideMark/>
          </w:tcPr>
          <w:p w14:paraId="55B96C50" w14:textId="77777777" w:rsidR="0085162D" w:rsidRPr="0085162D" w:rsidRDefault="0085162D" w:rsidP="0085162D">
            <w:pPr>
              <w:spacing w:after="0" w:line="240" w:lineRule="auto"/>
              <w:ind w:left="0" w:right="0"/>
              <w:jc w:val="left"/>
              <w:rPr>
                <w:rFonts w:cs="Arial CE"/>
                <w:bCs w:val="0"/>
                <w:sz w:val="18"/>
                <w:szCs w:val="18"/>
              </w:rPr>
            </w:pPr>
            <w:r w:rsidRPr="0085162D">
              <w:rPr>
                <w:rFonts w:cs="Arial CE"/>
                <w:bCs w:val="0"/>
                <w:sz w:val="18"/>
                <w:szCs w:val="18"/>
              </w:rPr>
              <w:t>KAPITALSKI PRIHODKI  (720+721+722)</w:t>
            </w:r>
          </w:p>
        </w:tc>
        <w:tc>
          <w:tcPr>
            <w:tcW w:w="1294" w:type="dxa"/>
            <w:tcBorders>
              <w:top w:val="nil"/>
              <w:left w:val="nil"/>
              <w:bottom w:val="single" w:sz="4" w:space="0" w:color="auto"/>
              <w:right w:val="single" w:sz="4" w:space="0" w:color="auto"/>
            </w:tcBorders>
            <w:shd w:val="clear" w:color="000000" w:fill="BFBFBF"/>
            <w:noWrap/>
            <w:vAlign w:val="center"/>
            <w:hideMark/>
          </w:tcPr>
          <w:p w14:paraId="457D20FD"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1.221.308</w:t>
            </w:r>
          </w:p>
        </w:tc>
        <w:tc>
          <w:tcPr>
            <w:tcW w:w="1294" w:type="dxa"/>
            <w:tcBorders>
              <w:top w:val="nil"/>
              <w:left w:val="nil"/>
              <w:bottom w:val="single" w:sz="4" w:space="0" w:color="auto"/>
              <w:right w:val="single" w:sz="4" w:space="0" w:color="auto"/>
            </w:tcBorders>
            <w:shd w:val="clear" w:color="000000" w:fill="BFBFBF"/>
            <w:noWrap/>
            <w:vAlign w:val="center"/>
            <w:hideMark/>
          </w:tcPr>
          <w:p w14:paraId="6C676146"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4.987.700</w:t>
            </w:r>
          </w:p>
        </w:tc>
        <w:tc>
          <w:tcPr>
            <w:tcW w:w="1206" w:type="dxa"/>
            <w:tcBorders>
              <w:top w:val="nil"/>
              <w:left w:val="nil"/>
              <w:bottom w:val="single" w:sz="4" w:space="0" w:color="auto"/>
              <w:right w:val="single" w:sz="4" w:space="0" w:color="auto"/>
            </w:tcBorders>
            <w:shd w:val="clear" w:color="000000" w:fill="BFBFBF"/>
            <w:noWrap/>
            <w:vAlign w:val="center"/>
            <w:hideMark/>
          </w:tcPr>
          <w:p w14:paraId="550BB2B0"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24,49</w:t>
            </w:r>
          </w:p>
        </w:tc>
      </w:tr>
      <w:tr w:rsidR="0085162D" w:rsidRPr="0085162D" w14:paraId="1C15A101" w14:textId="77777777" w:rsidTr="00D61713">
        <w:trPr>
          <w:trHeight w:val="174"/>
        </w:trPr>
        <w:tc>
          <w:tcPr>
            <w:tcW w:w="794" w:type="dxa"/>
            <w:tcBorders>
              <w:top w:val="nil"/>
              <w:left w:val="single" w:sz="4" w:space="0" w:color="auto"/>
              <w:bottom w:val="single" w:sz="4" w:space="0" w:color="auto"/>
              <w:right w:val="single" w:sz="4" w:space="0" w:color="auto"/>
            </w:tcBorders>
            <w:noWrap/>
            <w:vAlign w:val="center"/>
            <w:hideMark/>
          </w:tcPr>
          <w:p w14:paraId="048CB789"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720</w:t>
            </w:r>
          </w:p>
        </w:tc>
        <w:tc>
          <w:tcPr>
            <w:tcW w:w="3917" w:type="dxa"/>
            <w:tcBorders>
              <w:top w:val="nil"/>
              <w:left w:val="nil"/>
              <w:bottom w:val="single" w:sz="4" w:space="0" w:color="auto"/>
              <w:right w:val="single" w:sz="4" w:space="0" w:color="auto"/>
            </w:tcBorders>
            <w:noWrap/>
            <w:vAlign w:val="center"/>
            <w:hideMark/>
          </w:tcPr>
          <w:p w14:paraId="2569A52A" w14:textId="77777777" w:rsidR="0085162D" w:rsidRPr="0085162D" w:rsidRDefault="0085162D" w:rsidP="0085162D">
            <w:pPr>
              <w:spacing w:after="0" w:line="240" w:lineRule="auto"/>
              <w:ind w:left="0" w:right="0"/>
              <w:jc w:val="left"/>
              <w:rPr>
                <w:rFonts w:cs="Arial CE"/>
                <w:bCs w:val="0"/>
                <w:sz w:val="18"/>
                <w:szCs w:val="18"/>
              </w:rPr>
            </w:pPr>
            <w:r w:rsidRPr="0085162D">
              <w:rPr>
                <w:rFonts w:cs="Arial CE"/>
                <w:bCs w:val="0"/>
                <w:sz w:val="18"/>
                <w:szCs w:val="18"/>
              </w:rPr>
              <w:t>PRIHODKI OD PRODAJE OSNOVNIH SREDSTEV</w:t>
            </w:r>
          </w:p>
        </w:tc>
        <w:tc>
          <w:tcPr>
            <w:tcW w:w="1294" w:type="dxa"/>
            <w:tcBorders>
              <w:top w:val="nil"/>
              <w:left w:val="nil"/>
              <w:bottom w:val="single" w:sz="4" w:space="0" w:color="auto"/>
              <w:right w:val="single" w:sz="4" w:space="0" w:color="auto"/>
            </w:tcBorders>
            <w:noWrap/>
            <w:vAlign w:val="center"/>
            <w:hideMark/>
          </w:tcPr>
          <w:p w14:paraId="60F1FE0B"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439.000</w:t>
            </w:r>
          </w:p>
        </w:tc>
        <w:tc>
          <w:tcPr>
            <w:tcW w:w="1294" w:type="dxa"/>
            <w:tcBorders>
              <w:top w:val="nil"/>
              <w:left w:val="nil"/>
              <w:bottom w:val="single" w:sz="4" w:space="0" w:color="auto"/>
              <w:right w:val="single" w:sz="4" w:space="0" w:color="auto"/>
            </w:tcBorders>
            <w:noWrap/>
            <w:vAlign w:val="center"/>
            <w:hideMark/>
          </w:tcPr>
          <w:p w14:paraId="3EABD845"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3.000.000</w:t>
            </w:r>
          </w:p>
        </w:tc>
        <w:tc>
          <w:tcPr>
            <w:tcW w:w="1206" w:type="dxa"/>
            <w:tcBorders>
              <w:top w:val="nil"/>
              <w:left w:val="nil"/>
              <w:bottom w:val="single" w:sz="4" w:space="0" w:color="auto"/>
              <w:right w:val="single" w:sz="4" w:space="0" w:color="auto"/>
            </w:tcBorders>
            <w:noWrap/>
            <w:vAlign w:val="center"/>
            <w:hideMark/>
          </w:tcPr>
          <w:p w14:paraId="61949499"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14,63</w:t>
            </w:r>
          </w:p>
        </w:tc>
      </w:tr>
      <w:tr w:rsidR="0085162D" w:rsidRPr="0085162D" w14:paraId="61A9926D" w14:textId="77777777" w:rsidTr="00D61713">
        <w:trPr>
          <w:trHeight w:val="433"/>
        </w:trPr>
        <w:tc>
          <w:tcPr>
            <w:tcW w:w="794" w:type="dxa"/>
            <w:tcBorders>
              <w:top w:val="nil"/>
              <w:left w:val="single" w:sz="4" w:space="0" w:color="auto"/>
              <w:bottom w:val="single" w:sz="4" w:space="0" w:color="auto"/>
              <w:right w:val="single" w:sz="4" w:space="0" w:color="auto"/>
            </w:tcBorders>
            <w:noWrap/>
            <w:vAlign w:val="center"/>
            <w:hideMark/>
          </w:tcPr>
          <w:p w14:paraId="04CE5AAA"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722</w:t>
            </w:r>
          </w:p>
        </w:tc>
        <w:tc>
          <w:tcPr>
            <w:tcW w:w="3917" w:type="dxa"/>
            <w:tcBorders>
              <w:top w:val="nil"/>
              <w:left w:val="nil"/>
              <w:bottom w:val="single" w:sz="4" w:space="0" w:color="auto"/>
              <w:right w:val="single" w:sz="4" w:space="0" w:color="auto"/>
            </w:tcBorders>
            <w:vAlign w:val="center"/>
            <w:hideMark/>
          </w:tcPr>
          <w:p w14:paraId="7B78E12E" w14:textId="77777777" w:rsidR="0085162D" w:rsidRPr="0085162D" w:rsidRDefault="0085162D" w:rsidP="0085162D">
            <w:pPr>
              <w:spacing w:after="0" w:line="240" w:lineRule="auto"/>
              <w:ind w:left="0" w:right="0"/>
              <w:jc w:val="left"/>
              <w:rPr>
                <w:rFonts w:cs="Arial CE"/>
                <w:bCs w:val="0"/>
                <w:sz w:val="18"/>
                <w:szCs w:val="18"/>
              </w:rPr>
            </w:pPr>
            <w:r w:rsidRPr="0085162D">
              <w:rPr>
                <w:rFonts w:cs="Arial CE"/>
                <w:bCs w:val="0"/>
                <w:sz w:val="18"/>
                <w:szCs w:val="18"/>
              </w:rPr>
              <w:t>PRIHODKI OD PRODAJE ZEMLJIŠČ IN NEOPREDMETENIHSREDSTEV</w:t>
            </w:r>
          </w:p>
        </w:tc>
        <w:tc>
          <w:tcPr>
            <w:tcW w:w="1294" w:type="dxa"/>
            <w:tcBorders>
              <w:top w:val="nil"/>
              <w:left w:val="nil"/>
              <w:bottom w:val="single" w:sz="4" w:space="0" w:color="auto"/>
              <w:right w:val="single" w:sz="4" w:space="0" w:color="auto"/>
            </w:tcBorders>
            <w:noWrap/>
            <w:vAlign w:val="center"/>
            <w:hideMark/>
          </w:tcPr>
          <w:p w14:paraId="67638F1B"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782.308</w:t>
            </w:r>
          </w:p>
        </w:tc>
        <w:tc>
          <w:tcPr>
            <w:tcW w:w="1294" w:type="dxa"/>
            <w:tcBorders>
              <w:top w:val="nil"/>
              <w:left w:val="nil"/>
              <w:bottom w:val="single" w:sz="4" w:space="0" w:color="auto"/>
              <w:right w:val="single" w:sz="4" w:space="0" w:color="auto"/>
            </w:tcBorders>
            <w:noWrap/>
            <w:vAlign w:val="center"/>
            <w:hideMark/>
          </w:tcPr>
          <w:p w14:paraId="7175E023"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1.987.700</w:t>
            </w:r>
          </w:p>
        </w:tc>
        <w:tc>
          <w:tcPr>
            <w:tcW w:w="1206" w:type="dxa"/>
            <w:tcBorders>
              <w:top w:val="nil"/>
              <w:left w:val="nil"/>
              <w:bottom w:val="single" w:sz="4" w:space="0" w:color="auto"/>
              <w:right w:val="single" w:sz="4" w:space="0" w:color="auto"/>
            </w:tcBorders>
            <w:noWrap/>
            <w:vAlign w:val="center"/>
            <w:hideMark/>
          </w:tcPr>
          <w:p w14:paraId="52249D0B"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39,36</w:t>
            </w:r>
          </w:p>
        </w:tc>
      </w:tr>
      <w:tr w:rsidR="0085162D" w:rsidRPr="0085162D" w14:paraId="1E1D5911" w14:textId="77777777" w:rsidTr="00D61713">
        <w:trPr>
          <w:trHeight w:val="174"/>
        </w:trPr>
        <w:tc>
          <w:tcPr>
            <w:tcW w:w="794" w:type="dxa"/>
            <w:tcBorders>
              <w:top w:val="nil"/>
              <w:left w:val="single" w:sz="4" w:space="0" w:color="auto"/>
              <w:bottom w:val="single" w:sz="4" w:space="0" w:color="auto"/>
              <w:right w:val="single" w:sz="4" w:space="0" w:color="auto"/>
            </w:tcBorders>
            <w:shd w:val="clear" w:color="000000" w:fill="BFBFBF"/>
            <w:noWrap/>
            <w:vAlign w:val="center"/>
            <w:hideMark/>
          </w:tcPr>
          <w:p w14:paraId="41633ADC"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73</w:t>
            </w:r>
          </w:p>
        </w:tc>
        <w:tc>
          <w:tcPr>
            <w:tcW w:w="3917" w:type="dxa"/>
            <w:tcBorders>
              <w:top w:val="nil"/>
              <w:left w:val="nil"/>
              <w:bottom w:val="single" w:sz="4" w:space="0" w:color="auto"/>
              <w:right w:val="single" w:sz="4" w:space="0" w:color="auto"/>
            </w:tcBorders>
            <w:shd w:val="clear" w:color="000000" w:fill="BFBFBF"/>
            <w:noWrap/>
            <w:vAlign w:val="center"/>
            <w:hideMark/>
          </w:tcPr>
          <w:p w14:paraId="16D5ECE8" w14:textId="77777777" w:rsidR="0085162D" w:rsidRPr="0085162D" w:rsidRDefault="0085162D" w:rsidP="0085162D">
            <w:pPr>
              <w:spacing w:after="0" w:line="240" w:lineRule="auto"/>
              <w:ind w:left="0" w:right="0"/>
              <w:jc w:val="left"/>
              <w:rPr>
                <w:rFonts w:cs="Arial CE"/>
                <w:bCs w:val="0"/>
                <w:sz w:val="18"/>
                <w:szCs w:val="18"/>
              </w:rPr>
            </w:pPr>
            <w:r w:rsidRPr="0085162D">
              <w:rPr>
                <w:rFonts w:cs="Arial CE"/>
                <w:bCs w:val="0"/>
                <w:sz w:val="18"/>
                <w:szCs w:val="18"/>
              </w:rPr>
              <w:t>PREJETE DONACIJE  (730+731)</w:t>
            </w:r>
          </w:p>
        </w:tc>
        <w:tc>
          <w:tcPr>
            <w:tcW w:w="1294" w:type="dxa"/>
            <w:tcBorders>
              <w:top w:val="nil"/>
              <w:left w:val="nil"/>
              <w:bottom w:val="single" w:sz="4" w:space="0" w:color="auto"/>
              <w:right w:val="single" w:sz="4" w:space="0" w:color="auto"/>
            </w:tcBorders>
            <w:shd w:val="clear" w:color="000000" w:fill="BFBFBF"/>
            <w:noWrap/>
            <w:vAlign w:val="center"/>
            <w:hideMark/>
          </w:tcPr>
          <w:p w14:paraId="27EE31BC"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25.313</w:t>
            </w:r>
          </w:p>
        </w:tc>
        <w:tc>
          <w:tcPr>
            <w:tcW w:w="1294" w:type="dxa"/>
            <w:tcBorders>
              <w:top w:val="nil"/>
              <w:left w:val="nil"/>
              <w:bottom w:val="single" w:sz="4" w:space="0" w:color="auto"/>
              <w:right w:val="single" w:sz="4" w:space="0" w:color="auto"/>
            </w:tcBorders>
            <w:shd w:val="clear" w:color="000000" w:fill="BFBFBF"/>
            <w:noWrap/>
            <w:vAlign w:val="center"/>
            <w:hideMark/>
          </w:tcPr>
          <w:p w14:paraId="77F6CEA3"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28.055</w:t>
            </w:r>
          </w:p>
        </w:tc>
        <w:tc>
          <w:tcPr>
            <w:tcW w:w="1206" w:type="dxa"/>
            <w:tcBorders>
              <w:top w:val="nil"/>
              <w:left w:val="nil"/>
              <w:bottom w:val="single" w:sz="4" w:space="0" w:color="auto"/>
              <w:right w:val="single" w:sz="4" w:space="0" w:color="auto"/>
            </w:tcBorders>
            <w:shd w:val="clear" w:color="000000" w:fill="BFBFBF"/>
            <w:noWrap/>
            <w:vAlign w:val="center"/>
            <w:hideMark/>
          </w:tcPr>
          <w:p w14:paraId="52623F25"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90,23</w:t>
            </w:r>
          </w:p>
        </w:tc>
      </w:tr>
      <w:tr w:rsidR="0085162D" w:rsidRPr="0085162D" w14:paraId="06F9B9E1" w14:textId="77777777" w:rsidTr="00D61713">
        <w:trPr>
          <w:trHeight w:val="174"/>
        </w:trPr>
        <w:tc>
          <w:tcPr>
            <w:tcW w:w="794" w:type="dxa"/>
            <w:tcBorders>
              <w:top w:val="nil"/>
              <w:left w:val="single" w:sz="4" w:space="0" w:color="auto"/>
              <w:bottom w:val="single" w:sz="4" w:space="0" w:color="auto"/>
              <w:right w:val="single" w:sz="4" w:space="0" w:color="auto"/>
            </w:tcBorders>
            <w:noWrap/>
            <w:vAlign w:val="center"/>
            <w:hideMark/>
          </w:tcPr>
          <w:p w14:paraId="66EEA6DB"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730</w:t>
            </w:r>
          </w:p>
        </w:tc>
        <w:tc>
          <w:tcPr>
            <w:tcW w:w="3917" w:type="dxa"/>
            <w:tcBorders>
              <w:top w:val="nil"/>
              <w:left w:val="nil"/>
              <w:bottom w:val="single" w:sz="4" w:space="0" w:color="auto"/>
              <w:right w:val="single" w:sz="4" w:space="0" w:color="auto"/>
            </w:tcBorders>
            <w:noWrap/>
            <w:vAlign w:val="center"/>
            <w:hideMark/>
          </w:tcPr>
          <w:p w14:paraId="6C841CE9" w14:textId="77777777" w:rsidR="0085162D" w:rsidRPr="0085162D" w:rsidRDefault="0085162D" w:rsidP="0085162D">
            <w:pPr>
              <w:spacing w:after="0" w:line="240" w:lineRule="auto"/>
              <w:ind w:left="0" w:right="0"/>
              <w:jc w:val="left"/>
              <w:rPr>
                <w:rFonts w:cs="Arial CE"/>
                <w:bCs w:val="0"/>
                <w:sz w:val="18"/>
                <w:szCs w:val="18"/>
              </w:rPr>
            </w:pPr>
            <w:r w:rsidRPr="0085162D">
              <w:rPr>
                <w:rFonts w:cs="Arial CE"/>
                <w:bCs w:val="0"/>
                <w:sz w:val="18"/>
                <w:szCs w:val="18"/>
              </w:rPr>
              <w:t xml:space="preserve">PREJETE DONACIJE IZ DOMAČIH VIROV </w:t>
            </w:r>
          </w:p>
        </w:tc>
        <w:tc>
          <w:tcPr>
            <w:tcW w:w="1294" w:type="dxa"/>
            <w:tcBorders>
              <w:top w:val="nil"/>
              <w:left w:val="nil"/>
              <w:bottom w:val="single" w:sz="4" w:space="0" w:color="auto"/>
              <w:right w:val="single" w:sz="4" w:space="0" w:color="auto"/>
            </w:tcBorders>
            <w:noWrap/>
            <w:vAlign w:val="center"/>
            <w:hideMark/>
          </w:tcPr>
          <w:p w14:paraId="2356126E"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25.313</w:t>
            </w:r>
          </w:p>
        </w:tc>
        <w:tc>
          <w:tcPr>
            <w:tcW w:w="1294" w:type="dxa"/>
            <w:tcBorders>
              <w:top w:val="nil"/>
              <w:left w:val="nil"/>
              <w:bottom w:val="single" w:sz="4" w:space="0" w:color="auto"/>
              <w:right w:val="single" w:sz="4" w:space="0" w:color="auto"/>
            </w:tcBorders>
            <w:noWrap/>
            <w:vAlign w:val="center"/>
            <w:hideMark/>
          </w:tcPr>
          <w:p w14:paraId="380DBC23"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28.055</w:t>
            </w:r>
          </w:p>
        </w:tc>
        <w:tc>
          <w:tcPr>
            <w:tcW w:w="1206" w:type="dxa"/>
            <w:tcBorders>
              <w:top w:val="nil"/>
              <w:left w:val="nil"/>
              <w:bottom w:val="single" w:sz="4" w:space="0" w:color="auto"/>
              <w:right w:val="single" w:sz="4" w:space="0" w:color="auto"/>
            </w:tcBorders>
            <w:noWrap/>
            <w:vAlign w:val="center"/>
            <w:hideMark/>
          </w:tcPr>
          <w:p w14:paraId="01F74AB5"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90,23</w:t>
            </w:r>
          </w:p>
        </w:tc>
      </w:tr>
      <w:tr w:rsidR="0085162D" w:rsidRPr="0085162D" w14:paraId="6377CC06" w14:textId="77777777" w:rsidTr="00D61713">
        <w:trPr>
          <w:trHeight w:val="174"/>
        </w:trPr>
        <w:tc>
          <w:tcPr>
            <w:tcW w:w="794" w:type="dxa"/>
            <w:tcBorders>
              <w:top w:val="nil"/>
              <w:left w:val="single" w:sz="4" w:space="0" w:color="auto"/>
              <w:bottom w:val="single" w:sz="4" w:space="0" w:color="auto"/>
              <w:right w:val="single" w:sz="4" w:space="0" w:color="auto"/>
            </w:tcBorders>
            <w:shd w:val="clear" w:color="000000" w:fill="BFBFBF"/>
            <w:noWrap/>
            <w:vAlign w:val="center"/>
            <w:hideMark/>
          </w:tcPr>
          <w:p w14:paraId="355CA217"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74</w:t>
            </w:r>
          </w:p>
        </w:tc>
        <w:tc>
          <w:tcPr>
            <w:tcW w:w="3917" w:type="dxa"/>
            <w:tcBorders>
              <w:top w:val="nil"/>
              <w:left w:val="nil"/>
              <w:bottom w:val="single" w:sz="4" w:space="0" w:color="auto"/>
              <w:right w:val="single" w:sz="4" w:space="0" w:color="auto"/>
            </w:tcBorders>
            <w:shd w:val="clear" w:color="000000" w:fill="BFBFBF"/>
            <w:noWrap/>
            <w:vAlign w:val="center"/>
            <w:hideMark/>
          </w:tcPr>
          <w:p w14:paraId="3DC3236A" w14:textId="77777777" w:rsidR="0085162D" w:rsidRPr="0085162D" w:rsidRDefault="0085162D" w:rsidP="0085162D">
            <w:pPr>
              <w:spacing w:after="0" w:line="240" w:lineRule="auto"/>
              <w:ind w:left="0" w:right="0"/>
              <w:jc w:val="left"/>
              <w:rPr>
                <w:rFonts w:cs="Arial CE"/>
                <w:bCs w:val="0"/>
                <w:sz w:val="18"/>
                <w:szCs w:val="18"/>
              </w:rPr>
            </w:pPr>
            <w:r w:rsidRPr="0085162D">
              <w:rPr>
                <w:rFonts w:cs="Arial CE"/>
                <w:bCs w:val="0"/>
                <w:sz w:val="18"/>
                <w:szCs w:val="18"/>
              </w:rPr>
              <w:t xml:space="preserve">TRANSFERNI PRIHODKI  (740+741)   </w:t>
            </w:r>
          </w:p>
        </w:tc>
        <w:tc>
          <w:tcPr>
            <w:tcW w:w="1294" w:type="dxa"/>
            <w:tcBorders>
              <w:top w:val="nil"/>
              <w:left w:val="nil"/>
              <w:bottom w:val="single" w:sz="4" w:space="0" w:color="auto"/>
              <w:right w:val="single" w:sz="4" w:space="0" w:color="auto"/>
            </w:tcBorders>
            <w:shd w:val="clear" w:color="000000" w:fill="BFBFBF"/>
            <w:noWrap/>
            <w:vAlign w:val="center"/>
            <w:hideMark/>
          </w:tcPr>
          <w:p w14:paraId="023266A7"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13.029.712</w:t>
            </w:r>
          </w:p>
        </w:tc>
        <w:tc>
          <w:tcPr>
            <w:tcW w:w="1294" w:type="dxa"/>
            <w:tcBorders>
              <w:top w:val="nil"/>
              <w:left w:val="nil"/>
              <w:bottom w:val="single" w:sz="4" w:space="0" w:color="auto"/>
              <w:right w:val="single" w:sz="4" w:space="0" w:color="auto"/>
            </w:tcBorders>
            <w:shd w:val="clear" w:color="000000" w:fill="BFBFBF"/>
            <w:noWrap/>
            <w:vAlign w:val="center"/>
            <w:hideMark/>
          </w:tcPr>
          <w:p w14:paraId="6298B4E3"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16.595.961</w:t>
            </w:r>
          </w:p>
        </w:tc>
        <w:tc>
          <w:tcPr>
            <w:tcW w:w="1206" w:type="dxa"/>
            <w:tcBorders>
              <w:top w:val="nil"/>
              <w:left w:val="nil"/>
              <w:bottom w:val="single" w:sz="4" w:space="0" w:color="auto"/>
              <w:right w:val="single" w:sz="4" w:space="0" w:color="auto"/>
            </w:tcBorders>
            <w:shd w:val="clear" w:color="000000" w:fill="BFBFBF"/>
            <w:noWrap/>
            <w:vAlign w:val="center"/>
            <w:hideMark/>
          </w:tcPr>
          <w:p w14:paraId="1760465B"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78,51</w:t>
            </w:r>
          </w:p>
        </w:tc>
      </w:tr>
      <w:tr w:rsidR="0085162D" w:rsidRPr="0085162D" w14:paraId="0D7C9913" w14:textId="77777777" w:rsidTr="00D61713">
        <w:trPr>
          <w:trHeight w:val="394"/>
        </w:trPr>
        <w:tc>
          <w:tcPr>
            <w:tcW w:w="794" w:type="dxa"/>
            <w:tcBorders>
              <w:top w:val="nil"/>
              <w:left w:val="single" w:sz="4" w:space="0" w:color="auto"/>
              <w:bottom w:val="single" w:sz="4" w:space="0" w:color="auto"/>
              <w:right w:val="single" w:sz="4" w:space="0" w:color="auto"/>
            </w:tcBorders>
            <w:noWrap/>
            <w:vAlign w:val="center"/>
            <w:hideMark/>
          </w:tcPr>
          <w:p w14:paraId="05DB0083"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740</w:t>
            </w:r>
          </w:p>
        </w:tc>
        <w:tc>
          <w:tcPr>
            <w:tcW w:w="3917" w:type="dxa"/>
            <w:tcBorders>
              <w:top w:val="nil"/>
              <w:left w:val="nil"/>
              <w:bottom w:val="single" w:sz="4" w:space="0" w:color="auto"/>
              <w:right w:val="single" w:sz="4" w:space="0" w:color="auto"/>
            </w:tcBorders>
            <w:vAlign w:val="center"/>
            <w:hideMark/>
          </w:tcPr>
          <w:p w14:paraId="3DAF5E82" w14:textId="77777777" w:rsidR="0085162D" w:rsidRPr="0085162D" w:rsidRDefault="0085162D" w:rsidP="0085162D">
            <w:pPr>
              <w:spacing w:after="0" w:line="240" w:lineRule="auto"/>
              <w:ind w:left="0" w:right="0"/>
              <w:jc w:val="left"/>
              <w:rPr>
                <w:rFonts w:cs="Arial CE"/>
                <w:bCs w:val="0"/>
                <w:sz w:val="18"/>
                <w:szCs w:val="18"/>
              </w:rPr>
            </w:pPr>
            <w:r w:rsidRPr="0085162D">
              <w:rPr>
                <w:rFonts w:cs="Arial CE"/>
                <w:bCs w:val="0"/>
                <w:sz w:val="18"/>
                <w:szCs w:val="18"/>
              </w:rPr>
              <w:t>TRANSFERNI PRIHODKI IZ DRUGIH JAVNOFINANČNIH INSTITUCIJ</w:t>
            </w:r>
          </w:p>
        </w:tc>
        <w:tc>
          <w:tcPr>
            <w:tcW w:w="1294" w:type="dxa"/>
            <w:tcBorders>
              <w:top w:val="nil"/>
              <w:left w:val="nil"/>
              <w:bottom w:val="single" w:sz="4" w:space="0" w:color="auto"/>
              <w:right w:val="single" w:sz="4" w:space="0" w:color="auto"/>
            </w:tcBorders>
            <w:noWrap/>
            <w:vAlign w:val="center"/>
            <w:hideMark/>
          </w:tcPr>
          <w:p w14:paraId="0BC96E8E"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9.232.050</w:t>
            </w:r>
          </w:p>
        </w:tc>
        <w:tc>
          <w:tcPr>
            <w:tcW w:w="1294" w:type="dxa"/>
            <w:tcBorders>
              <w:top w:val="nil"/>
              <w:left w:val="nil"/>
              <w:bottom w:val="single" w:sz="4" w:space="0" w:color="auto"/>
              <w:right w:val="single" w:sz="4" w:space="0" w:color="auto"/>
            </w:tcBorders>
            <w:noWrap/>
            <w:vAlign w:val="center"/>
            <w:hideMark/>
          </w:tcPr>
          <w:p w14:paraId="49A30272"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10.953.029</w:t>
            </w:r>
          </w:p>
        </w:tc>
        <w:tc>
          <w:tcPr>
            <w:tcW w:w="1206" w:type="dxa"/>
            <w:tcBorders>
              <w:top w:val="nil"/>
              <w:left w:val="nil"/>
              <w:bottom w:val="single" w:sz="4" w:space="0" w:color="auto"/>
              <w:right w:val="single" w:sz="4" w:space="0" w:color="auto"/>
            </w:tcBorders>
            <w:noWrap/>
            <w:vAlign w:val="center"/>
            <w:hideMark/>
          </w:tcPr>
          <w:p w14:paraId="0DA1A67C"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84,29</w:t>
            </w:r>
          </w:p>
        </w:tc>
      </w:tr>
      <w:tr w:rsidR="0085162D" w:rsidRPr="0085162D" w14:paraId="4E463C77" w14:textId="77777777" w:rsidTr="00D61713">
        <w:trPr>
          <w:trHeight w:val="423"/>
        </w:trPr>
        <w:tc>
          <w:tcPr>
            <w:tcW w:w="794" w:type="dxa"/>
            <w:tcBorders>
              <w:top w:val="nil"/>
              <w:left w:val="single" w:sz="4" w:space="0" w:color="auto"/>
              <w:bottom w:val="single" w:sz="4" w:space="0" w:color="auto"/>
              <w:right w:val="single" w:sz="4" w:space="0" w:color="auto"/>
            </w:tcBorders>
            <w:noWrap/>
            <w:vAlign w:val="center"/>
            <w:hideMark/>
          </w:tcPr>
          <w:p w14:paraId="00091FF5"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741</w:t>
            </w:r>
          </w:p>
        </w:tc>
        <w:tc>
          <w:tcPr>
            <w:tcW w:w="3917" w:type="dxa"/>
            <w:tcBorders>
              <w:top w:val="nil"/>
              <w:left w:val="nil"/>
              <w:bottom w:val="single" w:sz="4" w:space="0" w:color="auto"/>
              <w:right w:val="single" w:sz="4" w:space="0" w:color="auto"/>
            </w:tcBorders>
            <w:vAlign w:val="center"/>
            <w:hideMark/>
          </w:tcPr>
          <w:p w14:paraId="791BBA5D" w14:textId="77777777" w:rsidR="0085162D" w:rsidRPr="0085162D" w:rsidRDefault="0085162D" w:rsidP="0085162D">
            <w:pPr>
              <w:spacing w:after="0" w:line="240" w:lineRule="auto"/>
              <w:ind w:left="0" w:right="0"/>
              <w:jc w:val="left"/>
              <w:rPr>
                <w:rFonts w:cs="Arial CE"/>
                <w:bCs w:val="0"/>
                <w:sz w:val="18"/>
                <w:szCs w:val="18"/>
              </w:rPr>
            </w:pPr>
            <w:r w:rsidRPr="0085162D">
              <w:rPr>
                <w:rFonts w:cs="Arial CE"/>
                <w:bCs w:val="0"/>
                <w:sz w:val="18"/>
                <w:szCs w:val="18"/>
              </w:rPr>
              <w:t>PREJETA SREDSTVA IZ DRŽAVNEGA PRORAČUNA IZ SREDSTEV PRORAČUNA EVROPSKE UNIJE</w:t>
            </w:r>
          </w:p>
        </w:tc>
        <w:tc>
          <w:tcPr>
            <w:tcW w:w="1294" w:type="dxa"/>
            <w:tcBorders>
              <w:top w:val="nil"/>
              <w:left w:val="nil"/>
              <w:bottom w:val="single" w:sz="4" w:space="0" w:color="auto"/>
              <w:right w:val="single" w:sz="4" w:space="0" w:color="auto"/>
            </w:tcBorders>
            <w:noWrap/>
            <w:vAlign w:val="center"/>
            <w:hideMark/>
          </w:tcPr>
          <w:p w14:paraId="37C9831D"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3.797.662</w:t>
            </w:r>
          </w:p>
        </w:tc>
        <w:tc>
          <w:tcPr>
            <w:tcW w:w="1294" w:type="dxa"/>
            <w:tcBorders>
              <w:top w:val="nil"/>
              <w:left w:val="nil"/>
              <w:bottom w:val="single" w:sz="4" w:space="0" w:color="auto"/>
              <w:right w:val="single" w:sz="4" w:space="0" w:color="auto"/>
            </w:tcBorders>
            <w:noWrap/>
            <w:vAlign w:val="center"/>
            <w:hideMark/>
          </w:tcPr>
          <w:p w14:paraId="48B7C46E"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5.642.932</w:t>
            </w:r>
          </w:p>
        </w:tc>
        <w:tc>
          <w:tcPr>
            <w:tcW w:w="1206" w:type="dxa"/>
            <w:tcBorders>
              <w:top w:val="nil"/>
              <w:left w:val="nil"/>
              <w:bottom w:val="single" w:sz="4" w:space="0" w:color="auto"/>
              <w:right w:val="single" w:sz="4" w:space="0" w:color="auto"/>
            </w:tcBorders>
            <w:noWrap/>
            <w:vAlign w:val="center"/>
            <w:hideMark/>
          </w:tcPr>
          <w:p w14:paraId="4CF78215"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67,30</w:t>
            </w:r>
          </w:p>
        </w:tc>
      </w:tr>
      <w:tr w:rsidR="0085162D" w:rsidRPr="0085162D" w14:paraId="19427B6C" w14:textId="77777777" w:rsidTr="00D61713">
        <w:trPr>
          <w:trHeight w:val="215"/>
        </w:trPr>
        <w:tc>
          <w:tcPr>
            <w:tcW w:w="794" w:type="dxa"/>
            <w:tcBorders>
              <w:top w:val="nil"/>
              <w:left w:val="single" w:sz="4" w:space="0" w:color="auto"/>
              <w:bottom w:val="single" w:sz="4" w:space="0" w:color="auto"/>
              <w:right w:val="single" w:sz="4" w:space="0" w:color="auto"/>
            </w:tcBorders>
            <w:shd w:val="clear" w:color="000000" w:fill="BFBFBF"/>
            <w:noWrap/>
            <w:vAlign w:val="center"/>
            <w:hideMark/>
          </w:tcPr>
          <w:p w14:paraId="778A7D17"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78</w:t>
            </w:r>
          </w:p>
        </w:tc>
        <w:tc>
          <w:tcPr>
            <w:tcW w:w="3917" w:type="dxa"/>
            <w:tcBorders>
              <w:top w:val="nil"/>
              <w:left w:val="nil"/>
              <w:bottom w:val="single" w:sz="4" w:space="0" w:color="auto"/>
              <w:right w:val="single" w:sz="4" w:space="0" w:color="auto"/>
            </w:tcBorders>
            <w:shd w:val="clear" w:color="000000" w:fill="BFBFBF"/>
            <w:noWrap/>
            <w:vAlign w:val="center"/>
            <w:hideMark/>
          </w:tcPr>
          <w:p w14:paraId="16EDCFB9" w14:textId="77777777" w:rsidR="0085162D" w:rsidRPr="0085162D" w:rsidRDefault="0085162D" w:rsidP="0085162D">
            <w:pPr>
              <w:spacing w:after="0" w:line="240" w:lineRule="auto"/>
              <w:ind w:left="0" w:right="0"/>
              <w:jc w:val="left"/>
              <w:rPr>
                <w:rFonts w:cs="Arial CE"/>
                <w:bCs w:val="0"/>
                <w:sz w:val="18"/>
                <w:szCs w:val="18"/>
              </w:rPr>
            </w:pPr>
            <w:r w:rsidRPr="0085162D">
              <w:rPr>
                <w:rFonts w:cs="Arial CE"/>
                <w:bCs w:val="0"/>
                <w:sz w:val="18"/>
                <w:szCs w:val="18"/>
              </w:rPr>
              <w:t>PREJETA SREDSTVA IZ EVROPSKE UNIJE  (786+787)</w:t>
            </w:r>
          </w:p>
        </w:tc>
        <w:tc>
          <w:tcPr>
            <w:tcW w:w="1294" w:type="dxa"/>
            <w:tcBorders>
              <w:top w:val="nil"/>
              <w:left w:val="nil"/>
              <w:bottom w:val="single" w:sz="4" w:space="0" w:color="auto"/>
              <w:right w:val="single" w:sz="4" w:space="0" w:color="auto"/>
            </w:tcBorders>
            <w:shd w:val="clear" w:color="000000" w:fill="BFBFBF"/>
            <w:noWrap/>
            <w:vAlign w:val="center"/>
            <w:hideMark/>
          </w:tcPr>
          <w:p w14:paraId="3C46A321"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188.734</w:t>
            </w:r>
          </w:p>
        </w:tc>
        <w:tc>
          <w:tcPr>
            <w:tcW w:w="1294" w:type="dxa"/>
            <w:tcBorders>
              <w:top w:val="nil"/>
              <w:left w:val="nil"/>
              <w:bottom w:val="single" w:sz="4" w:space="0" w:color="auto"/>
              <w:right w:val="single" w:sz="4" w:space="0" w:color="auto"/>
            </w:tcBorders>
            <w:shd w:val="clear" w:color="000000" w:fill="BFBFBF"/>
            <w:noWrap/>
            <w:vAlign w:val="center"/>
            <w:hideMark/>
          </w:tcPr>
          <w:p w14:paraId="7CED084B"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932.197</w:t>
            </w:r>
          </w:p>
        </w:tc>
        <w:tc>
          <w:tcPr>
            <w:tcW w:w="1206" w:type="dxa"/>
            <w:tcBorders>
              <w:top w:val="nil"/>
              <w:left w:val="nil"/>
              <w:bottom w:val="single" w:sz="4" w:space="0" w:color="auto"/>
              <w:right w:val="single" w:sz="4" w:space="0" w:color="auto"/>
            </w:tcBorders>
            <w:shd w:val="clear" w:color="000000" w:fill="BFBFBF"/>
            <w:noWrap/>
            <w:vAlign w:val="center"/>
            <w:hideMark/>
          </w:tcPr>
          <w:p w14:paraId="2C642740" w14:textId="77777777" w:rsidR="0085162D" w:rsidRPr="0085162D" w:rsidRDefault="0085162D" w:rsidP="0085162D">
            <w:pPr>
              <w:spacing w:after="0" w:line="240" w:lineRule="auto"/>
              <w:ind w:left="0" w:right="0"/>
              <w:jc w:val="right"/>
              <w:rPr>
                <w:rFonts w:cs="Arial CE"/>
                <w:bCs w:val="0"/>
                <w:sz w:val="18"/>
                <w:szCs w:val="18"/>
              </w:rPr>
            </w:pPr>
            <w:r w:rsidRPr="0085162D">
              <w:rPr>
                <w:rFonts w:cs="Arial CE"/>
                <w:bCs w:val="0"/>
                <w:sz w:val="18"/>
                <w:szCs w:val="18"/>
              </w:rPr>
              <w:t>20,25</w:t>
            </w:r>
          </w:p>
        </w:tc>
      </w:tr>
    </w:tbl>
    <w:p w14:paraId="673D6E99" w14:textId="77777777" w:rsidR="004415C2" w:rsidRPr="00793081" w:rsidRDefault="004415C2" w:rsidP="009B0B9A">
      <w:pPr>
        <w:ind w:left="0"/>
        <w:rPr>
          <w:b/>
          <w:color w:val="2F5496" w:themeColor="accent1" w:themeShade="BF"/>
        </w:rPr>
      </w:pPr>
    </w:p>
    <w:p w14:paraId="6086B9F2" w14:textId="69F10769" w:rsidR="00204C4F" w:rsidRPr="00793081" w:rsidRDefault="00204C4F" w:rsidP="00204C4F">
      <w:pPr>
        <w:rPr>
          <w:b/>
          <w:color w:val="2F5496" w:themeColor="accent1" w:themeShade="BF"/>
        </w:rPr>
      </w:pPr>
      <w:r w:rsidRPr="00793081">
        <w:rPr>
          <w:b/>
          <w:color w:val="2F5496" w:themeColor="accent1" w:themeShade="BF"/>
        </w:rPr>
        <w:t>Odhodki</w:t>
      </w:r>
    </w:p>
    <w:p w14:paraId="187A11FE" w14:textId="096A3601" w:rsidR="00F21916" w:rsidRPr="00F21916" w:rsidRDefault="00F21916" w:rsidP="005848C2">
      <w:r w:rsidRPr="00F21916">
        <w:t xml:space="preserve">Skupni odhodki so v letu 2025 znašali 59,26 mio EUR oziroma 86,7 % glede na plan in so bili v primerjavi z letom 2024 višji za 7,819 mio EUR oziroma 15,20 %. Realizacija tekočih odhodkov je bila v primerjavi s predhodnim letom višja za 12,15 %, realizacija tekočih transferov je bila višja za 19,99 %, realizacija investicijskih odhodkov je bila višja za 13,5 % ter realizacija investicijskih transferov je bila višja za 9,10 %. </w:t>
      </w:r>
    </w:p>
    <w:p w14:paraId="296116C6" w14:textId="5EEB1A4E" w:rsidR="00F21916" w:rsidRPr="00F21916" w:rsidRDefault="00F21916" w:rsidP="005848C2">
      <w:r w:rsidRPr="00F21916">
        <w:t>V naslednjem grafikonu  je prikazana primerjava realiziranih odhodkov po namenu rabe.</w:t>
      </w:r>
    </w:p>
    <w:p w14:paraId="6ED44EF4" w14:textId="77777777" w:rsidR="00BE6048" w:rsidRPr="00F21916" w:rsidRDefault="00BE6048" w:rsidP="00F21916">
      <w:pPr>
        <w:spacing w:after="0" w:line="240" w:lineRule="auto"/>
        <w:ind w:left="0" w:right="0"/>
      </w:pPr>
    </w:p>
    <w:p w14:paraId="2BB4C18F" w14:textId="1901EA20" w:rsidR="00F21916" w:rsidRPr="00F21916" w:rsidRDefault="00F21916" w:rsidP="00F21916">
      <w:pPr>
        <w:spacing w:after="0" w:line="240" w:lineRule="auto"/>
        <w:ind w:right="0"/>
        <w:jc w:val="left"/>
      </w:pPr>
      <w:r w:rsidRPr="00F21916">
        <w:lastRenderedPageBreak/>
        <w:t xml:space="preserve">Grafikon 2: </w:t>
      </w:r>
      <w:r w:rsidR="00147984">
        <w:t>D</w:t>
      </w:r>
      <w:r w:rsidRPr="00F21916">
        <w:t>elež odhodkov po namenu rabe</w:t>
      </w:r>
    </w:p>
    <w:p w14:paraId="50726157" w14:textId="77777777" w:rsidR="00F21916" w:rsidRDefault="00F21916" w:rsidP="00F21916">
      <w:pPr>
        <w:spacing w:after="0" w:line="240" w:lineRule="auto"/>
        <w:ind w:right="0"/>
      </w:pPr>
      <w:r w:rsidRPr="00F21916">
        <w:rPr>
          <w:b/>
          <w:bCs w:val="0"/>
          <w:noProof/>
        </w:rPr>
        <w:drawing>
          <wp:inline distT="0" distB="0" distL="0" distR="0" wp14:anchorId="15D5EBD4" wp14:editId="7E85DFD9">
            <wp:extent cx="5324475" cy="2390775"/>
            <wp:effectExtent l="0" t="0" r="9525" b="9525"/>
            <wp:docPr id="2053149203" name="Grafikon 1">
              <a:extLst xmlns:a="http://schemas.openxmlformats.org/drawingml/2006/main">
                <a:ext uri="{FF2B5EF4-FFF2-40B4-BE49-F238E27FC236}">
                  <a16:creationId xmlns:a16="http://schemas.microsoft.com/office/drawing/2014/main" id="{CF5123DE-290B-A345-E107-CED6D51440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9631A69" w14:textId="77777777" w:rsidR="00BE6048" w:rsidRPr="00F21916" w:rsidRDefault="00BE6048" w:rsidP="00F21916">
      <w:pPr>
        <w:spacing w:after="0" w:line="240" w:lineRule="auto"/>
        <w:ind w:right="0"/>
      </w:pPr>
    </w:p>
    <w:p w14:paraId="481DCA81" w14:textId="77777777" w:rsidR="00F21916" w:rsidRPr="00F21916" w:rsidRDefault="00F21916" w:rsidP="00F21916">
      <w:pPr>
        <w:spacing w:after="0" w:line="240" w:lineRule="auto"/>
        <w:ind w:right="0"/>
      </w:pPr>
    </w:p>
    <w:p w14:paraId="119F2AA4" w14:textId="795D3506" w:rsidR="00F21916" w:rsidRPr="00F21916" w:rsidRDefault="00F21916" w:rsidP="000B1BF0">
      <w:r w:rsidRPr="00F21916">
        <w:t>Realizacija odhodkov v primerjavi z zadnjim veljavnim planom je prikazana v naslednji tabeli.</w:t>
      </w:r>
    </w:p>
    <w:p w14:paraId="22339651" w14:textId="77777777" w:rsidR="00F21916" w:rsidRDefault="00F21916" w:rsidP="00F21916">
      <w:pPr>
        <w:spacing w:after="0" w:line="240" w:lineRule="auto"/>
        <w:ind w:right="0"/>
        <w:jc w:val="left"/>
      </w:pPr>
      <w:r w:rsidRPr="00F21916">
        <w:t>Tabela 2: Realizacija odhodkov v primerjavi z veljavnim proračunom</w:t>
      </w:r>
    </w:p>
    <w:tbl>
      <w:tblPr>
        <w:tblW w:w="8482" w:type="dxa"/>
        <w:tblInd w:w="704" w:type="dxa"/>
        <w:tblCellMar>
          <w:left w:w="70" w:type="dxa"/>
          <w:right w:w="70" w:type="dxa"/>
        </w:tblCellMar>
        <w:tblLook w:val="04A0" w:firstRow="1" w:lastRow="0" w:firstColumn="1" w:lastColumn="0" w:noHBand="0" w:noVBand="1"/>
      </w:tblPr>
      <w:tblGrid>
        <w:gridCol w:w="794"/>
        <w:gridCol w:w="3884"/>
        <w:gridCol w:w="1294"/>
        <w:gridCol w:w="1399"/>
        <w:gridCol w:w="1111"/>
      </w:tblGrid>
      <w:tr w:rsidR="008702DD" w:rsidRPr="008702DD" w14:paraId="7A5B1AE4" w14:textId="77777777" w:rsidTr="00384385">
        <w:trPr>
          <w:trHeight w:val="128"/>
        </w:trPr>
        <w:tc>
          <w:tcPr>
            <w:tcW w:w="794" w:type="dxa"/>
            <w:tcBorders>
              <w:top w:val="single" w:sz="4" w:space="0" w:color="auto"/>
              <w:left w:val="single" w:sz="4" w:space="0" w:color="auto"/>
              <w:bottom w:val="single" w:sz="4" w:space="0" w:color="auto"/>
              <w:right w:val="single" w:sz="4" w:space="0" w:color="auto"/>
            </w:tcBorders>
            <w:shd w:val="clear" w:color="FFFFFF" w:fill="CCFFCC"/>
            <w:noWrap/>
            <w:vAlign w:val="center"/>
            <w:hideMark/>
          </w:tcPr>
          <w:p w14:paraId="2032FDBD" w14:textId="77777777" w:rsidR="008702DD" w:rsidRPr="008702DD" w:rsidRDefault="008702DD" w:rsidP="008702DD">
            <w:pPr>
              <w:spacing w:after="0" w:line="240" w:lineRule="auto"/>
              <w:ind w:left="0" w:right="0"/>
              <w:jc w:val="left"/>
              <w:rPr>
                <w:rFonts w:cs="Arial CE"/>
                <w:bCs w:val="0"/>
                <w:sz w:val="18"/>
                <w:szCs w:val="18"/>
              </w:rPr>
            </w:pPr>
            <w:r w:rsidRPr="008702DD">
              <w:rPr>
                <w:rFonts w:cs="Arial CE"/>
                <w:bCs w:val="0"/>
                <w:sz w:val="18"/>
                <w:szCs w:val="18"/>
              </w:rPr>
              <w:t>KONTO</w:t>
            </w:r>
          </w:p>
        </w:tc>
        <w:tc>
          <w:tcPr>
            <w:tcW w:w="3884" w:type="dxa"/>
            <w:tcBorders>
              <w:top w:val="single" w:sz="4" w:space="0" w:color="auto"/>
              <w:left w:val="nil"/>
              <w:bottom w:val="single" w:sz="4" w:space="0" w:color="auto"/>
              <w:right w:val="single" w:sz="4" w:space="0" w:color="auto"/>
            </w:tcBorders>
            <w:shd w:val="clear" w:color="FFFFFF" w:fill="CCFFCC"/>
            <w:noWrap/>
            <w:vAlign w:val="center"/>
            <w:hideMark/>
          </w:tcPr>
          <w:p w14:paraId="5F3D0FF4" w14:textId="77777777" w:rsidR="008702DD" w:rsidRPr="008702DD" w:rsidRDefault="008702DD" w:rsidP="008702DD">
            <w:pPr>
              <w:spacing w:after="0" w:line="240" w:lineRule="auto"/>
              <w:ind w:left="0" w:right="0"/>
              <w:jc w:val="center"/>
              <w:rPr>
                <w:rFonts w:cs="Arial CE"/>
                <w:bCs w:val="0"/>
                <w:sz w:val="18"/>
                <w:szCs w:val="18"/>
              </w:rPr>
            </w:pPr>
            <w:r w:rsidRPr="008702DD">
              <w:rPr>
                <w:rFonts w:cs="Arial CE"/>
                <w:bCs w:val="0"/>
                <w:sz w:val="18"/>
                <w:szCs w:val="18"/>
              </w:rPr>
              <w:t>OPIS</w:t>
            </w:r>
          </w:p>
        </w:tc>
        <w:tc>
          <w:tcPr>
            <w:tcW w:w="1294" w:type="dxa"/>
            <w:tcBorders>
              <w:top w:val="single" w:sz="4" w:space="0" w:color="auto"/>
              <w:left w:val="nil"/>
              <w:bottom w:val="single" w:sz="4" w:space="0" w:color="auto"/>
              <w:right w:val="single" w:sz="4" w:space="0" w:color="auto"/>
            </w:tcBorders>
            <w:shd w:val="clear" w:color="FFFFFF" w:fill="CCFFCC"/>
            <w:vAlign w:val="center"/>
            <w:hideMark/>
          </w:tcPr>
          <w:p w14:paraId="4499EABE" w14:textId="77777777" w:rsidR="008702DD" w:rsidRPr="008702DD" w:rsidRDefault="008702DD" w:rsidP="008702DD">
            <w:pPr>
              <w:spacing w:after="0" w:line="240" w:lineRule="auto"/>
              <w:ind w:left="0" w:right="0"/>
              <w:jc w:val="center"/>
              <w:rPr>
                <w:rFonts w:cs="Arial CE"/>
                <w:bCs w:val="0"/>
                <w:sz w:val="18"/>
                <w:szCs w:val="18"/>
              </w:rPr>
            </w:pPr>
            <w:r w:rsidRPr="008702DD">
              <w:rPr>
                <w:rFonts w:cs="Arial CE"/>
                <w:bCs w:val="0"/>
                <w:sz w:val="18"/>
                <w:szCs w:val="18"/>
              </w:rPr>
              <w:t>Realizacija: 2025</w:t>
            </w:r>
            <w:r w:rsidRPr="008702DD">
              <w:rPr>
                <w:rFonts w:cs="Arial CE"/>
                <w:bCs w:val="0"/>
                <w:sz w:val="18"/>
                <w:szCs w:val="18"/>
              </w:rPr>
              <w:br/>
              <w:t>v EUR</w:t>
            </w:r>
          </w:p>
        </w:tc>
        <w:tc>
          <w:tcPr>
            <w:tcW w:w="1399" w:type="dxa"/>
            <w:tcBorders>
              <w:top w:val="single" w:sz="4" w:space="0" w:color="auto"/>
              <w:left w:val="nil"/>
              <w:bottom w:val="single" w:sz="4" w:space="0" w:color="auto"/>
              <w:right w:val="single" w:sz="4" w:space="0" w:color="auto"/>
            </w:tcBorders>
            <w:shd w:val="clear" w:color="FFFFFF" w:fill="CCFFCC"/>
            <w:vAlign w:val="center"/>
            <w:hideMark/>
          </w:tcPr>
          <w:p w14:paraId="5FCF5277" w14:textId="77777777" w:rsidR="008702DD" w:rsidRPr="008702DD" w:rsidRDefault="008702DD" w:rsidP="008702DD">
            <w:pPr>
              <w:spacing w:after="0" w:line="240" w:lineRule="auto"/>
              <w:ind w:left="0" w:right="0"/>
              <w:jc w:val="center"/>
              <w:rPr>
                <w:rFonts w:cs="Arial CE"/>
                <w:bCs w:val="0"/>
                <w:sz w:val="18"/>
                <w:szCs w:val="18"/>
              </w:rPr>
            </w:pPr>
            <w:r w:rsidRPr="008702DD">
              <w:rPr>
                <w:rFonts w:cs="Arial CE"/>
                <w:bCs w:val="0"/>
                <w:sz w:val="18"/>
                <w:szCs w:val="18"/>
              </w:rPr>
              <w:t>Veljavni proračun: 2025</w:t>
            </w:r>
            <w:r w:rsidRPr="008702DD">
              <w:rPr>
                <w:rFonts w:cs="Arial CE"/>
                <w:bCs w:val="0"/>
                <w:sz w:val="18"/>
                <w:szCs w:val="18"/>
              </w:rPr>
              <w:br/>
              <w:t>v EUR</w:t>
            </w:r>
          </w:p>
        </w:tc>
        <w:tc>
          <w:tcPr>
            <w:tcW w:w="1111" w:type="dxa"/>
            <w:tcBorders>
              <w:top w:val="single" w:sz="4" w:space="0" w:color="auto"/>
              <w:left w:val="nil"/>
              <w:bottom w:val="single" w:sz="4" w:space="0" w:color="auto"/>
              <w:right w:val="single" w:sz="4" w:space="0" w:color="auto"/>
            </w:tcBorders>
            <w:shd w:val="clear" w:color="FFFFFF" w:fill="CCFFCC"/>
            <w:vAlign w:val="center"/>
            <w:hideMark/>
          </w:tcPr>
          <w:p w14:paraId="2F9B7819" w14:textId="77777777" w:rsidR="008702DD" w:rsidRPr="008702DD" w:rsidRDefault="008702DD" w:rsidP="008702DD">
            <w:pPr>
              <w:spacing w:after="0" w:line="240" w:lineRule="auto"/>
              <w:ind w:left="0" w:right="0"/>
              <w:jc w:val="center"/>
              <w:rPr>
                <w:rFonts w:cs="Arial CE"/>
                <w:bCs w:val="0"/>
                <w:sz w:val="18"/>
                <w:szCs w:val="18"/>
              </w:rPr>
            </w:pPr>
            <w:r w:rsidRPr="008702DD">
              <w:rPr>
                <w:rFonts w:cs="Arial CE"/>
                <w:bCs w:val="0"/>
                <w:sz w:val="18"/>
                <w:szCs w:val="18"/>
              </w:rPr>
              <w:t>Odstotek realizacije</w:t>
            </w:r>
          </w:p>
        </w:tc>
      </w:tr>
      <w:tr w:rsidR="008702DD" w:rsidRPr="008702DD" w14:paraId="5741E1E2" w14:textId="77777777" w:rsidTr="00384385">
        <w:trPr>
          <w:trHeight w:val="84"/>
        </w:trPr>
        <w:tc>
          <w:tcPr>
            <w:tcW w:w="794" w:type="dxa"/>
            <w:tcBorders>
              <w:top w:val="nil"/>
              <w:left w:val="single" w:sz="4" w:space="0" w:color="auto"/>
              <w:bottom w:val="single" w:sz="4" w:space="0" w:color="auto"/>
              <w:right w:val="single" w:sz="4" w:space="0" w:color="auto"/>
            </w:tcBorders>
            <w:shd w:val="clear" w:color="FFFFFF" w:fill="FFFFFF"/>
            <w:noWrap/>
            <w:vAlign w:val="center"/>
            <w:hideMark/>
          </w:tcPr>
          <w:p w14:paraId="1423856E" w14:textId="77777777" w:rsidR="008702DD" w:rsidRPr="008702DD" w:rsidRDefault="008702DD" w:rsidP="008702DD">
            <w:pPr>
              <w:spacing w:after="0" w:line="240" w:lineRule="auto"/>
              <w:ind w:left="0" w:right="0"/>
              <w:jc w:val="left"/>
              <w:rPr>
                <w:rFonts w:cs="Arial CE"/>
                <w:bCs w:val="0"/>
                <w:sz w:val="18"/>
                <w:szCs w:val="18"/>
              </w:rPr>
            </w:pPr>
            <w:r w:rsidRPr="008702DD">
              <w:rPr>
                <w:rFonts w:cs="Arial CE"/>
                <w:bCs w:val="0"/>
                <w:sz w:val="18"/>
                <w:szCs w:val="18"/>
              </w:rPr>
              <w:t xml:space="preserve"> </w:t>
            </w:r>
          </w:p>
        </w:tc>
        <w:tc>
          <w:tcPr>
            <w:tcW w:w="3884" w:type="dxa"/>
            <w:tcBorders>
              <w:top w:val="nil"/>
              <w:left w:val="nil"/>
              <w:bottom w:val="single" w:sz="4" w:space="0" w:color="auto"/>
              <w:right w:val="single" w:sz="4" w:space="0" w:color="auto"/>
            </w:tcBorders>
            <w:vAlign w:val="center"/>
            <w:hideMark/>
          </w:tcPr>
          <w:p w14:paraId="31C29651" w14:textId="77777777" w:rsidR="008702DD" w:rsidRPr="008702DD" w:rsidRDefault="008702DD" w:rsidP="008702DD">
            <w:pPr>
              <w:spacing w:after="0" w:line="240" w:lineRule="auto"/>
              <w:ind w:left="0" w:right="0"/>
              <w:jc w:val="left"/>
              <w:rPr>
                <w:rFonts w:cs="Arial CE"/>
                <w:b/>
                <w:sz w:val="18"/>
                <w:szCs w:val="18"/>
              </w:rPr>
            </w:pPr>
            <w:r w:rsidRPr="008702DD">
              <w:rPr>
                <w:rFonts w:cs="Arial CE"/>
                <w:b/>
                <w:sz w:val="18"/>
                <w:szCs w:val="18"/>
              </w:rPr>
              <w:t>S K U P A J    O D H O D K I  (40+41+42+43)</w:t>
            </w:r>
          </w:p>
        </w:tc>
        <w:tc>
          <w:tcPr>
            <w:tcW w:w="1294" w:type="dxa"/>
            <w:tcBorders>
              <w:top w:val="nil"/>
              <w:left w:val="nil"/>
              <w:bottom w:val="single" w:sz="4" w:space="0" w:color="auto"/>
              <w:right w:val="single" w:sz="4" w:space="0" w:color="auto"/>
            </w:tcBorders>
            <w:noWrap/>
            <w:vAlign w:val="center"/>
            <w:hideMark/>
          </w:tcPr>
          <w:p w14:paraId="110D7499" w14:textId="77777777" w:rsidR="008702DD" w:rsidRPr="008702DD" w:rsidRDefault="008702DD" w:rsidP="008702DD">
            <w:pPr>
              <w:spacing w:after="0" w:line="240" w:lineRule="auto"/>
              <w:ind w:left="0" w:right="0"/>
              <w:jc w:val="right"/>
              <w:rPr>
                <w:rFonts w:cs="Arial CE"/>
                <w:b/>
                <w:sz w:val="18"/>
                <w:szCs w:val="18"/>
              </w:rPr>
            </w:pPr>
            <w:r w:rsidRPr="008702DD">
              <w:rPr>
                <w:rFonts w:cs="Arial CE"/>
                <w:b/>
                <w:sz w:val="18"/>
                <w:szCs w:val="18"/>
              </w:rPr>
              <w:t>59.260.400</w:t>
            </w:r>
          </w:p>
        </w:tc>
        <w:tc>
          <w:tcPr>
            <w:tcW w:w="1399" w:type="dxa"/>
            <w:tcBorders>
              <w:top w:val="nil"/>
              <w:left w:val="nil"/>
              <w:bottom w:val="single" w:sz="4" w:space="0" w:color="auto"/>
              <w:right w:val="single" w:sz="4" w:space="0" w:color="auto"/>
            </w:tcBorders>
            <w:noWrap/>
            <w:vAlign w:val="center"/>
            <w:hideMark/>
          </w:tcPr>
          <w:p w14:paraId="4C3EDCE2" w14:textId="77777777" w:rsidR="008702DD" w:rsidRPr="008702DD" w:rsidRDefault="008702DD" w:rsidP="008702DD">
            <w:pPr>
              <w:spacing w:after="0" w:line="240" w:lineRule="auto"/>
              <w:ind w:left="0" w:right="0"/>
              <w:jc w:val="right"/>
              <w:rPr>
                <w:rFonts w:cs="Arial CE"/>
                <w:b/>
                <w:sz w:val="18"/>
                <w:szCs w:val="18"/>
              </w:rPr>
            </w:pPr>
            <w:r w:rsidRPr="008702DD">
              <w:rPr>
                <w:rFonts w:cs="Arial CE"/>
                <w:b/>
                <w:sz w:val="18"/>
                <w:szCs w:val="18"/>
              </w:rPr>
              <w:t>68.366.200</w:t>
            </w:r>
          </w:p>
        </w:tc>
        <w:tc>
          <w:tcPr>
            <w:tcW w:w="1111" w:type="dxa"/>
            <w:tcBorders>
              <w:top w:val="nil"/>
              <w:left w:val="nil"/>
              <w:bottom w:val="single" w:sz="4" w:space="0" w:color="auto"/>
              <w:right w:val="single" w:sz="4" w:space="0" w:color="auto"/>
            </w:tcBorders>
            <w:noWrap/>
            <w:vAlign w:val="center"/>
            <w:hideMark/>
          </w:tcPr>
          <w:p w14:paraId="22ACB8FF" w14:textId="77777777" w:rsidR="008702DD" w:rsidRPr="008702DD" w:rsidRDefault="008702DD" w:rsidP="008702DD">
            <w:pPr>
              <w:spacing w:after="0" w:line="240" w:lineRule="auto"/>
              <w:ind w:left="0" w:right="0"/>
              <w:jc w:val="right"/>
              <w:rPr>
                <w:rFonts w:cs="Arial CE"/>
                <w:b/>
                <w:sz w:val="18"/>
                <w:szCs w:val="18"/>
              </w:rPr>
            </w:pPr>
            <w:r w:rsidRPr="008702DD">
              <w:rPr>
                <w:rFonts w:cs="Arial CE"/>
                <w:b/>
                <w:sz w:val="18"/>
                <w:szCs w:val="18"/>
              </w:rPr>
              <w:t>86,68</w:t>
            </w:r>
          </w:p>
        </w:tc>
      </w:tr>
      <w:tr w:rsidR="008702DD" w:rsidRPr="008702DD" w14:paraId="6E65CE91" w14:textId="77777777" w:rsidTr="00384385">
        <w:trPr>
          <w:trHeight w:val="32"/>
        </w:trPr>
        <w:tc>
          <w:tcPr>
            <w:tcW w:w="794" w:type="dxa"/>
            <w:tcBorders>
              <w:top w:val="nil"/>
              <w:left w:val="single" w:sz="4" w:space="0" w:color="auto"/>
              <w:bottom w:val="single" w:sz="4" w:space="0" w:color="auto"/>
              <w:right w:val="single" w:sz="4" w:space="0" w:color="auto"/>
            </w:tcBorders>
            <w:shd w:val="clear" w:color="000000" w:fill="BFBFBF"/>
            <w:noWrap/>
            <w:vAlign w:val="center"/>
            <w:hideMark/>
          </w:tcPr>
          <w:p w14:paraId="15836D60"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40</w:t>
            </w:r>
          </w:p>
        </w:tc>
        <w:tc>
          <w:tcPr>
            <w:tcW w:w="3884" w:type="dxa"/>
            <w:tcBorders>
              <w:top w:val="nil"/>
              <w:left w:val="nil"/>
              <w:bottom w:val="single" w:sz="4" w:space="0" w:color="auto"/>
              <w:right w:val="single" w:sz="4" w:space="0" w:color="auto"/>
            </w:tcBorders>
            <w:shd w:val="clear" w:color="000000" w:fill="BFBFBF"/>
            <w:vAlign w:val="center"/>
            <w:hideMark/>
          </w:tcPr>
          <w:p w14:paraId="6E07C048" w14:textId="77777777" w:rsidR="008702DD" w:rsidRPr="008702DD" w:rsidRDefault="008702DD" w:rsidP="008702DD">
            <w:pPr>
              <w:spacing w:after="0" w:line="240" w:lineRule="auto"/>
              <w:ind w:left="0" w:right="0"/>
              <w:jc w:val="left"/>
              <w:rPr>
                <w:rFonts w:cs="Arial CE"/>
                <w:b/>
                <w:sz w:val="18"/>
                <w:szCs w:val="18"/>
              </w:rPr>
            </w:pPr>
            <w:r w:rsidRPr="008702DD">
              <w:rPr>
                <w:rFonts w:cs="Arial CE"/>
                <w:b/>
                <w:sz w:val="18"/>
                <w:szCs w:val="18"/>
              </w:rPr>
              <w:t>TEKOČI ODHODKI  (400+401+402+403+409)</w:t>
            </w:r>
          </w:p>
        </w:tc>
        <w:tc>
          <w:tcPr>
            <w:tcW w:w="1294" w:type="dxa"/>
            <w:tcBorders>
              <w:top w:val="nil"/>
              <w:left w:val="nil"/>
              <w:bottom w:val="single" w:sz="4" w:space="0" w:color="auto"/>
              <w:right w:val="single" w:sz="4" w:space="0" w:color="auto"/>
            </w:tcBorders>
            <w:shd w:val="clear" w:color="000000" w:fill="BFBFBF"/>
            <w:noWrap/>
            <w:vAlign w:val="center"/>
            <w:hideMark/>
          </w:tcPr>
          <w:p w14:paraId="3A688424" w14:textId="77777777" w:rsidR="008702DD" w:rsidRPr="008702DD" w:rsidRDefault="008702DD" w:rsidP="008702DD">
            <w:pPr>
              <w:spacing w:after="0" w:line="240" w:lineRule="auto"/>
              <w:ind w:left="0" w:right="0"/>
              <w:jc w:val="right"/>
              <w:rPr>
                <w:rFonts w:cs="Arial CE"/>
                <w:b/>
                <w:sz w:val="18"/>
                <w:szCs w:val="18"/>
              </w:rPr>
            </w:pPr>
            <w:r w:rsidRPr="008702DD">
              <w:rPr>
                <w:rFonts w:cs="Arial CE"/>
                <w:b/>
                <w:sz w:val="18"/>
                <w:szCs w:val="18"/>
              </w:rPr>
              <w:t>15.111.285</w:t>
            </w:r>
          </w:p>
        </w:tc>
        <w:tc>
          <w:tcPr>
            <w:tcW w:w="1399" w:type="dxa"/>
            <w:tcBorders>
              <w:top w:val="nil"/>
              <w:left w:val="nil"/>
              <w:bottom w:val="single" w:sz="4" w:space="0" w:color="auto"/>
              <w:right w:val="single" w:sz="4" w:space="0" w:color="auto"/>
            </w:tcBorders>
            <w:shd w:val="clear" w:color="000000" w:fill="BFBFBF"/>
            <w:noWrap/>
            <w:vAlign w:val="center"/>
            <w:hideMark/>
          </w:tcPr>
          <w:p w14:paraId="56A227D4" w14:textId="77777777" w:rsidR="008702DD" w:rsidRPr="008702DD" w:rsidRDefault="008702DD" w:rsidP="008702DD">
            <w:pPr>
              <w:spacing w:after="0" w:line="240" w:lineRule="auto"/>
              <w:ind w:left="0" w:right="0"/>
              <w:jc w:val="right"/>
              <w:rPr>
                <w:rFonts w:cs="Arial CE"/>
                <w:b/>
                <w:sz w:val="18"/>
                <w:szCs w:val="18"/>
              </w:rPr>
            </w:pPr>
            <w:r w:rsidRPr="008702DD">
              <w:rPr>
                <w:rFonts w:cs="Arial CE"/>
                <w:b/>
                <w:sz w:val="18"/>
                <w:szCs w:val="18"/>
              </w:rPr>
              <w:t>16.732.954</w:t>
            </w:r>
          </w:p>
        </w:tc>
        <w:tc>
          <w:tcPr>
            <w:tcW w:w="1111" w:type="dxa"/>
            <w:tcBorders>
              <w:top w:val="nil"/>
              <w:left w:val="nil"/>
              <w:bottom w:val="single" w:sz="4" w:space="0" w:color="auto"/>
              <w:right w:val="single" w:sz="4" w:space="0" w:color="auto"/>
            </w:tcBorders>
            <w:shd w:val="clear" w:color="000000" w:fill="BFBFBF"/>
            <w:noWrap/>
            <w:vAlign w:val="center"/>
            <w:hideMark/>
          </w:tcPr>
          <w:p w14:paraId="25DEC62F" w14:textId="77777777" w:rsidR="008702DD" w:rsidRPr="008702DD" w:rsidRDefault="008702DD" w:rsidP="008702DD">
            <w:pPr>
              <w:spacing w:after="0" w:line="240" w:lineRule="auto"/>
              <w:ind w:left="0" w:right="0"/>
              <w:jc w:val="right"/>
              <w:rPr>
                <w:rFonts w:cs="Arial CE"/>
                <w:b/>
                <w:sz w:val="18"/>
                <w:szCs w:val="18"/>
              </w:rPr>
            </w:pPr>
            <w:r w:rsidRPr="008702DD">
              <w:rPr>
                <w:rFonts w:cs="Arial CE"/>
                <w:b/>
                <w:sz w:val="18"/>
                <w:szCs w:val="18"/>
              </w:rPr>
              <w:t>90,31</w:t>
            </w:r>
          </w:p>
        </w:tc>
      </w:tr>
      <w:tr w:rsidR="008702DD" w:rsidRPr="008702DD" w14:paraId="58013823" w14:textId="77777777" w:rsidTr="00384385">
        <w:trPr>
          <w:trHeight w:val="32"/>
        </w:trPr>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52B2742E"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400</w:t>
            </w:r>
          </w:p>
        </w:tc>
        <w:tc>
          <w:tcPr>
            <w:tcW w:w="3884" w:type="dxa"/>
            <w:tcBorders>
              <w:top w:val="nil"/>
              <w:left w:val="nil"/>
              <w:bottom w:val="single" w:sz="4" w:space="0" w:color="auto"/>
              <w:right w:val="single" w:sz="4" w:space="0" w:color="auto"/>
            </w:tcBorders>
            <w:shd w:val="clear" w:color="000000" w:fill="FFFFFF"/>
            <w:noWrap/>
            <w:vAlign w:val="center"/>
            <w:hideMark/>
          </w:tcPr>
          <w:p w14:paraId="231FEAF2" w14:textId="77777777" w:rsidR="008702DD" w:rsidRPr="008702DD" w:rsidRDefault="008702DD" w:rsidP="008702DD">
            <w:pPr>
              <w:spacing w:after="0" w:line="240" w:lineRule="auto"/>
              <w:ind w:left="0" w:right="0"/>
              <w:jc w:val="left"/>
              <w:rPr>
                <w:rFonts w:cs="Arial CE"/>
                <w:bCs w:val="0"/>
                <w:sz w:val="18"/>
                <w:szCs w:val="18"/>
              </w:rPr>
            </w:pPr>
            <w:r w:rsidRPr="008702DD">
              <w:rPr>
                <w:rFonts w:cs="Arial CE"/>
                <w:bCs w:val="0"/>
                <w:sz w:val="18"/>
                <w:szCs w:val="18"/>
              </w:rPr>
              <w:t>PLAČE IN DRUGI IZDATKI ZAPOSLENIM</w:t>
            </w:r>
          </w:p>
        </w:tc>
        <w:tc>
          <w:tcPr>
            <w:tcW w:w="1294" w:type="dxa"/>
            <w:tcBorders>
              <w:top w:val="nil"/>
              <w:left w:val="nil"/>
              <w:bottom w:val="single" w:sz="4" w:space="0" w:color="auto"/>
              <w:right w:val="single" w:sz="4" w:space="0" w:color="auto"/>
            </w:tcBorders>
            <w:shd w:val="clear" w:color="000000" w:fill="FFFFFF"/>
            <w:noWrap/>
            <w:vAlign w:val="center"/>
            <w:hideMark/>
          </w:tcPr>
          <w:p w14:paraId="1A84FE6A"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4.143.663</w:t>
            </w:r>
          </w:p>
        </w:tc>
        <w:tc>
          <w:tcPr>
            <w:tcW w:w="1399" w:type="dxa"/>
            <w:tcBorders>
              <w:top w:val="nil"/>
              <w:left w:val="nil"/>
              <w:bottom w:val="single" w:sz="4" w:space="0" w:color="auto"/>
              <w:right w:val="single" w:sz="4" w:space="0" w:color="auto"/>
            </w:tcBorders>
            <w:shd w:val="clear" w:color="000000" w:fill="FFFFFF"/>
            <w:noWrap/>
            <w:vAlign w:val="center"/>
            <w:hideMark/>
          </w:tcPr>
          <w:p w14:paraId="7B20DA55"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4.237.456</w:t>
            </w:r>
          </w:p>
        </w:tc>
        <w:tc>
          <w:tcPr>
            <w:tcW w:w="1111" w:type="dxa"/>
            <w:tcBorders>
              <w:top w:val="nil"/>
              <w:left w:val="nil"/>
              <w:bottom w:val="single" w:sz="4" w:space="0" w:color="auto"/>
              <w:right w:val="single" w:sz="4" w:space="0" w:color="auto"/>
            </w:tcBorders>
            <w:shd w:val="clear" w:color="000000" w:fill="FFFFFF"/>
            <w:noWrap/>
            <w:vAlign w:val="center"/>
            <w:hideMark/>
          </w:tcPr>
          <w:p w14:paraId="3664E711"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97,79</w:t>
            </w:r>
          </w:p>
        </w:tc>
      </w:tr>
      <w:tr w:rsidR="008702DD" w:rsidRPr="008702DD" w14:paraId="7DF1FE81" w14:textId="77777777" w:rsidTr="00384385">
        <w:trPr>
          <w:trHeight w:val="32"/>
        </w:trPr>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41D38310"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401</w:t>
            </w:r>
          </w:p>
        </w:tc>
        <w:tc>
          <w:tcPr>
            <w:tcW w:w="3884" w:type="dxa"/>
            <w:tcBorders>
              <w:top w:val="nil"/>
              <w:left w:val="nil"/>
              <w:bottom w:val="single" w:sz="4" w:space="0" w:color="auto"/>
              <w:right w:val="single" w:sz="4" w:space="0" w:color="auto"/>
            </w:tcBorders>
            <w:shd w:val="clear" w:color="000000" w:fill="FFFFFF"/>
            <w:noWrap/>
            <w:vAlign w:val="center"/>
            <w:hideMark/>
          </w:tcPr>
          <w:p w14:paraId="6A57C950" w14:textId="77777777" w:rsidR="008702DD" w:rsidRPr="008702DD" w:rsidRDefault="008702DD" w:rsidP="008702DD">
            <w:pPr>
              <w:spacing w:after="0" w:line="240" w:lineRule="auto"/>
              <w:ind w:left="0" w:right="0"/>
              <w:jc w:val="left"/>
              <w:rPr>
                <w:rFonts w:cs="Arial CE"/>
                <w:bCs w:val="0"/>
                <w:sz w:val="18"/>
                <w:szCs w:val="18"/>
              </w:rPr>
            </w:pPr>
            <w:r w:rsidRPr="008702DD">
              <w:rPr>
                <w:rFonts w:cs="Arial CE"/>
                <w:bCs w:val="0"/>
                <w:sz w:val="18"/>
                <w:szCs w:val="18"/>
              </w:rPr>
              <w:t>PRISPEVKI DELODAJALCEV ZA SOCIALNO VARNOST</w:t>
            </w:r>
          </w:p>
        </w:tc>
        <w:tc>
          <w:tcPr>
            <w:tcW w:w="1294" w:type="dxa"/>
            <w:tcBorders>
              <w:top w:val="nil"/>
              <w:left w:val="nil"/>
              <w:bottom w:val="single" w:sz="4" w:space="0" w:color="auto"/>
              <w:right w:val="single" w:sz="4" w:space="0" w:color="auto"/>
            </w:tcBorders>
            <w:shd w:val="clear" w:color="000000" w:fill="FFFFFF"/>
            <w:noWrap/>
            <w:vAlign w:val="center"/>
            <w:hideMark/>
          </w:tcPr>
          <w:p w14:paraId="44D2ED5C"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658.935</w:t>
            </w:r>
          </w:p>
        </w:tc>
        <w:tc>
          <w:tcPr>
            <w:tcW w:w="1399" w:type="dxa"/>
            <w:tcBorders>
              <w:top w:val="nil"/>
              <w:left w:val="nil"/>
              <w:bottom w:val="single" w:sz="4" w:space="0" w:color="auto"/>
              <w:right w:val="single" w:sz="4" w:space="0" w:color="auto"/>
            </w:tcBorders>
            <w:shd w:val="clear" w:color="000000" w:fill="FFFFFF"/>
            <w:noWrap/>
            <w:vAlign w:val="center"/>
            <w:hideMark/>
          </w:tcPr>
          <w:p w14:paraId="6AE8C074"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721.724</w:t>
            </w:r>
          </w:p>
        </w:tc>
        <w:tc>
          <w:tcPr>
            <w:tcW w:w="1111" w:type="dxa"/>
            <w:tcBorders>
              <w:top w:val="nil"/>
              <w:left w:val="nil"/>
              <w:bottom w:val="single" w:sz="4" w:space="0" w:color="auto"/>
              <w:right w:val="single" w:sz="4" w:space="0" w:color="auto"/>
            </w:tcBorders>
            <w:shd w:val="clear" w:color="000000" w:fill="FFFFFF"/>
            <w:noWrap/>
            <w:vAlign w:val="center"/>
            <w:hideMark/>
          </w:tcPr>
          <w:p w14:paraId="7E2C20C4"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91,30</w:t>
            </w:r>
          </w:p>
        </w:tc>
      </w:tr>
      <w:tr w:rsidR="008702DD" w:rsidRPr="008702DD" w14:paraId="330F91D3" w14:textId="77777777" w:rsidTr="00384385">
        <w:trPr>
          <w:trHeight w:val="32"/>
        </w:trPr>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47BD8C14"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402</w:t>
            </w:r>
          </w:p>
        </w:tc>
        <w:tc>
          <w:tcPr>
            <w:tcW w:w="3884" w:type="dxa"/>
            <w:tcBorders>
              <w:top w:val="nil"/>
              <w:left w:val="nil"/>
              <w:bottom w:val="single" w:sz="4" w:space="0" w:color="auto"/>
              <w:right w:val="single" w:sz="4" w:space="0" w:color="auto"/>
            </w:tcBorders>
            <w:shd w:val="clear" w:color="000000" w:fill="FFFFFF"/>
            <w:noWrap/>
            <w:vAlign w:val="center"/>
            <w:hideMark/>
          </w:tcPr>
          <w:p w14:paraId="4DB3C6CA" w14:textId="77777777" w:rsidR="008702DD" w:rsidRPr="008702DD" w:rsidRDefault="008702DD" w:rsidP="008702DD">
            <w:pPr>
              <w:spacing w:after="0" w:line="240" w:lineRule="auto"/>
              <w:ind w:left="0" w:right="0"/>
              <w:jc w:val="left"/>
              <w:rPr>
                <w:rFonts w:cs="Arial CE"/>
                <w:bCs w:val="0"/>
                <w:sz w:val="18"/>
                <w:szCs w:val="18"/>
              </w:rPr>
            </w:pPr>
            <w:r w:rsidRPr="008702DD">
              <w:rPr>
                <w:rFonts w:cs="Arial CE"/>
                <w:bCs w:val="0"/>
                <w:sz w:val="18"/>
                <w:szCs w:val="18"/>
              </w:rPr>
              <w:t xml:space="preserve">IZDATKI ZA BLAGO IN STORITVE </w:t>
            </w:r>
          </w:p>
        </w:tc>
        <w:tc>
          <w:tcPr>
            <w:tcW w:w="1294" w:type="dxa"/>
            <w:tcBorders>
              <w:top w:val="nil"/>
              <w:left w:val="nil"/>
              <w:bottom w:val="single" w:sz="4" w:space="0" w:color="auto"/>
              <w:right w:val="single" w:sz="4" w:space="0" w:color="auto"/>
            </w:tcBorders>
            <w:shd w:val="clear" w:color="000000" w:fill="FFFFFF"/>
            <w:noWrap/>
            <w:vAlign w:val="center"/>
            <w:hideMark/>
          </w:tcPr>
          <w:p w14:paraId="04DDFFF7"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9.464.454</w:t>
            </w:r>
          </w:p>
        </w:tc>
        <w:tc>
          <w:tcPr>
            <w:tcW w:w="1399" w:type="dxa"/>
            <w:tcBorders>
              <w:top w:val="nil"/>
              <w:left w:val="nil"/>
              <w:bottom w:val="single" w:sz="4" w:space="0" w:color="auto"/>
              <w:right w:val="single" w:sz="4" w:space="0" w:color="auto"/>
            </w:tcBorders>
            <w:shd w:val="clear" w:color="000000" w:fill="FFFFFF"/>
            <w:noWrap/>
            <w:vAlign w:val="center"/>
            <w:hideMark/>
          </w:tcPr>
          <w:p w14:paraId="53B14C45"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10.894.674</w:t>
            </w:r>
          </w:p>
        </w:tc>
        <w:tc>
          <w:tcPr>
            <w:tcW w:w="1111" w:type="dxa"/>
            <w:tcBorders>
              <w:top w:val="nil"/>
              <w:left w:val="nil"/>
              <w:bottom w:val="single" w:sz="4" w:space="0" w:color="auto"/>
              <w:right w:val="single" w:sz="4" w:space="0" w:color="auto"/>
            </w:tcBorders>
            <w:shd w:val="clear" w:color="000000" w:fill="FFFFFF"/>
            <w:noWrap/>
            <w:vAlign w:val="center"/>
            <w:hideMark/>
          </w:tcPr>
          <w:p w14:paraId="53C7CCFB"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86,87</w:t>
            </w:r>
          </w:p>
        </w:tc>
      </w:tr>
      <w:tr w:rsidR="008702DD" w:rsidRPr="008702DD" w14:paraId="4BEB9190" w14:textId="77777777" w:rsidTr="00384385">
        <w:trPr>
          <w:trHeight w:val="32"/>
        </w:trPr>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775A20EB"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403</w:t>
            </w:r>
          </w:p>
        </w:tc>
        <w:tc>
          <w:tcPr>
            <w:tcW w:w="3884" w:type="dxa"/>
            <w:tcBorders>
              <w:top w:val="nil"/>
              <w:left w:val="nil"/>
              <w:bottom w:val="single" w:sz="4" w:space="0" w:color="auto"/>
              <w:right w:val="single" w:sz="4" w:space="0" w:color="auto"/>
            </w:tcBorders>
            <w:shd w:val="clear" w:color="000000" w:fill="FFFFFF"/>
            <w:noWrap/>
            <w:vAlign w:val="center"/>
            <w:hideMark/>
          </w:tcPr>
          <w:p w14:paraId="57ADCC55" w14:textId="77777777" w:rsidR="008702DD" w:rsidRPr="008702DD" w:rsidRDefault="008702DD" w:rsidP="008702DD">
            <w:pPr>
              <w:spacing w:after="0" w:line="240" w:lineRule="auto"/>
              <w:ind w:left="0" w:right="0"/>
              <w:jc w:val="left"/>
              <w:rPr>
                <w:rFonts w:cs="Arial CE"/>
                <w:bCs w:val="0"/>
                <w:sz w:val="18"/>
                <w:szCs w:val="18"/>
              </w:rPr>
            </w:pPr>
            <w:r w:rsidRPr="008702DD">
              <w:rPr>
                <w:rFonts w:cs="Arial CE"/>
                <w:bCs w:val="0"/>
                <w:sz w:val="18"/>
                <w:szCs w:val="18"/>
              </w:rPr>
              <w:t>PLAČILA DOMAČIH OBRESTI</w:t>
            </w:r>
          </w:p>
        </w:tc>
        <w:tc>
          <w:tcPr>
            <w:tcW w:w="1294" w:type="dxa"/>
            <w:tcBorders>
              <w:top w:val="nil"/>
              <w:left w:val="nil"/>
              <w:bottom w:val="single" w:sz="4" w:space="0" w:color="auto"/>
              <w:right w:val="single" w:sz="4" w:space="0" w:color="auto"/>
            </w:tcBorders>
            <w:shd w:val="clear" w:color="000000" w:fill="FFFFFF"/>
            <w:noWrap/>
            <w:vAlign w:val="center"/>
            <w:hideMark/>
          </w:tcPr>
          <w:p w14:paraId="4184C78C"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824.233</w:t>
            </w:r>
          </w:p>
        </w:tc>
        <w:tc>
          <w:tcPr>
            <w:tcW w:w="1399" w:type="dxa"/>
            <w:tcBorders>
              <w:top w:val="nil"/>
              <w:left w:val="nil"/>
              <w:bottom w:val="single" w:sz="4" w:space="0" w:color="auto"/>
              <w:right w:val="single" w:sz="4" w:space="0" w:color="auto"/>
            </w:tcBorders>
            <w:shd w:val="clear" w:color="000000" w:fill="FFFFFF"/>
            <w:noWrap/>
            <w:vAlign w:val="center"/>
            <w:hideMark/>
          </w:tcPr>
          <w:p w14:paraId="1DE82A91"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859.100</w:t>
            </w:r>
          </w:p>
        </w:tc>
        <w:tc>
          <w:tcPr>
            <w:tcW w:w="1111" w:type="dxa"/>
            <w:tcBorders>
              <w:top w:val="nil"/>
              <w:left w:val="nil"/>
              <w:bottom w:val="single" w:sz="4" w:space="0" w:color="auto"/>
              <w:right w:val="single" w:sz="4" w:space="0" w:color="auto"/>
            </w:tcBorders>
            <w:shd w:val="clear" w:color="000000" w:fill="FFFFFF"/>
            <w:noWrap/>
            <w:vAlign w:val="center"/>
            <w:hideMark/>
          </w:tcPr>
          <w:p w14:paraId="6EB5B4F2"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95,94</w:t>
            </w:r>
          </w:p>
        </w:tc>
      </w:tr>
      <w:tr w:rsidR="008702DD" w:rsidRPr="008702DD" w14:paraId="276B6A80" w14:textId="77777777" w:rsidTr="00384385">
        <w:trPr>
          <w:trHeight w:val="32"/>
        </w:trPr>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273C1FA6"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409</w:t>
            </w:r>
          </w:p>
        </w:tc>
        <w:tc>
          <w:tcPr>
            <w:tcW w:w="3884" w:type="dxa"/>
            <w:tcBorders>
              <w:top w:val="nil"/>
              <w:left w:val="nil"/>
              <w:bottom w:val="single" w:sz="4" w:space="0" w:color="auto"/>
              <w:right w:val="single" w:sz="4" w:space="0" w:color="auto"/>
            </w:tcBorders>
            <w:shd w:val="clear" w:color="000000" w:fill="FFFFFF"/>
            <w:noWrap/>
            <w:vAlign w:val="center"/>
            <w:hideMark/>
          </w:tcPr>
          <w:p w14:paraId="4896F114" w14:textId="77777777" w:rsidR="008702DD" w:rsidRPr="008702DD" w:rsidRDefault="008702DD" w:rsidP="008702DD">
            <w:pPr>
              <w:spacing w:after="0" w:line="240" w:lineRule="auto"/>
              <w:ind w:left="0" w:right="0"/>
              <w:jc w:val="left"/>
              <w:rPr>
                <w:rFonts w:cs="Arial CE"/>
                <w:bCs w:val="0"/>
                <w:sz w:val="18"/>
                <w:szCs w:val="18"/>
              </w:rPr>
            </w:pPr>
            <w:r w:rsidRPr="008702DD">
              <w:rPr>
                <w:rFonts w:cs="Arial CE"/>
                <w:bCs w:val="0"/>
                <w:sz w:val="18"/>
                <w:szCs w:val="18"/>
              </w:rPr>
              <w:t>REZERVE</w:t>
            </w:r>
          </w:p>
        </w:tc>
        <w:tc>
          <w:tcPr>
            <w:tcW w:w="1294" w:type="dxa"/>
            <w:tcBorders>
              <w:top w:val="nil"/>
              <w:left w:val="nil"/>
              <w:bottom w:val="single" w:sz="4" w:space="0" w:color="auto"/>
              <w:right w:val="single" w:sz="4" w:space="0" w:color="auto"/>
            </w:tcBorders>
            <w:shd w:val="clear" w:color="000000" w:fill="FFFFFF"/>
            <w:noWrap/>
            <w:vAlign w:val="center"/>
            <w:hideMark/>
          </w:tcPr>
          <w:p w14:paraId="61AB7AEF"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20.000</w:t>
            </w:r>
          </w:p>
        </w:tc>
        <w:tc>
          <w:tcPr>
            <w:tcW w:w="1399" w:type="dxa"/>
            <w:tcBorders>
              <w:top w:val="nil"/>
              <w:left w:val="nil"/>
              <w:bottom w:val="single" w:sz="4" w:space="0" w:color="auto"/>
              <w:right w:val="single" w:sz="4" w:space="0" w:color="auto"/>
            </w:tcBorders>
            <w:shd w:val="clear" w:color="000000" w:fill="FFFFFF"/>
            <w:noWrap/>
            <w:vAlign w:val="center"/>
            <w:hideMark/>
          </w:tcPr>
          <w:p w14:paraId="0A980788"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20.000</w:t>
            </w:r>
          </w:p>
        </w:tc>
        <w:tc>
          <w:tcPr>
            <w:tcW w:w="1111" w:type="dxa"/>
            <w:tcBorders>
              <w:top w:val="nil"/>
              <w:left w:val="nil"/>
              <w:bottom w:val="single" w:sz="4" w:space="0" w:color="auto"/>
              <w:right w:val="single" w:sz="4" w:space="0" w:color="auto"/>
            </w:tcBorders>
            <w:shd w:val="clear" w:color="000000" w:fill="FFFFFF"/>
            <w:noWrap/>
            <w:vAlign w:val="center"/>
            <w:hideMark/>
          </w:tcPr>
          <w:p w14:paraId="0565A4AE"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100,00</w:t>
            </w:r>
          </w:p>
        </w:tc>
      </w:tr>
      <w:tr w:rsidR="008702DD" w:rsidRPr="008702DD" w14:paraId="0E884407" w14:textId="77777777" w:rsidTr="00384385">
        <w:trPr>
          <w:trHeight w:val="32"/>
        </w:trPr>
        <w:tc>
          <w:tcPr>
            <w:tcW w:w="794" w:type="dxa"/>
            <w:tcBorders>
              <w:top w:val="nil"/>
              <w:left w:val="single" w:sz="4" w:space="0" w:color="auto"/>
              <w:bottom w:val="single" w:sz="4" w:space="0" w:color="auto"/>
              <w:right w:val="single" w:sz="4" w:space="0" w:color="auto"/>
            </w:tcBorders>
            <w:shd w:val="clear" w:color="000000" w:fill="BFBFBF"/>
            <w:noWrap/>
            <w:vAlign w:val="center"/>
            <w:hideMark/>
          </w:tcPr>
          <w:p w14:paraId="5EE16852"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41</w:t>
            </w:r>
          </w:p>
        </w:tc>
        <w:tc>
          <w:tcPr>
            <w:tcW w:w="3884" w:type="dxa"/>
            <w:tcBorders>
              <w:top w:val="nil"/>
              <w:left w:val="nil"/>
              <w:bottom w:val="single" w:sz="4" w:space="0" w:color="auto"/>
              <w:right w:val="single" w:sz="4" w:space="0" w:color="auto"/>
            </w:tcBorders>
            <w:shd w:val="clear" w:color="000000" w:fill="BFBFBF"/>
            <w:noWrap/>
            <w:vAlign w:val="center"/>
            <w:hideMark/>
          </w:tcPr>
          <w:p w14:paraId="086BF7FF" w14:textId="77777777" w:rsidR="008702DD" w:rsidRPr="008702DD" w:rsidRDefault="008702DD" w:rsidP="008702DD">
            <w:pPr>
              <w:spacing w:after="0" w:line="240" w:lineRule="auto"/>
              <w:ind w:left="0" w:right="0"/>
              <w:jc w:val="left"/>
              <w:rPr>
                <w:rFonts w:cs="Arial CE"/>
                <w:bCs w:val="0"/>
                <w:sz w:val="18"/>
                <w:szCs w:val="18"/>
              </w:rPr>
            </w:pPr>
            <w:r w:rsidRPr="008702DD">
              <w:rPr>
                <w:rFonts w:cs="Arial CE"/>
                <w:bCs w:val="0"/>
                <w:sz w:val="18"/>
                <w:szCs w:val="18"/>
              </w:rPr>
              <w:t>TEKOČI TRANSFERI  (410+411+412+413+414)</w:t>
            </w:r>
          </w:p>
        </w:tc>
        <w:tc>
          <w:tcPr>
            <w:tcW w:w="1294" w:type="dxa"/>
            <w:tcBorders>
              <w:top w:val="nil"/>
              <w:left w:val="nil"/>
              <w:bottom w:val="single" w:sz="4" w:space="0" w:color="auto"/>
              <w:right w:val="single" w:sz="4" w:space="0" w:color="auto"/>
            </w:tcBorders>
            <w:shd w:val="clear" w:color="000000" w:fill="BFBFBF"/>
            <w:noWrap/>
            <w:vAlign w:val="center"/>
            <w:hideMark/>
          </w:tcPr>
          <w:p w14:paraId="31159BD3"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20.832.974</w:t>
            </w:r>
          </w:p>
        </w:tc>
        <w:tc>
          <w:tcPr>
            <w:tcW w:w="1399" w:type="dxa"/>
            <w:tcBorders>
              <w:top w:val="nil"/>
              <w:left w:val="nil"/>
              <w:bottom w:val="single" w:sz="4" w:space="0" w:color="auto"/>
              <w:right w:val="single" w:sz="4" w:space="0" w:color="auto"/>
            </w:tcBorders>
            <w:shd w:val="clear" w:color="000000" w:fill="BFBFBF"/>
            <w:noWrap/>
            <w:vAlign w:val="center"/>
            <w:hideMark/>
          </w:tcPr>
          <w:p w14:paraId="2507AB3F"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21.006.744</w:t>
            </w:r>
          </w:p>
        </w:tc>
        <w:tc>
          <w:tcPr>
            <w:tcW w:w="1111" w:type="dxa"/>
            <w:tcBorders>
              <w:top w:val="nil"/>
              <w:left w:val="nil"/>
              <w:bottom w:val="single" w:sz="4" w:space="0" w:color="auto"/>
              <w:right w:val="single" w:sz="4" w:space="0" w:color="auto"/>
            </w:tcBorders>
            <w:shd w:val="clear" w:color="000000" w:fill="BFBFBF"/>
            <w:noWrap/>
            <w:vAlign w:val="center"/>
            <w:hideMark/>
          </w:tcPr>
          <w:p w14:paraId="32414F34"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99,17</w:t>
            </w:r>
          </w:p>
        </w:tc>
      </w:tr>
      <w:tr w:rsidR="008702DD" w:rsidRPr="008702DD" w14:paraId="044120E4" w14:textId="77777777" w:rsidTr="00384385">
        <w:trPr>
          <w:trHeight w:val="32"/>
        </w:trPr>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1CA6749F"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410</w:t>
            </w:r>
          </w:p>
        </w:tc>
        <w:tc>
          <w:tcPr>
            <w:tcW w:w="3884" w:type="dxa"/>
            <w:tcBorders>
              <w:top w:val="nil"/>
              <w:left w:val="nil"/>
              <w:bottom w:val="single" w:sz="4" w:space="0" w:color="auto"/>
              <w:right w:val="single" w:sz="4" w:space="0" w:color="auto"/>
            </w:tcBorders>
            <w:shd w:val="clear" w:color="000000" w:fill="FFFFFF"/>
            <w:noWrap/>
            <w:vAlign w:val="center"/>
            <w:hideMark/>
          </w:tcPr>
          <w:p w14:paraId="38D4B474" w14:textId="77777777" w:rsidR="008702DD" w:rsidRPr="008702DD" w:rsidRDefault="008702DD" w:rsidP="008702DD">
            <w:pPr>
              <w:spacing w:after="0" w:line="240" w:lineRule="auto"/>
              <w:ind w:left="0" w:right="0"/>
              <w:jc w:val="left"/>
              <w:rPr>
                <w:rFonts w:cs="Arial CE"/>
                <w:bCs w:val="0"/>
                <w:sz w:val="18"/>
                <w:szCs w:val="18"/>
              </w:rPr>
            </w:pPr>
            <w:r w:rsidRPr="008702DD">
              <w:rPr>
                <w:rFonts w:cs="Arial CE"/>
                <w:bCs w:val="0"/>
                <w:sz w:val="18"/>
                <w:szCs w:val="18"/>
              </w:rPr>
              <w:t>SUBVENCIJE</w:t>
            </w:r>
          </w:p>
        </w:tc>
        <w:tc>
          <w:tcPr>
            <w:tcW w:w="1294" w:type="dxa"/>
            <w:tcBorders>
              <w:top w:val="nil"/>
              <w:left w:val="nil"/>
              <w:bottom w:val="single" w:sz="4" w:space="0" w:color="auto"/>
              <w:right w:val="single" w:sz="4" w:space="0" w:color="auto"/>
            </w:tcBorders>
            <w:shd w:val="clear" w:color="000000" w:fill="FFFFFF"/>
            <w:noWrap/>
            <w:vAlign w:val="center"/>
            <w:hideMark/>
          </w:tcPr>
          <w:p w14:paraId="531BA4ED"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791.501</w:t>
            </w:r>
          </w:p>
        </w:tc>
        <w:tc>
          <w:tcPr>
            <w:tcW w:w="1399" w:type="dxa"/>
            <w:tcBorders>
              <w:top w:val="nil"/>
              <w:left w:val="nil"/>
              <w:bottom w:val="single" w:sz="4" w:space="0" w:color="auto"/>
              <w:right w:val="single" w:sz="4" w:space="0" w:color="auto"/>
            </w:tcBorders>
            <w:shd w:val="clear" w:color="000000" w:fill="FFFFFF"/>
            <w:noWrap/>
            <w:vAlign w:val="center"/>
            <w:hideMark/>
          </w:tcPr>
          <w:p w14:paraId="6692E951"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794.169</w:t>
            </w:r>
          </w:p>
        </w:tc>
        <w:tc>
          <w:tcPr>
            <w:tcW w:w="1111" w:type="dxa"/>
            <w:tcBorders>
              <w:top w:val="nil"/>
              <w:left w:val="nil"/>
              <w:bottom w:val="single" w:sz="4" w:space="0" w:color="auto"/>
              <w:right w:val="single" w:sz="4" w:space="0" w:color="auto"/>
            </w:tcBorders>
            <w:shd w:val="clear" w:color="000000" w:fill="FFFFFF"/>
            <w:noWrap/>
            <w:vAlign w:val="center"/>
            <w:hideMark/>
          </w:tcPr>
          <w:p w14:paraId="2D0DC4BC"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99,66</w:t>
            </w:r>
          </w:p>
        </w:tc>
      </w:tr>
      <w:tr w:rsidR="008702DD" w:rsidRPr="008702DD" w14:paraId="274C319D" w14:textId="77777777" w:rsidTr="00384385">
        <w:trPr>
          <w:trHeight w:val="32"/>
        </w:trPr>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51976DF8"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411</w:t>
            </w:r>
          </w:p>
        </w:tc>
        <w:tc>
          <w:tcPr>
            <w:tcW w:w="3884" w:type="dxa"/>
            <w:tcBorders>
              <w:top w:val="nil"/>
              <w:left w:val="nil"/>
              <w:bottom w:val="single" w:sz="4" w:space="0" w:color="auto"/>
              <w:right w:val="single" w:sz="4" w:space="0" w:color="auto"/>
            </w:tcBorders>
            <w:shd w:val="clear" w:color="000000" w:fill="FFFFFF"/>
            <w:noWrap/>
            <w:vAlign w:val="center"/>
            <w:hideMark/>
          </w:tcPr>
          <w:p w14:paraId="3962A434" w14:textId="77777777" w:rsidR="008702DD" w:rsidRPr="008702DD" w:rsidRDefault="008702DD" w:rsidP="008702DD">
            <w:pPr>
              <w:spacing w:after="0" w:line="240" w:lineRule="auto"/>
              <w:ind w:left="0" w:right="0"/>
              <w:jc w:val="left"/>
              <w:rPr>
                <w:rFonts w:cs="Arial CE"/>
                <w:bCs w:val="0"/>
                <w:sz w:val="18"/>
                <w:szCs w:val="18"/>
              </w:rPr>
            </w:pPr>
            <w:r w:rsidRPr="008702DD">
              <w:rPr>
                <w:rFonts w:cs="Arial CE"/>
                <w:bCs w:val="0"/>
                <w:sz w:val="18"/>
                <w:szCs w:val="18"/>
              </w:rPr>
              <w:t>TRANSFERI POSAMEZNIKOM IN GOSPODINJSTVOM</w:t>
            </w:r>
          </w:p>
        </w:tc>
        <w:tc>
          <w:tcPr>
            <w:tcW w:w="1294" w:type="dxa"/>
            <w:tcBorders>
              <w:top w:val="nil"/>
              <w:left w:val="nil"/>
              <w:bottom w:val="single" w:sz="4" w:space="0" w:color="auto"/>
              <w:right w:val="single" w:sz="4" w:space="0" w:color="auto"/>
            </w:tcBorders>
            <w:shd w:val="clear" w:color="000000" w:fill="FFFFFF"/>
            <w:noWrap/>
            <w:vAlign w:val="center"/>
            <w:hideMark/>
          </w:tcPr>
          <w:p w14:paraId="184221F4"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8.147.822</w:t>
            </w:r>
          </w:p>
        </w:tc>
        <w:tc>
          <w:tcPr>
            <w:tcW w:w="1399" w:type="dxa"/>
            <w:tcBorders>
              <w:top w:val="nil"/>
              <w:left w:val="nil"/>
              <w:bottom w:val="single" w:sz="4" w:space="0" w:color="auto"/>
              <w:right w:val="single" w:sz="4" w:space="0" w:color="auto"/>
            </w:tcBorders>
            <w:shd w:val="clear" w:color="000000" w:fill="FFFFFF"/>
            <w:noWrap/>
            <w:vAlign w:val="center"/>
            <w:hideMark/>
          </w:tcPr>
          <w:p w14:paraId="3C1D56EC"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8.260.793</w:t>
            </w:r>
          </w:p>
        </w:tc>
        <w:tc>
          <w:tcPr>
            <w:tcW w:w="1111" w:type="dxa"/>
            <w:tcBorders>
              <w:top w:val="nil"/>
              <w:left w:val="nil"/>
              <w:bottom w:val="single" w:sz="4" w:space="0" w:color="auto"/>
              <w:right w:val="single" w:sz="4" w:space="0" w:color="auto"/>
            </w:tcBorders>
            <w:shd w:val="clear" w:color="000000" w:fill="FFFFFF"/>
            <w:noWrap/>
            <w:vAlign w:val="center"/>
            <w:hideMark/>
          </w:tcPr>
          <w:p w14:paraId="4C9C67F0"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98,63</w:t>
            </w:r>
          </w:p>
        </w:tc>
      </w:tr>
      <w:tr w:rsidR="008702DD" w:rsidRPr="008702DD" w14:paraId="62693F88" w14:textId="77777777" w:rsidTr="00384385">
        <w:trPr>
          <w:trHeight w:val="32"/>
        </w:trPr>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31181C31"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412</w:t>
            </w:r>
          </w:p>
        </w:tc>
        <w:tc>
          <w:tcPr>
            <w:tcW w:w="3884" w:type="dxa"/>
            <w:tcBorders>
              <w:top w:val="nil"/>
              <w:left w:val="nil"/>
              <w:bottom w:val="single" w:sz="4" w:space="0" w:color="auto"/>
              <w:right w:val="single" w:sz="4" w:space="0" w:color="auto"/>
            </w:tcBorders>
            <w:shd w:val="clear" w:color="000000" w:fill="FFFFFF"/>
            <w:noWrap/>
            <w:vAlign w:val="center"/>
            <w:hideMark/>
          </w:tcPr>
          <w:p w14:paraId="04FE5A92" w14:textId="77777777" w:rsidR="008702DD" w:rsidRPr="008702DD" w:rsidRDefault="008702DD" w:rsidP="008702DD">
            <w:pPr>
              <w:spacing w:after="0" w:line="240" w:lineRule="auto"/>
              <w:ind w:left="0" w:right="0"/>
              <w:jc w:val="left"/>
              <w:rPr>
                <w:rFonts w:cs="Arial CE"/>
                <w:bCs w:val="0"/>
                <w:sz w:val="18"/>
                <w:szCs w:val="18"/>
              </w:rPr>
            </w:pPr>
            <w:r w:rsidRPr="008702DD">
              <w:rPr>
                <w:rFonts w:cs="Arial CE"/>
                <w:bCs w:val="0"/>
                <w:sz w:val="18"/>
                <w:szCs w:val="18"/>
              </w:rPr>
              <w:t>TRANSFERI NEPROFITNIM ORGANIZACIJAM IN USTANOVAM</w:t>
            </w:r>
          </w:p>
        </w:tc>
        <w:tc>
          <w:tcPr>
            <w:tcW w:w="1294" w:type="dxa"/>
            <w:tcBorders>
              <w:top w:val="nil"/>
              <w:left w:val="nil"/>
              <w:bottom w:val="single" w:sz="4" w:space="0" w:color="auto"/>
              <w:right w:val="single" w:sz="4" w:space="0" w:color="auto"/>
            </w:tcBorders>
            <w:shd w:val="clear" w:color="000000" w:fill="FFFFFF"/>
            <w:noWrap/>
            <w:vAlign w:val="center"/>
            <w:hideMark/>
          </w:tcPr>
          <w:p w14:paraId="2CE5538E"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1.105.888</w:t>
            </w:r>
          </w:p>
        </w:tc>
        <w:tc>
          <w:tcPr>
            <w:tcW w:w="1399" w:type="dxa"/>
            <w:tcBorders>
              <w:top w:val="nil"/>
              <w:left w:val="nil"/>
              <w:bottom w:val="single" w:sz="4" w:space="0" w:color="auto"/>
              <w:right w:val="single" w:sz="4" w:space="0" w:color="auto"/>
            </w:tcBorders>
            <w:shd w:val="clear" w:color="000000" w:fill="FFFFFF"/>
            <w:noWrap/>
            <w:vAlign w:val="center"/>
            <w:hideMark/>
          </w:tcPr>
          <w:p w14:paraId="74C3311F"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1.112.474</w:t>
            </w:r>
          </w:p>
        </w:tc>
        <w:tc>
          <w:tcPr>
            <w:tcW w:w="1111" w:type="dxa"/>
            <w:tcBorders>
              <w:top w:val="nil"/>
              <w:left w:val="nil"/>
              <w:bottom w:val="single" w:sz="4" w:space="0" w:color="auto"/>
              <w:right w:val="single" w:sz="4" w:space="0" w:color="auto"/>
            </w:tcBorders>
            <w:shd w:val="clear" w:color="000000" w:fill="FFFFFF"/>
            <w:noWrap/>
            <w:vAlign w:val="center"/>
            <w:hideMark/>
          </w:tcPr>
          <w:p w14:paraId="7F40577C"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99,41</w:t>
            </w:r>
          </w:p>
        </w:tc>
      </w:tr>
      <w:tr w:rsidR="008702DD" w:rsidRPr="008702DD" w14:paraId="3414C151" w14:textId="77777777" w:rsidTr="00384385">
        <w:trPr>
          <w:trHeight w:val="32"/>
        </w:trPr>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7AB73E9C"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413</w:t>
            </w:r>
          </w:p>
        </w:tc>
        <w:tc>
          <w:tcPr>
            <w:tcW w:w="3884" w:type="dxa"/>
            <w:tcBorders>
              <w:top w:val="nil"/>
              <w:left w:val="nil"/>
              <w:bottom w:val="single" w:sz="4" w:space="0" w:color="auto"/>
              <w:right w:val="single" w:sz="4" w:space="0" w:color="auto"/>
            </w:tcBorders>
            <w:shd w:val="clear" w:color="000000" w:fill="FFFFFF"/>
            <w:noWrap/>
            <w:vAlign w:val="center"/>
            <w:hideMark/>
          </w:tcPr>
          <w:p w14:paraId="62E9F0B0" w14:textId="77777777" w:rsidR="008702DD" w:rsidRPr="008702DD" w:rsidRDefault="008702DD" w:rsidP="008702DD">
            <w:pPr>
              <w:spacing w:after="0" w:line="240" w:lineRule="auto"/>
              <w:ind w:left="0" w:right="0"/>
              <w:jc w:val="left"/>
              <w:rPr>
                <w:rFonts w:cs="Arial CE"/>
                <w:bCs w:val="0"/>
                <w:sz w:val="18"/>
                <w:szCs w:val="18"/>
              </w:rPr>
            </w:pPr>
            <w:r w:rsidRPr="008702DD">
              <w:rPr>
                <w:rFonts w:cs="Arial CE"/>
                <w:bCs w:val="0"/>
                <w:sz w:val="18"/>
                <w:szCs w:val="18"/>
              </w:rPr>
              <w:t xml:space="preserve">DRUGI TEKOČI DOMAČI TRANSFERI </w:t>
            </w:r>
          </w:p>
        </w:tc>
        <w:tc>
          <w:tcPr>
            <w:tcW w:w="1294" w:type="dxa"/>
            <w:tcBorders>
              <w:top w:val="nil"/>
              <w:left w:val="nil"/>
              <w:bottom w:val="single" w:sz="4" w:space="0" w:color="auto"/>
              <w:right w:val="single" w:sz="4" w:space="0" w:color="auto"/>
            </w:tcBorders>
            <w:shd w:val="clear" w:color="000000" w:fill="FFFFFF"/>
            <w:noWrap/>
            <w:vAlign w:val="center"/>
            <w:hideMark/>
          </w:tcPr>
          <w:p w14:paraId="43C38041"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10.653.763</w:t>
            </w:r>
          </w:p>
        </w:tc>
        <w:tc>
          <w:tcPr>
            <w:tcW w:w="1399" w:type="dxa"/>
            <w:tcBorders>
              <w:top w:val="nil"/>
              <w:left w:val="nil"/>
              <w:bottom w:val="single" w:sz="4" w:space="0" w:color="auto"/>
              <w:right w:val="single" w:sz="4" w:space="0" w:color="auto"/>
            </w:tcBorders>
            <w:shd w:val="clear" w:color="000000" w:fill="FFFFFF"/>
            <w:noWrap/>
            <w:vAlign w:val="center"/>
            <w:hideMark/>
          </w:tcPr>
          <w:p w14:paraId="3E1C222B"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10.699.608</w:t>
            </w:r>
          </w:p>
        </w:tc>
        <w:tc>
          <w:tcPr>
            <w:tcW w:w="1111" w:type="dxa"/>
            <w:tcBorders>
              <w:top w:val="nil"/>
              <w:left w:val="nil"/>
              <w:bottom w:val="single" w:sz="4" w:space="0" w:color="auto"/>
              <w:right w:val="single" w:sz="4" w:space="0" w:color="auto"/>
            </w:tcBorders>
            <w:shd w:val="clear" w:color="000000" w:fill="FFFFFF"/>
            <w:noWrap/>
            <w:vAlign w:val="center"/>
            <w:hideMark/>
          </w:tcPr>
          <w:p w14:paraId="58579C51"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99,57</w:t>
            </w:r>
          </w:p>
        </w:tc>
      </w:tr>
      <w:tr w:rsidR="008702DD" w:rsidRPr="008702DD" w14:paraId="00B7C18C" w14:textId="77777777" w:rsidTr="00384385">
        <w:trPr>
          <w:trHeight w:val="32"/>
        </w:trPr>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1B491DDD"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414</w:t>
            </w:r>
          </w:p>
        </w:tc>
        <w:tc>
          <w:tcPr>
            <w:tcW w:w="3884" w:type="dxa"/>
            <w:tcBorders>
              <w:top w:val="nil"/>
              <w:left w:val="nil"/>
              <w:bottom w:val="single" w:sz="4" w:space="0" w:color="auto"/>
              <w:right w:val="single" w:sz="4" w:space="0" w:color="auto"/>
            </w:tcBorders>
            <w:shd w:val="clear" w:color="000000" w:fill="FFFFFF"/>
            <w:noWrap/>
            <w:vAlign w:val="center"/>
            <w:hideMark/>
          </w:tcPr>
          <w:p w14:paraId="5F0B6E2A" w14:textId="77777777" w:rsidR="008702DD" w:rsidRPr="008702DD" w:rsidRDefault="008702DD" w:rsidP="008702DD">
            <w:pPr>
              <w:spacing w:after="0" w:line="240" w:lineRule="auto"/>
              <w:ind w:left="0" w:right="0"/>
              <w:jc w:val="left"/>
              <w:rPr>
                <w:rFonts w:cs="Arial CE"/>
                <w:bCs w:val="0"/>
                <w:sz w:val="18"/>
                <w:szCs w:val="18"/>
              </w:rPr>
            </w:pPr>
            <w:r w:rsidRPr="008702DD">
              <w:rPr>
                <w:rFonts w:cs="Arial CE"/>
                <w:bCs w:val="0"/>
                <w:sz w:val="18"/>
                <w:szCs w:val="18"/>
              </w:rPr>
              <w:t>TEKOČI TRANSFERI V TUJINO</w:t>
            </w:r>
          </w:p>
        </w:tc>
        <w:tc>
          <w:tcPr>
            <w:tcW w:w="1294" w:type="dxa"/>
            <w:tcBorders>
              <w:top w:val="nil"/>
              <w:left w:val="nil"/>
              <w:bottom w:val="single" w:sz="4" w:space="0" w:color="auto"/>
              <w:right w:val="single" w:sz="4" w:space="0" w:color="auto"/>
            </w:tcBorders>
            <w:shd w:val="clear" w:color="000000" w:fill="FFFFFF"/>
            <w:noWrap/>
            <w:vAlign w:val="center"/>
            <w:hideMark/>
          </w:tcPr>
          <w:p w14:paraId="548E3B04"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134.000</w:t>
            </w:r>
          </w:p>
        </w:tc>
        <w:tc>
          <w:tcPr>
            <w:tcW w:w="1399" w:type="dxa"/>
            <w:tcBorders>
              <w:top w:val="nil"/>
              <w:left w:val="nil"/>
              <w:bottom w:val="single" w:sz="4" w:space="0" w:color="auto"/>
              <w:right w:val="single" w:sz="4" w:space="0" w:color="auto"/>
            </w:tcBorders>
            <w:shd w:val="clear" w:color="000000" w:fill="FFFFFF"/>
            <w:noWrap/>
            <w:vAlign w:val="center"/>
            <w:hideMark/>
          </w:tcPr>
          <w:p w14:paraId="6F7AE8A9"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139.700</w:t>
            </w:r>
          </w:p>
        </w:tc>
        <w:tc>
          <w:tcPr>
            <w:tcW w:w="1111" w:type="dxa"/>
            <w:tcBorders>
              <w:top w:val="nil"/>
              <w:left w:val="nil"/>
              <w:bottom w:val="single" w:sz="4" w:space="0" w:color="auto"/>
              <w:right w:val="single" w:sz="4" w:space="0" w:color="auto"/>
            </w:tcBorders>
            <w:shd w:val="clear" w:color="000000" w:fill="FFFFFF"/>
            <w:noWrap/>
            <w:vAlign w:val="center"/>
            <w:hideMark/>
          </w:tcPr>
          <w:p w14:paraId="593C7DED"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95,92</w:t>
            </w:r>
          </w:p>
        </w:tc>
      </w:tr>
      <w:tr w:rsidR="008702DD" w:rsidRPr="008702DD" w14:paraId="4685F19F" w14:textId="77777777" w:rsidTr="00384385">
        <w:trPr>
          <w:trHeight w:val="32"/>
        </w:trPr>
        <w:tc>
          <w:tcPr>
            <w:tcW w:w="794" w:type="dxa"/>
            <w:tcBorders>
              <w:top w:val="nil"/>
              <w:left w:val="single" w:sz="4" w:space="0" w:color="auto"/>
              <w:bottom w:val="single" w:sz="4" w:space="0" w:color="auto"/>
              <w:right w:val="single" w:sz="4" w:space="0" w:color="auto"/>
            </w:tcBorders>
            <w:shd w:val="clear" w:color="000000" w:fill="BFBFBF"/>
            <w:noWrap/>
            <w:vAlign w:val="center"/>
            <w:hideMark/>
          </w:tcPr>
          <w:p w14:paraId="2488C02C"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42</w:t>
            </w:r>
          </w:p>
        </w:tc>
        <w:tc>
          <w:tcPr>
            <w:tcW w:w="3884" w:type="dxa"/>
            <w:tcBorders>
              <w:top w:val="nil"/>
              <w:left w:val="nil"/>
              <w:bottom w:val="single" w:sz="4" w:space="0" w:color="auto"/>
              <w:right w:val="single" w:sz="4" w:space="0" w:color="auto"/>
            </w:tcBorders>
            <w:shd w:val="clear" w:color="000000" w:fill="BFBFBF"/>
            <w:noWrap/>
            <w:vAlign w:val="center"/>
            <w:hideMark/>
          </w:tcPr>
          <w:p w14:paraId="2D412730" w14:textId="77777777" w:rsidR="008702DD" w:rsidRPr="008702DD" w:rsidRDefault="008702DD" w:rsidP="008702DD">
            <w:pPr>
              <w:spacing w:after="0" w:line="240" w:lineRule="auto"/>
              <w:ind w:left="0" w:right="0"/>
              <w:jc w:val="left"/>
              <w:rPr>
                <w:rFonts w:cs="Arial CE"/>
                <w:bCs w:val="0"/>
                <w:sz w:val="18"/>
                <w:szCs w:val="18"/>
              </w:rPr>
            </w:pPr>
            <w:r w:rsidRPr="008702DD">
              <w:rPr>
                <w:rFonts w:cs="Arial CE"/>
                <w:bCs w:val="0"/>
                <w:sz w:val="18"/>
                <w:szCs w:val="18"/>
              </w:rPr>
              <w:t>INVESTICIJSKI ODHODKI  (420)</w:t>
            </w:r>
          </w:p>
        </w:tc>
        <w:tc>
          <w:tcPr>
            <w:tcW w:w="1294" w:type="dxa"/>
            <w:tcBorders>
              <w:top w:val="nil"/>
              <w:left w:val="nil"/>
              <w:bottom w:val="single" w:sz="4" w:space="0" w:color="auto"/>
              <w:right w:val="single" w:sz="4" w:space="0" w:color="auto"/>
            </w:tcBorders>
            <w:shd w:val="clear" w:color="000000" w:fill="BFBFBF"/>
            <w:noWrap/>
            <w:vAlign w:val="center"/>
            <w:hideMark/>
          </w:tcPr>
          <w:p w14:paraId="37891B31"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21.554.319</w:t>
            </w:r>
          </w:p>
        </w:tc>
        <w:tc>
          <w:tcPr>
            <w:tcW w:w="1399" w:type="dxa"/>
            <w:tcBorders>
              <w:top w:val="nil"/>
              <w:left w:val="nil"/>
              <w:bottom w:val="single" w:sz="4" w:space="0" w:color="auto"/>
              <w:right w:val="single" w:sz="4" w:space="0" w:color="auto"/>
            </w:tcBorders>
            <w:shd w:val="clear" w:color="000000" w:fill="BFBFBF"/>
            <w:noWrap/>
            <w:vAlign w:val="center"/>
            <w:hideMark/>
          </w:tcPr>
          <w:p w14:paraId="21E4F238"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28.621.478</w:t>
            </w:r>
          </w:p>
        </w:tc>
        <w:tc>
          <w:tcPr>
            <w:tcW w:w="1111" w:type="dxa"/>
            <w:tcBorders>
              <w:top w:val="nil"/>
              <w:left w:val="nil"/>
              <w:bottom w:val="single" w:sz="4" w:space="0" w:color="auto"/>
              <w:right w:val="single" w:sz="4" w:space="0" w:color="auto"/>
            </w:tcBorders>
            <w:shd w:val="clear" w:color="000000" w:fill="BFBFBF"/>
            <w:noWrap/>
            <w:vAlign w:val="center"/>
            <w:hideMark/>
          </w:tcPr>
          <w:p w14:paraId="672D0E2E"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75,31</w:t>
            </w:r>
          </w:p>
        </w:tc>
      </w:tr>
      <w:tr w:rsidR="008702DD" w:rsidRPr="008702DD" w14:paraId="204B95F2" w14:textId="77777777" w:rsidTr="00384385">
        <w:trPr>
          <w:trHeight w:val="32"/>
        </w:trPr>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1B9344B8"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420</w:t>
            </w:r>
          </w:p>
        </w:tc>
        <w:tc>
          <w:tcPr>
            <w:tcW w:w="3884" w:type="dxa"/>
            <w:tcBorders>
              <w:top w:val="nil"/>
              <w:left w:val="nil"/>
              <w:bottom w:val="single" w:sz="4" w:space="0" w:color="auto"/>
              <w:right w:val="single" w:sz="4" w:space="0" w:color="auto"/>
            </w:tcBorders>
            <w:shd w:val="clear" w:color="000000" w:fill="FFFFFF"/>
            <w:noWrap/>
            <w:vAlign w:val="center"/>
            <w:hideMark/>
          </w:tcPr>
          <w:p w14:paraId="7BC00628" w14:textId="77777777" w:rsidR="008702DD" w:rsidRPr="008702DD" w:rsidRDefault="008702DD" w:rsidP="008702DD">
            <w:pPr>
              <w:spacing w:after="0" w:line="240" w:lineRule="auto"/>
              <w:ind w:left="0" w:right="0"/>
              <w:jc w:val="left"/>
              <w:rPr>
                <w:rFonts w:cs="Arial CE"/>
                <w:bCs w:val="0"/>
                <w:sz w:val="18"/>
                <w:szCs w:val="18"/>
              </w:rPr>
            </w:pPr>
            <w:r w:rsidRPr="008702DD">
              <w:rPr>
                <w:rFonts w:cs="Arial CE"/>
                <w:bCs w:val="0"/>
                <w:sz w:val="18"/>
                <w:szCs w:val="18"/>
              </w:rPr>
              <w:t>NAKUP IN GRADNJA OSNOVNIH SREDSTEV</w:t>
            </w:r>
          </w:p>
        </w:tc>
        <w:tc>
          <w:tcPr>
            <w:tcW w:w="1294" w:type="dxa"/>
            <w:tcBorders>
              <w:top w:val="nil"/>
              <w:left w:val="nil"/>
              <w:bottom w:val="single" w:sz="4" w:space="0" w:color="auto"/>
              <w:right w:val="single" w:sz="4" w:space="0" w:color="auto"/>
            </w:tcBorders>
            <w:shd w:val="clear" w:color="000000" w:fill="FFFFFF"/>
            <w:noWrap/>
            <w:vAlign w:val="center"/>
            <w:hideMark/>
          </w:tcPr>
          <w:p w14:paraId="10B91908"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21.554.319</w:t>
            </w:r>
          </w:p>
        </w:tc>
        <w:tc>
          <w:tcPr>
            <w:tcW w:w="1399" w:type="dxa"/>
            <w:tcBorders>
              <w:top w:val="nil"/>
              <w:left w:val="nil"/>
              <w:bottom w:val="single" w:sz="4" w:space="0" w:color="auto"/>
              <w:right w:val="single" w:sz="4" w:space="0" w:color="auto"/>
            </w:tcBorders>
            <w:shd w:val="clear" w:color="000000" w:fill="FFFFFF"/>
            <w:noWrap/>
            <w:vAlign w:val="center"/>
            <w:hideMark/>
          </w:tcPr>
          <w:p w14:paraId="2801FBFC"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28.621.478</w:t>
            </w:r>
          </w:p>
        </w:tc>
        <w:tc>
          <w:tcPr>
            <w:tcW w:w="1111" w:type="dxa"/>
            <w:tcBorders>
              <w:top w:val="nil"/>
              <w:left w:val="nil"/>
              <w:bottom w:val="single" w:sz="4" w:space="0" w:color="auto"/>
              <w:right w:val="single" w:sz="4" w:space="0" w:color="auto"/>
            </w:tcBorders>
            <w:shd w:val="clear" w:color="000000" w:fill="FFFFFF"/>
            <w:noWrap/>
            <w:vAlign w:val="center"/>
            <w:hideMark/>
          </w:tcPr>
          <w:p w14:paraId="6F2CAF3C"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75,31</w:t>
            </w:r>
          </w:p>
        </w:tc>
      </w:tr>
      <w:tr w:rsidR="008702DD" w:rsidRPr="008702DD" w14:paraId="11C3FE59" w14:textId="77777777" w:rsidTr="00384385">
        <w:trPr>
          <w:trHeight w:val="32"/>
        </w:trPr>
        <w:tc>
          <w:tcPr>
            <w:tcW w:w="794" w:type="dxa"/>
            <w:tcBorders>
              <w:top w:val="nil"/>
              <w:left w:val="single" w:sz="4" w:space="0" w:color="auto"/>
              <w:bottom w:val="single" w:sz="4" w:space="0" w:color="auto"/>
              <w:right w:val="single" w:sz="4" w:space="0" w:color="auto"/>
            </w:tcBorders>
            <w:shd w:val="clear" w:color="000000" w:fill="BFBFBF"/>
            <w:noWrap/>
            <w:vAlign w:val="center"/>
            <w:hideMark/>
          </w:tcPr>
          <w:p w14:paraId="0EC43637"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43</w:t>
            </w:r>
          </w:p>
        </w:tc>
        <w:tc>
          <w:tcPr>
            <w:tcW w:w="3884" w:type="dxa"/>
            <w:tcBorders>
              <w:top w:val="nil"/>
              <w:left w:val="nil"/>
              <w:bottom w:val="single" w:sz="4" w:space="0" w:color="auto"/>
              <w:right w:val="single" w:sz="4" w:space="0" w:color="auto"/>
            </w:tcBorders>
            <w:shd w:val="clear" w:color="000000" w:fill="BFBFBF"/>
            <w:noWrap/>
            <w:vAlign w:val="center"/>
            <w:hideMark/>
          </w:tcPr>
          <w:p w14:paraId="18609288" w14:textId="77777777" w:rsidR="008702DD" w:rsidRPr="008702DD" w:rsidRDefault="008702DD" w:rsidP="008702DD">
            <w:pPr>
              <w:spacing w:after="0" w:line="240" w:lineRule="auto"/>
              <w:ind w:left="0" w:right="0"/>
              <w:jc w:val="left"/>
              <w:rPr>
                <w:rFonts w:cs="Arial CE"/>
                <w:bCs w:val="0"/>
                <w:sz w:val="18"/>
                <w:szCs w:val="18"/>
              </w:rPr>
            </w:pPr>
            <w:r w:rsidRPr="008702DD">
              <w:rPr>
                <w:rFonts w:cs="Arial CE"/>
                <w:bCs w:val="0"/>
                <w:sz w:val="18"/>
                <w:szCs w:val="18"/>
              </w:rPr>
              <w:t>INVESTICIJSKI TRANSFERI  (431+432)</w:t>
            </w:r>
          </w:p>
        </w:tc>
        <w:tc>
          <w:tcPr>
            <w:tcW w:w="1294" w:type="dxa"/>
            <w:tcBorders>
              <w:top w:val="nil"/>
              <w:left w:val="nil"/>
              <w:bottom w:val="single" w:sz="4" w:space="0" w:color="auto"/>
              <w:right w:val="single" w:sz="4" w:space="0" w:color="auto"/>
            </w:tcBorders>
            <w:shd w:val="clear" w:color="000000" w:fill="BFBFBF"/>
            <w:noWrap/>
            <w:vAlign w:val="center"/>
            <w:hideMark/>
          </w:tcPr>
          <w:p w14:paraId="4BE227DF"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1.761.822</w:t>
            </w:r>
          </w:p>
        </w:tc>
        <w:tc>
          <w:tcPr>
            <w:tcW w:w="1399" w:type="dxa"/>
            <w:tcBorders>
              <w:top w:val="nil"/>
              <w:left w:val="nil"/>
              <w:bottom w:val="single" w:sz="4" w:space="0" w:color="auto"/>
              <w:right w:val="single" w:sz="4" w:space="0" w:color="auto"/>
            </w:tcBorders>
            <w:shd w:val="clear" w:color="000000" w:fill="BFBFBF"/>
            <w:noWrap/>
            <w:vAlign w:val="center"/>
            <w:hideMark/>
          </w:tcPr>
          <w:p w14:paraId="3E208641"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2.005.024</w:t>
            </w:r>
          </w:p>
        </w:tc>
        <w:tc>
          <w:tcPr>
            <w:tcW w:w="1111" w:type="dxa"/>
            <w:tcBorders>
              <w:top w:val="nil"/>
              <w:left w:val="nil"/>
              <w:bottom w:val="single" w:sz="4" w:space="0" w:color="auto"/>
              <w:right w:val="single" w:sz="4" w:space="0" w:color="auto"/>
            </w:tcBorders>
            <w:shd w:val="clear" w:color="000000" w:fill="BFBFBF"/>
            <w:noWrap/>
            <w:vAlign w:val="center"/>
            <w:hideMark/>
          </w:tcPr>
          <w:p w14:paraId="00CB4934"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87,87</w:t>
            </w:r>
          </w:p>
        </w:tc>
      </w:tr>
      <w:tr w:rsidR="008702DD" w:rsidRPr="008702DD" w14:paraId="3AF6340E" w14:textId="77777777" w:rsidTr="00384385">
        <w:trPr>
          <w:trHeight w:val="35"/>
        </w:trPr>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2701677D"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431</w:t>
            </w:r>
          </w:p>
        </w:tc>
        <w:tc>
          <w:tcPr>
            <w:tcW w:w="3884" w:type="dxa"/>
            <w:tcBorders>
              <w:top w:val="nil"/>
              <w:left w:val="nil"/>
              <w:bottom w:val="single" w:sz="4" w:space="0" w:color="auto"/>
              <w:right w:val="single" w:sz="4" w:space="0" w:color="auto"/>
            </w:tcBorders>
            <w:shd w:val="clear" w:color="000000" w:fill="FFFFFF"/>
            <w:vAlign w:val="center"/>
            <w:hideMark/>
          </w:tcPr>
          <w:p w14:paraId="7BEBEC81" w14:textId="77777777" w:rsidR="008702DD" w:rsidRPr="008702DD" w:rsidRDefault="008702DD" w:rsidP="008702DD">
            <w:pPr>
              <w:spacing w:after="0" w:line="240" w:lineRule="auto"/>
              <w:ind w:left="0" w:right="0"/>
              <w:jc w:val="left"/>
              <w:rPr>
                <w:rFonts w:cs="Arial CE"/>
                <w:bCs w:val="0"/>
                <w:sz w:val="18"/>
                <w:szCs w:val="18"/>
              </w:rPr>
            </w:pPr>
            <w:r w:rsidRPr="008702DD">
              <w:rPr>
                <w:rFonts w:cs="Arial CE"/>
                <w:bCs w:val="0"/>
                <w:sz w:val="18"/>
                <w:szCs w:val="18"/>
              </w:rPr>
              <w:t>INVESTICIJSKI TRANSFERI PRAVNIM IN FIZ.OSEBAM</w:t>
            </w:r>
          </w:p>
        </w:tc>
        <w:tc>
          <w:tcPr>
            <w:tcW w:w="1294" w:type="dxa"/>
            <w:tcBorders>
              <w:top w:val="nil"/>
              <w:left w:val="nil"/>
              <w:bottom w:val="single" w:sz="4" w:space="0" w:color="auto"/>
              <w:right w:val="single" w:sz="4" w:space="0" w:color="auto"/>
            </w:tcBorders>
            <w:shd w:val="clear" w:color="000000" w:fill="FFFFFF"/>
            <w:noWrap/>
            <w:vAlign w:val="center"/>
            <w:hideMark/>
          </w:tcPr>
          <w:p w14:paraId="24DCFB00"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724.825</w:t>
            </w:r>
          </w:p>
        </w:tc>
        <w:tc>
          <w:tcPr>
            <w:tcW w:w="1399" w:type="dxa"/>
            <w:tcBorders>
              <w:top w:val="nil"/>
              <w:left w:val="nil"/>
              <w:bottom w:val="single" w:sz="4" w:space="0" w:color="auto"/>
              <w:right w:val="single" w:sz="4" w:space="0" w:color="auto"/>
            </w:tcBorders>
            <w:shd w:val="clear" w:color="000000" w:fill="FFFFFF"/>
            <w:noWrap/>
            <w:vAlign w:val="center"/>
            <w:hideMark/>
          </w:tcPr>
          <w:p w14:paraId="4C96010C"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963.333</w:t>
            </w:r>
          </w:p>
        </w:tc>
        <w:tc>
          <w:tcPr>
            <w:tcW w:w="1111" w:type="dxa"/>
            <w:tcBorders>
              <w:top w:val="nil"/>
              <w:left w:val="nil"/>
              <w:bottom w:val="single" w:sz="4" w:space="0" w:color="auto"/>
              <w:right w:val="single" w:sz="4" w:space="0" w:color="auto"/>
            </w:tcBorders>
            <w:shd w:val="clear" w:color="000000" w:fill="FFFFFF"/>
            <w:noWrap/>
            <w:vAlign w:val="center"/>
            <w:hideMark/>
          </w:tcPr>
          <w:p w14:paraId="31B2FF3A"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75,24</w:t>
            </w:r>
          </w:p>
        </w:tc>
      </w:tr>
      <w:tr w:rsidR="008702DD" w:rsidRPr="008702DD" w14:paraId="67969CD9" w14:textId="77777777" w:rsidTr="00384385">
        <w:trPr>
          <w:trHeight w:val="32"/>
        </w:trPr>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1237CAB7"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432</w:t>
            </w:r>
          </w:p>
        </w:tc>
        <w:tc>
          <w:tcPr>
            <w:tcW w:w="3884" w:type="dxa"/>
            <w:tcBorders>
              <w:top w:val="nil"/>
              <w:left w:val="nil"/>
              <w:bottom w:val="single" w:sz="4" w:space="0" w:color="auto"/>
              <w:right w:val="single" w:sz="4" w:space="0" w:color="auto"/>
            </w:tcBorders>
            <w:shd w:val="clear" w:color="000000" w:fill="FFFFFF"/>
            <w:noWrap/>
            <w:vAlign w:val="center"/>
            <w:hideMark/>
          </w:tcPr>
          <w:p w14:paraId="016888DB" w14:textId="77777777" w:rsidR="008702DD" w:rsidRPr="008702DD" w:rsidRDefault="008702DD" w:rsidP="008702DD">
            <w:pPr>
              <w:spacing w:after="0" w:line="240" w:lineRule="auto"/>
              <w:ind w:left="0" w:right="0"/>
              <w:jc w:val="left"/>
              <w:rPr>
                <w:rFonts w:cs="Arial CE"/>
                <w:bCs w:val="0"/>
                <w:sz w:val="18"/>
                <w:szCs w:val="18"/>
              </w:rPr>
            </w:pPr>
            <w:r w:rsidRPr="008702DD">
              <w:rPr>
                <w:rFonts w:cs="Arial CE"/>
                <w:bCs w:val="0"/>
                <w:sz w:val="18"/>
                <w:szCs w:val="18"/>
              </w:rPr>
              <w:t>INVESTICIJSKI TRANSFERI PRORAČUNSKIM UPORABNIKOM</w:t>
            </w:r>
          </w:p>
        </w:tc>
        <w:tc>
          <w:tcPr>
            <w:tcW w:w="1294" w:type="dxa"/>
            <w:tcBorders>
              <w:top w:val="nil"/>
              <w:left w:val="nil"/>
              <w:bottom w:val="single" w:sz="4" w:space="0" w:color="auto"/>
              <w:right w:val="single" w:sz="4" w:space="0" w:color="auto"/>
            </w:tcBorders>
            <w:shd w:val="clear" w:color="000000" w:fill="FFFFFF"/>
            <w:noWrap/>
            <w:vAlign w:val="center"/>
            <w:hideMark/>
          </w:tcPr>
          <w:p w14:paraId="2256D9C8"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1.036.997</w:t>
            </w:r>
          </w:p>
        </w:tc>
        <w:tc>
          <w:tcPr>
            <w:tcW w:w="1399" w:type="dxa"/>
            <w:tcBorders>
              <w:top w:val="nil"/>
              <w:left w:val="nil"/>
              <w:bottom w:val="single" w:sz="4" w:space="0" w:color="auto"/>
              <w:right w:val="single" w:sz="4" w:space="0" w:color="auto"/>
            </w:tcBorders>
            <w:shd w:val="clear" w:color="000000" w:fill="FFFFFF"/>
            <w:noWrap/>
            <w:vAlign w:val="center"/>
            <w:hideMark/>
          </w:tcPr>
          <w:p w14:paraId="78ED852D"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1.041.691</w:t>
            </w:r>
          </w:p>
        </w:tc>
        <w:tc>
          <w:tcPr>
            <w:tcW w:w="1111" w:type="dxa"/>
            <w:tcBorders>
              <w:top w:val="nil"/>
              <w:left w:val="nil"/>
              <w:bottom w:val="single" w:sz="4" w:space="0" w:color="auto"/>
              <w:right w:val="single" w:sz="4" w:space="0" w:color="auto"/>
            </w:tcBorders>
            <w:shd w:val="clear" w:color="000000" w:fill="FFFFFF"/>
            <w:noWrap/>
            <w:vAlign w:val="center"/>
            <w:hideMark/>
          </w:tcPr>
          <w:p w14:paraId="4B1B0B8A" w14:textId="77777777" w:rsidR="008702DD" w:rsidRPr="008702DD" w:rsidRDefault="008702DD" w:rsidP="008702DD">
            <w:pPr>
              <w:spacing w:after="0" w:line="240" w:lineRule="auto"/>
              <w:ind w:left="0" w:right="0"/>
              <w:jc w:val="right"/>
              <w:rPr>
                <w:rFonts w:cs="Arial CE"/>
                <w:bCs w:val="0"/>
                <w:sz w:val="18"/>
                <w:szCs w:val="18"/>
              </w:rPr>
            </w:pPr>
            <w:r w:rsidRPr="008702DD">
              <w:rPr>
                <w:rFonts w:cs="Arial CE"/>
                <w:bCs w:val="0"/>
                <w:sz w:val="18"/>
                <w:szCs w:val="18"/>
              </w:rPr>
              <w:t>99,55</w:t>
            </w:r>
          </w:p>
        </w:tc>
      </w:tr>
    </w:tbl>
    <w:p w14:paraId="77AF101A" w14:textId="77777777" w:rsidR="00F21916" w:rsidRDefault="00F21916" w:rsidP="00F21916">
      <w:pPr>
        <w:spacing w:after="0" w:line="240" w:lineRule="auto"/>
        <w:ind w:right="0"/>
        <w:jc w:val="left"/>
      </w:pPr>
    </w:p>
    <w:p w14:paraId="2D55C611" w14:textId="77777777" w:rsidR="00F21916" w:rsidRPr="00F21916" w:rsidRDefault="00F21916" w:rsidP="00446EFF">
      <w:pPr>
        <w:spacing w:after="0" w:line="240" w:lineRule="auto"/>
        <w:ind w:left="0" w:right="0"/>
      </w:pPr>
    </w:p>
    <w:p w14:paraId="5BBACCDE" w14:textId="041C8F75" w:rsidR="00F21916" w:rsidRPr="00F21916" w:rsidRDefault="00F21916" w:rsidP="0043510D">
      <w:r w:rsidRPr="00F21916">
        <w:t>Realizacija investicijskih odhodkov in transferov</w:t>
      </w:r>
      <w:r w:rsidR="00446EFF">
        <w:t xml:space="preserve"> </w:t>
      </w:r>
      <w:r w:rsidRPr="00F21916">
        <w:t xml:space="preserve">v letu 2025 je sledeča: Največ sredstev se je porabilo na področju kulture, športa in nevladne organizacije, in sicer </w:t>
      </w:r>
      <w:r w:rsidRPr="00F21916">
        <w:lastRenderedPageBreak/>
        <w:t xml:space="preserve">v višini 10,549 mio EUR.  Od tega je bilo kar 7,484 mio EUR namenjenih za projekt EPK GO!2025 – infrastruktura. Večji investiciji na tem programu sta bili tudi Sanacija letnega bazena, </w:t>
      </w:r>
      <w:r w:rsidR="00EF3FD5">
        <w:t>kateri se je namenilo</w:t>
      </w:r>
      <w:r w:rsidR="008A02C1">
        <w:t xml:space="preserve"> </w:t>
      </w:r>
      <w:r w:rsidR="008A02C1" w:rsidRPr="00F21916">
        <w:t>1,398 mio EUR ter</w:t>
      </w:r>
      <w:r w:rsidR="008A02C1">
        <w:t xml:space="preserve"> </w:t>
      </w:r>
      <w:r w:rsidR="000F1357">
        <w:t>investicijsko vzdrževanje športnih objektov</w:t>
      </w:r>
      <w:r w:rsidR="00EF3FD5">
        <w:t xml:space="preserve"> </w:t>
      </w:r>
      <w:r w:rsidR="00EF3FD5" w:rsidRPr="00F21916">
        <w:t>v višini 898 tisoč EUR</w:t>
      </w:r>
      <w:r w:rsidR="00EF3FD5">
        <w:t>.</w:t>
      </w:r>
      <w:r w:rsidR="0043510D">
        <w:t xml:space="preserve"> </w:t>
      </w:r>
      <w:r w:rsidRPr="00F21916">
        <w:t>Večina sredstev slednjega projekta je bila za ureditev športnega igrišča v Braniku. Znotraj področja porabe je precejšen del sredstev namenjen tudi projektu SINGERS CORNERS ter Obnovi Spominskega parka in vojnega grobišča Trnovo nad Novo Gorico.</w:t>
      </w:r>
    </w:p>
    <w:p w14:paraId="2852552A" w14:textId="77777777" w:rsidR="00F21916" w:rsidRPr="00F21916" w:rsidRDefault="00F21916" w:rsidP="005848C2">
      <w:r w:rsidRPr="00F21916">
        <w:t>Po višini porabljenih investicijskih sredstev je na drugem mestu področje  zdravstvenega varstva v višini 3,224 mio EUR. Od tega se je največ sredstev namenilo za Investicijo v Zdravstveni dom Nova Gorica v višini 3,169 mio EUR.</w:t>
      </w:r>
    </w:p>
    <w:p w14:paraId="2EE15B50" w14:textId="2F2747CE" w:rsidR="00F21916" w:rsidRPr="00F21916" w:rsidRDefault="00F21916" w:rsidP="000B1BF0">
      <w:r w:rsidRPr="00F21916">
        <w:t xml:space="preserve">Sledi področje varovanja okolja in naravne dediščine, kateremu se je namenilo 1,672 mio EUR. Največ sredstev, in sicer 1,083 mio EUR, je bilo namenjenih za ureditev fekalne kanalizacije in meteorne </w:t>
      </w:r>
      <w:proofErr w:type="spellStart"/>
      <w:r w:rsidRPr="00F21916">
        <w:t>odvodnje</w:t>
      </w:r>
      <w:proofErr w:type="spellEnd"/>
      <w:r w:rsidRPr="00F21916">
        <w:t>. Podrobnejša realizacija investicijskih odhodkov je prikazana v nadaljevanju.</w:t>
      </w:r>
    </w:p>
    <w:p w14:paraId="1678D5A5" w14:textId="77777777" w:rsidR="00F21916" w:rsidRDefault="00F21916" w:rsidP="00F21916">
      <w:pPr>
        <w:spacing w:after="0" w:line="240" w:lineRule="auto"/>
        <w:ind w:right="0"/>
        <w:jc w:val="left"/>
      </w:pPr>
      <w:r w:rsidRPr="00F21916">
        <w:t>Tabela 3: Realizacija investicijskih odhodkov po programski klasifikaciji</w:t>
      </w:r>
    </w:p>
    <w:tbl>
      <w:tblPr>
        <w:tblW w:w="8541" w:type="dxa"/>
        <w:tblInd w:w="704" w:type="dxa"/>
        <w:tblCellMar>
          <w:left w:w="70" w:type="dxa"/>
          <w:right w:w="70" w:type="dxa"/>
        </w:tblCellMar>
        <w:tblLook w:val="04A0" w:firstRow="1" w:lastRow="0" w:firstColumn="1" w:lastColumn="0" w:noHBand="0" w:noVBand="1"/>
      </w:tblPr>
      <w:tblGrid>
        <w:gridCol w:w="403"/>
        <w:gridCol w:w="6169"/>
        <w:gridCol w:w="1969"/>
      </w:tblGrid>
      <w:tr w:rsidR="00CB1EB6" w:rsidRPr="00CB1EB6" w14:paraId="30D542A4" w14:textId="77777777" w:rsidTr="00384385">
        <w:trPr>
          <w:trHeight w:val="309"/>
        </w:trPr>
        <w:tc>
          <w:tcPr>
            <w:tcW w:w="4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85EFD4" w14:textId="77777777" w:rsidR="00CB1EB6" w:rsidRPr="00CB1EB6" w:rsidRDefault="00CB1EB6" w:rsidP="00CB1EB6">
            <w:pPr>
              <w:spacing w:after="0" w:line="240" w:lineRule="auto"/>
              <w:ind w:left="0" w:right="0"/>
              <w:jc w:val="left"/>
              <w:rPr>
                <w:rFonts w:cs="Times New Roman"/>
                <w:b/>
                <w:color w:val="000000"/>
                <w:sz w:val="18"/>
                <w:szCs w:val="18"/>
              </w:rPr>
            </w:pPr>
            <w:r w:rsidRPr="00CB1EB6">
              <w:rPr>
                <w:rFonts w:cs="Times New Roman"/>
                <w:b/>
                <w:color w:val="000000"/>
                <w:sz w:val="18"/>
                <w:szCs w:val="18"/>
              </w:rPr>
              <w:t> </w:t>
            </w:r>
          </w:p>
        </w:tc>
        <w:tc>
          <w:tcPr>
            <w:tcW w:w="6169" w:type="dxa"/>
            <w:tcBorders>
              <w:top w:val="single" w:sz="4" w:space="0" w:color="auto"/>
              <w:left w:val="nil"/>
              <w:bottom w:val="single" w:sz="4" w:space="0" w:color="auto"/>
              <w:right w:val="single" w:sz="4" w:space="0" w:color="auto"/>
            </w:tcBorders>
            <w:shd w:val="clear" w:color="000000" w:fill="FFFFFF"/>
            <w:noWrap/>
            <w:vAlign w:val="bottom"/>
            <w:hideMark/>
          </w:tcPr>
          <w:p w14:paraId="344E5C0D" w14:textId="77777777" w:rsidR="00CB1EB6" w:rsidRPr="00CB1EB6" w:rsidRDefault="00CB1EB6" w:rsidP="00CB1EB6">
            <w:pPr>
              <w:spacing w:after="0" w:line="240" w:lineRule="auto"/>
              <w:ind w:left="0" w:right="0"/>
              <w:jc w:val="left"/>
              <w:rPr>
                <w:rFonts w:cs="Times New Roman"/>
                <w:b/>
                <w:color w:val="000000"/>
                <w:sz w:val="18"/>
                <w:szCs w:val="18"/>
              </w:rPr>
            </w:pPr>
            <w:r w:rsidRPr="00CB1EB6">
              <w:rPr>
                <w:rFonts w:cs="Times New Roman"/>
                <w:b/>
                <w:color w:val="000000"/>
                <w:sz w:val="18"/>
                <w:szCs w:val="18"/>
              </w:rPr>
              <w:t>INVESTICIJSKI ODHODKI</w:t>
            </w:r>
          </w:p>
        </w:tc>
        <w:tc>
          <w:tcPr>
            <w:tcW w:w="1969" w:type="dxa"/>
            <w:tcBorders>
              <w:top w:val="single" w:sz="4" w:space="0" w:color="auto"/>
              <w:left w:val="nil"/>
              <w:bottom w:val="single" w:sz="4" w:space="0" w:color="auto"/>
              <w:right w:val="single" w:sz="4" w:space="0" w:color="auto"/>
            </w:tcBorders>
            <w:shd w:val="clear" w:color="000000" w:fill="FFFFFF"/>
            <w:noWrap/>
            <w:vAlign w:val="bottom"/>
            <w:hideMark/>
          </w:tcPr>
          <w:p w14:paraId="3D2E35DD" w14:textId="77777777" w:rsidR="00CB1EB6" w:rsidRPr="00CB1EB6" w:rsidRDefault="00CB1EB6" w:rsidP="00CB1EB6">
            <w:pPr>
              <w:spacing w:after="0" w:line="240" w:lineRule="auto"/>
              <w:ind w:left="0" w:right="0"/>
              <w:jc w:val="right"/>
              <w:rPr>
                <w:rFonts w:cs="Times New Roman"/>
                <w:b/>
                <w:color w:val="000000"/>
                <w:sz w:val="18"/>
                <w:szCs w:val="18"/>
              </w:rPr>
            </w:pPr>
            <w:r w:rsidRPr="00CB1EB6">
              <w:rPr>
                <w:rFonts w:cs="Times New Roman"/>
                <w:b/>
                <w:color w:val="000000"/>
                <w:sz w:val="18"/>
                <w:szCs w:val="18"/>
              </w:rPr>
              <w:t xml:space="preserve"> </w:t>
            </w:r>
          </w:p>
        </w:tc>
      </w:tr>
      <w:tr w:rsidR="00CB1EB6" w:rsidRPr="00CB1EB6" w14:paraId="462EB530" w14:textId="77777777" w:rsidTr="00384385">
        <w:trPr>
          <w:trHeight w:val="309"/>
        </w:trPr>
        <w:tc>
          <w:tcPr>
            <w:tcW w:w="403" w:type="dxa"/>
            <w:tcBorders>
              <w:top w:val="nil"/>
              <w:left w:val="single" w:sz="4" w:space="0" w:color="auto"/>
              <w:bottom w:val="single" w:sz="4" w:space="0" w:color="auto"/>
              <w:right w:val="single" w:sz="4" w:space="0" w:color="auto"/>
            </w:tcBorders>
            <w:shd w:val="clear" w:color="000000" w:fill="FFFFFF"/>
            <w:noWrap/>
            <w:vAlign w:val="bottom"/>
            <w:hideMark/>
          </w:tcPr>
          <w:p w14:paraId="006A61E0" w14:textId="77777777" w:rsidR="00CB1EB6" w:rsidRPr="00CB1EB6" w:rsidRDefault="00CB1EB6" w:rsidP="00CB1EB6">
            <w:pPr>
              <w:spacing w:after="0" w:line="240" w:lineRule="auto"/>
              <w:ind w:left="0" w:right="0"/>
              <w:jc w:val="left"/>
              <w:rPr>
                <w:rFonts w:cs="Times New Roman"/>
                <w:bCs w:val="0"/>
                <w:sz w:val="18"/>
                <w:szCs w:val="18"/>
              </w:rPr>
            </w:pPr>
            <w:r w:rsidRPr="00CB1EB6">
              <w:rPr>
                <w:rFonts w:cs="Times New Roman"/>
                <w:bCs w:val="0"/>
                <w:sz w:val="18"/>
                <w:szCs w:val="18"/>
              </w:rPr>
              <w:t>02</w:t>
            </w:r>
          </w:p>
        </w:tc>
        <w:tc>
          <w:tcPr>
            <w:tcW w:w="6169" w:type="dxa"/>
            <w:tcBorders>
              <w:top w:val="nil"/>
              <w:left w:val="nil"/>
              <w:bottom w:val="single" w:sz="4" w:space="0" w:color="auto"/>
              <w:right w:val="single" w:sz="4" w:space="0" w:color="auto"/>
            </w:tcBorders>
            <w:shd w:val="clear" w:color="000000" w:fill="FFFFFF"/>
            <w:noWrap/>
            <w:vAlign w:val="bottom"/>
            <w:hideMark/>
          </w:tcPr>
          <w:p w14:paraId="0C398F1E" w14:textId="77777777" w:rsidR="00CB1EB6" w:rsidRPr="00CB1EB6" w:rsidRDefault="00CB1EB6" w:rsidP="00CB1EB6">
            <w:pPr>
              <w:spacing w:after="0" w:line="240" w:lineRule="auto"/>
              <w:ind w:left="0" w:right="0"/>
              <w:jc w:val="left"/>
              <w:rPr>
                <w:rFonts w:cs="Times New Roman"/>
                <w:bCs w:val="0"/>
                <w:sz w:val="18"/>
                <w:szCs w:val="18"/>
              </w:rPr>
            </w:pPr>
            <w:r w:rsidRPr="00CB1EB6">
              <w:rPr>
                <w:rFonts w:cs="Times New Roman"/>
                <w:bCs w:val="0"/>
                <w:sz w:val="18"/>
                <w:szCs w:val="18"/>
              </w:rPr>
              <w:t>EKONOMSKA IN FISKALNA ADMINISTRACIJA</w:t>
            </w:r>
          </w:p>
        </w:tc>
        <w:tc>
          <w:tcPr>
            <w:tcW w:w="1969" w:type="dxa"/>
            <w:tcBorders>
              <w:top w:val="nil"/>
              <w:left w:val="nil"/>
              <w:bottom w:val="single" w:sz="4" w:space="0" w:color="auto"/>
              <w:right w:val="single" w:sz="4" w:space="0" w:color="auto"/>
            </w:tcBorders>
            <w:shd w:val="clear" w:color="000000" w:fill="FFFFFF"/>
            <w:noWrap/>
            <w:vAlign w:val="bottom"/>
            <w:hideMark/>
          </w:tcPr>
          <w:p w14:paraId="173422FB" w14:textId="77777777" w:rsidR="00CB1EB6" w:rsidRPr="00CB1EB6" w:rsidRDefault="00CB1EB6" w:rsidP="00CB1EB6">
            <w:pPr>
              <w:spacing w:after="0" w:line="240" w:lineRule="auto"/>
              <w:ind w:left="0" w:right="0"/>
              <w:jc w:val="right"/>
              <w:rPr>
                <w:rFonts w:cs="Times New Roman"/>
                <w:bCs w:val="0"/>
                <w:sz w:val="18"/>
                <w:szCs w:val="18"/>
              </w:rPr>
            </w:pPr>
            <w:r w:rsidRPr="00CB1EB6">
              <w:rPr>
                <w:rFonts w:cs="Times New Roman"/>
                <w:bCs w:val="0"/>
                <w:sz w:val="18"/>
                <w:szCs w:val="18"/>
              </w:rPr>
              <w:t>68.247,99</w:t>
            </w:r>
          </w:p>
        </w:tc>
      </w:tr>
      <w:tr w:rsidR="00CB1EB6" w:rsidRPr="00CB1EB6" w14:paraId="0F2109F7" w14:textId="77777777" w:rsidTr="00384385">
        <w:trPr>
          <w:trHeight w:val="309"/>
        </w:trPr>
        <w:tc>
          <w:tcPr>
            <w:tcW w:w="403" w:type="dxa"/>
            <w:tcBorders>
              <w:top w:val="nil"/>
              <w:left w:val="single" w:sz="4" w:space="0" w:color="auto"/>
              <w:bottom w:val="single" w:sz="4" w:space="0" w:color="auto"/>
              <w:right w:val="single" w:sz="4" w:space="0" w:color="auto"/>
            </w:tcBorders>
            <w:shd w:val="clear" w:color="000000" w:fill="FFFFFF"/>
            <w:noWrap/>
            <w:vAlign w:val="bottom"/>
            <w:hideMark/>
          </w:tcPr>
          <w:p w14:paraId="08E9C4E6" w14:textId="77777777" w:rsidR="00CB1EB6" w:rsidRPr="00CB1EB6" w:rsidRDefault="00CB1EB6" w:rsidP="00CB1EB6">
            <w:pPr>
              <w:spacing w:after="0" w:line="240" w:lineRule="auto"/>
              <w:ind w:left="0" w:right="0"/>
              <w:jc w:val="left"/>
              <w:rPr>
                <w:rFonts w:cs="Times New Roman"/>
                <w:bCs w:val="0"/>
                <w:sz w:val="18"/>
                <w:szCs w:val="18"/>
              </w:rPr>
            </w:pPr>
            <w:r w:rsidRPr="00CB1EB6">
              <w:rPr>
                <w:rFonts w:cs="Times New Roman"/>
                <w:bCs w:val="0"/>
                <w:sz w:val="18"/>
                <w:szCs w:val="18"/>
              </w:rPr>
              <w:t>04</w:t>
            </w:r>
          </w:p>
        </w:tc>
        <w:tc>
          <w:tcPr>
            <w:tcW w:w="6169" w:type="dxa"/>
            <w:tcBorders>
              <w:top w:val="nil"/>
              <w:left w:val="nil"/>
              <w:bottom w:val="single" w:sz="4" w:space="0" w:color="auto"/>
              <w:right w:val="single" w:sz="4" w:space="0" w:color="auto"/>
            </w:tcBorders>
            <w:shd w:val="clear" w:color="000000" w:fill="FFFFFF"/>
            <w:noWrap/>
            <w:vAlign w:val="bottom"/>
            <w:hideMark/>
          </w:tcPr>
          <w:p w14:paraId="0B336E3F" w14:textId="77777777" w:rsidR="00CB1EB6" w:rsidRPr="00CB1EB6" w:rsidRDefault="00CB1EB6" w:rsidP="00CB1EB6">
            <w:pPr>
              <w:spacing w:after="0" w:line="240" w:lineRule="auto"/>
              <w:ind w:left="0" w:right="0"/>
              <w:jc w:val="left"/>
              <w:rPr>
                <w:rFonts w:cs="Times New Roman"/>
                <w:bCs w:val="0"/>
                <w:sz w:val="18"/>
                <w:szCs w:val="18"/>
              </w:rPr>
            </w:pPr>
            <w:r w:rsidRPr="00CB1EB6">
              <w:rPr>
                <w:rFonts w:cs="Times New Roman"/>
                <w:bCs w:val="0"/>
                <w:sz w:val="18"/>
                <w:szCs w:val="18"/>
              </w:rPr>
              <w:t>SKUPNE ADMINISTRATIVNE SLUŽBE IN SPLOŠNE JAVNE STORITVE</w:t>
            </w:r>
          </w:p>
        </w:tc>
        <w:tc>
          <w:tcPr>
            <w:tcW w:w="1969" w:type="dxa"/>
            <w:tcBorders>
              <w:top w:val="nil"/>
              <w:left w:val="nil"/>
              <w:bottom w:val="single" w:sz="4" w:space="0" w:color="auto"/>
              <w:right w:val="single" w:sz="4" w:space="0" w:color="auto"/>
            </w:tcBorders>
            <w:shd w:val="clear" w:color="000000" w:fill="FFFFFF"/>
            <w:noWrap/>
            <w:vAlign w:val="bottom"/>
            <w:hideMark/>
          </w:tcPr>
          <w:p w14:paraId="4F190D53" w14:textId="77777777" w:rsidR="00CB1EB6" w:rsidRPr="00CB1EB6" w:rsidRDefault="00CB1EB6" w:rsidP="00CB1EB6">
            <w:pPr>
              <w:spacing w:after="0" w:line="240" w:lineRule="auto"/>
              <w:ind w:left="0" w:right="0"/>
              <w:jc w:val="right"/>
              <w:rPr>
                <w:rFonts w:cs="Times New Roman"/>
                <w:bCs w:val="0"/>
                <w:sz w:val="18"/>
                <w:szCs w:val="18"/>
              </w:rPr>
            </w:pPr>
            <w:r w:rsidRPr="00CB1EB6">
              <w:rPr>
                <w:rFonts w:cs="Times New Roman"/>
                <w:bCs w:val="0"/>
                <w:sz w:val="18"/>
                <w:szCs w:val="18"/>
              </w:rPr>
              <w:t>589.137,65</w:t>
            </w:r>
          </w:p>
        </w:tc>
      </w:tr>
      <w:tr w:rsidR="00CB1EB6" w:rsidRPr="00CB1EB6" w14:paraId="59AA3AD8" w14:textId="77777777" w:rsidTr="00384385">
        <w:trPr>
          <w:trHeight w:val="309"/>
        </w:trPr>
        <w:tc>
          <w:tcPr>
            <w:tcW w:w="403" w:type="dxa"/>
            <w:tcBorders>
              <w:top w:val="nil"/>
              <w:left w:val="single" w:sz="4" w:space="0" w:color="auto"/>
              <w:bottom w:val="single" w:sz="4" w:space="0" w:color="auto"/>
              <w:right w:val="single" w:sz="4" w:space="0" w:color="auto"/>
            </w:tcBorders>
            <w:shd w:val="clear" w:color="000000" w:fill="FFFFFF"/>
            <w:noWrap/>
            <w:vAlign w:val="bottom"/>
            <w:hideMark/>
          </w:tcPr>
          <w:p w14:paraId="0187EFEC" w14:textId="77777777" w:rsidR="00CB1EB6" w:rsidRPr="00CB1EB6" w:rsidRDefault="00CB1EB6" w:rsidP="00CB1EB6">
            <w:pPr>
              <w:spacing w:after="0" w:line="240" w:lineRule="auto"/>
              <w:ind w:left="0" w:right="0"/>
              <w:jc w:val="left"/>
              <w:rPr>
                <w:rFonts w:cs="Times New Roman"/>
                <w:bCs w:val="0"/>
                <w:sz w:val="18"/>
                <w:szCs w:val="18"/>
              </w:rPr>
            </w:pPr>
            <w:r w:rsidRPr="00CB1EB6">
              <w:rPr>
                <w:rFonts w:cs="Times New Roman"/>
                <w:bCs w:val="0"/>
                <w:sz w:val="18"/>
                <w:szCs w:val="18"/>
              </w:rPr>
              <w:t>06</w:t>
            </w:r>
          </w:p>
        </w:tc>
        <w:tc>
          <w:tcPr>
            <w:tcW w:w="6169" w:type="dxa"/>
            <w:tcBorders>
              <w:top w:val="nil"/>
              <w:left w:val="nil"/>
              <w:bottom w:val="single" w:sz="4" w:space="0" w:color="auto"/>
              <w:right w:val="single" w:sz="4" w:space="0" w:color="auto"/>
            </w:tcBorders>
            <w:shd w:val="clear" w:color="000000" w:fill="FFFFFF"/>
            <w:noWrap/>
            <w:vAlign w:val="bottom"/>
            <w:hideMark/>
          </w:tcPr>
          <w:p w14:paraId="570BE422" w14:textId="77777777" w:rsidR="00CB1EB6" w:rsidRPr="00CB1EB6" w:rsidRDefault="00CB1EB6" w:rsidP="00CB1EB6">
            <w:pPr>
              <w:spacing w:after="0" w:line="240" w:lineRule="auto"/>
              <w:ind w:left="0" w:right="0"/>
              <w:jc w:val="left"/>
              <w:rPr>
                <w:rFonts w:cs="Times New Roman"/>
                <w:bCs w:val="0"/>
                <w:sz w:val="18"/>
                <w:szCs w:val="18"/>
              </w:rPr>
            </w:pPr>
            <w:r w:rsidRPr="00CB1EB6">
              <w:rPr>
                <w:rFonts w:cs="Times New Roman"/>
                <w:bCs w:val="0"/>
                <w:sz w:val="18"/>
                <w:szCs w:val="18"/>
              </w:rPr>
              <w:t>LOKALNA SAMOUPRAVA</w:t>
            </w:r>
          </w:p>
        </w:tc>
        <w:tc>
          <w:tcPr>
            <w:tcW w:w="1969" w:type="dxa"/>
            <w:tcBorders>
              <w:top w:val="nil"/>
              <w:left w:val="nil"/>
              <w:bottom w:val="single" w:sz="4" w:space="0" w:color="auto"/>
              <w:right w:val="single" w:sz="4" w:space="0" w:color="auto"/>
            </w:tcBorders>
            <w:shd w:val="clear" w:color="000000" w:fill="FFFFFF"/>
            <w:noWrap/>
            <w:vAlign w:val="bottom"/>
            <w:hideMark/>
          </w:tcPr>
          <w:p w14:paraId="7E3BDD6B" w14:textId="77777777" w:rsidR="00CB1EB6" w:rsidRPr="00CB1EB6" w:rsidRDefault="00CB1EB6" w:rsidP="00CB1EB6">
            <w:pPr>
              <w:spacing w:after="0" w:line="240" w:lineRule="auto"/>
              <w:ind w:left="0" w:right="0"/>
              <w:jc w:val="right"/>
              <w:rPr>
                <w:rFonts w:cs="Times New Roman"/>
                <w:bCs w:val="0"/>
                <w:sz w:val="18"/>
                <w:szCs w:val="18"/>
              </w:rPr>
            </w:pPr>
            <w:r w:rsidRPr="00CB1EB6">
              <w:rPr>
                <w:rFonts w:cs="Times New Roman"/>
                <w:bCs w:val="0"/>
                <w:sz w:val="18"/>
                <w:szCs w:val="18"/>
              </w:rPr>
              <w:t>65.473,94</w:t>
            </w:r>
          </w:p>
        </w:tc>
      </w:tr>
      <w:tr w:rsidR="00CB1EB6" w:rsidRPr="00CB1EB6" w14:paraId="6BCE7905" w14:textId="77777777" w:rsidTr="00384385">
        <w:trPr>
          <w:trHeight w:val="309"/>
        </w:trPr>
        <w:tc>
          <w:tcPr>
            <w:tcW w:w="403" w:type="dxa"/>
            <w:tcBorders>
              <w:top w:val="nil"/>
              <w:left w:val="single" w:sz="4" w:space="0" w:color="auto"/>
              <w:bottom w:val="single" w:sz="4" w:space="0" w:color="auto"/>
              <w:right w:val="single" w:sz="4" w:space="0" w:color="auto"/>
            </w:tcBorders>
            <w:shd w:val="clear" w:color="000000" w:fill="FFFFFF"/>
            <w:noWrap/>
            <w:vAlign w:val="bottom"/>
            <w:hideMark/>
          </w:tcPr>
          <w:p w14:paraId="72A05CBD" w14:textId="77777777" w:rsidR="00CB1EB6" w:rsidRPr="00CB1EB6" w:rsidRDefault="00CB1EB6" w:rsidP="00CB1EB6">
            <w:pPr>
              <w:spacing w:after="0" w:line="240" w:lineRule="auto"/>
              <w:ind w:left="0" w:right="0"/>
              <w:jc w:val="left"/>
              <w:rPr>
                <w:rFonts w:cs="Times New Roman"/>
                <w:bCs w:val="0"/>
                <w:sz w:val="18"/>
                <w:szCs w:val="18"/>
              </w:rPr>
            </w:pPr>
            <w:r w:rsidRPr="00CB1EB6">
              <w:rPr>
                <w:rFonts w:cs="Times New Roman"/>
                <w:bCs w:val="0"/>
                <w:sz w:val="18"/>
                <w:szCs w:val="18"/>
              </w:rPr>
              <w:t>07</w:t>
            </w:r>
          </w:p>
        </w:tc>
        <w:tc>
          <w:tcPr>
            <w:tcW w:w="6169" w:type="dxa"/>
            <w:tcBorders>
              <w:top w:val="nil"/>
              <w:left w:val="nil"/>
              <w:bottom w:val="single" w:sz="4" w:space="0" w:color="auto"/>
              <w:right w:val="single" w:sz="4" w:space="0" w:color="auto"/>
            </w:tcBorders>
            <w:shd w:val="clear" w:color="000000" w:fill="FFFFFF"/>
            <w:noWrap/>
            <w:vAlign w:val="bottom"/>
            <w:hideMark/>
          </w:tcPr>
          <w:p w14:paraId="0D12AA8F" w14:textId="77777777" w:rsidR="00CB1EB6" w:rsidRPr="00CB1EB6" w:rsidRDefault="00CB1EB6" w:rsidP="00CB1EB6">
            <w:pPr>
              <w:spacing w:after="0" w:line="240" w:lineRule="auto"/>
              <w:ind w:left="0" w:right="0"/>
              <w:jc w:val="left"/>
              <w:rPr>
                <w:rFonts w:cs="Times New Roman"/>
                <w:bCs w:val="0"/>
                <w:sz w:val="18"/>
                <w:szCs w:val="18"/>
              </w:rPr>
            </w:pPr>
            <w:r w:rsidRPr="00CB1EB6">
              <w:rPr>
                <w:rFonts w:cs="Times New Roman"/>
                <w:bCs w:val="0"/>
                <w:sz w:val="18"/>
                <w:szCs w:val="18"/>
              </w:rPr>
              <w:t>OBRAMBA IN UKREPI OB IZREDNIH DOGODKIH</w:t>
            </w:r>
          </w:p>
        </w:tc>
        <w:tc>
          <w:tcPr>
            <w:tcW w:w="1969" w:type="dxa"/>
            <w:tcBorders>
              <w:top w:val="nil"/>
              <w:left w:val="nil"/>
              <w:bottom w:val="single" w:sz="4" w:space="0" w:color="auto"/>
              <w:right w:val="single" w:sz="4" w:space="0" w:color="auto"/>
            </w:tcBorders>
            <w:shd w:val="clear" w:color="000000" w:fill="FFFFFF"/>
            <w:noWrap/>
            <w:vAlign w:val="bottom"/>
            <w:hideMark/>
          </w:tcPr>
          <w:p w14:paraId="2025F902" w14:textId="77777777" w:rsidR="00CB1EB6" w:rsidRPr="00CB1EB6" w:rsidRDefault="00CB1EB6" w:rsidP="00CB1EB6">
            <w:pPr>
              <w:spacing w:after="0" w:line="240" w:lineRule="auto"/>
              <w:ind w:left="0" w:right="0"/>
              <w:jc w:val="right"/>
              <w:rPr>
                <w:rFonts w:cs="Times New Roman"/>
                <w:bCs w:val="0"/>
                <w:sz w:val="18"/>
                <w:szCs w:val="18"/>
              </w:rPr>
            </w:pPr>
            <w:r w:rsidRPr="00CB1EB6">
              <w:rPr>
                <w:rFonts w:cs="Times New Roman"/>
                <w:bCs w:val="0"/>
                <w:sz w:val="18"/>
                <w:szCs w:val="18"/>
              </w:rPr>
              <w:t>416.650,43</w:t>
            </w:r>
          </w:p>
        </w:tc>
      </w:tr>
      <w:tr w:rsidR="00CB1EB6" w:rsidRPr="00CB1EB6" w14:paraId="15DE1BBC" w14:textId="77777777" w:rsidTr="00384385">
        <w:trPr>
          <w:trHeight w:val="309"/>
        </w:trPr>
        <w:tc>
          <w:tcPr>
            <w:tcW w:w="403" w:type="dxa"/>
            <w:tcBorders>
              <w:top w:val="nil"/>
              <w:left w:val="single" w:sz="4" w:space="0" w:color="auto"/>
              <w:bottom w:val="single" w:sz="4" w:space="0" w:color="auto"/>
              <w:right w:val="single" w:sz="4" w:space="0" w:color="auto"/>
            </w:tcBorders>
            <w:shd w:val="clear" w:color="000000" w:fill="FFFFFF"/>
            <w:noWrap/>
            <w:vAlign w:val="bottom"/>
            <w:hideMark/>
          </w:tcPr>
          <w:p w14:paraId="6B05B6F7" w14:textId="77777777" w:rsidR="00CB1EB6" w:rsidRPr="00CB1EB6" w:rsidRDefault="00CB1EB6" w:rsidP="00CB1EB6">
            <w:pPr>
              <w:spacing w:after="0" w:line="240" w:lineRule="auto"/>
              <w:ind w:left="0" w:right="0"/>
              <w:jc w:val="left"/>
              <w:rPr>
                <w:rFonts w:cs="Times New Roman"/>
                <w:bCs w:val="0"/>
                <w:sz w:val="18"/>
                <w:szCs w:val="18"/>
              </w:rPr>
            </w:pPr>
            <w:r w:rsidRPr="00CB1EB6">
              <w:rPr>
                <w:rFonts w:cs="Times New Roman"/>
                <w:bCs w:val="0"/>
                <w:sz w:val="18"/>
                <w:szCs w:val="18"/>
              </w:rPr>
              <w:t>11</w:t>
            </w:r>
          </w:p>
        </w:tc>
        <w:tc>
          <w:tcPr>
            <w:tcW w:w="6169" w:type="dxa"/>
            <w:tcBorders>
              <w:top w:val="nil"/>
              <w:left w:val="nil"/>
              <w:bottom w:val="single" w:sz="4" w:space="0" w:color="auto"/>
              <w:right w:val="single" w:sz="4" w:space="0" w:color="auto"/>
            </w:tcBorders>
            <w:shd w:val="clear" w:color="000000" w:fill="FFFFFF"/>
            <w:noWrap/>
            <w:vAlign w:val="bottom"/>
            <w:hideMark/>
          </w:tcPr>
          <w:p w14:paraId="55490F33" w14:textId="77777777" w:rsidR="00CB1EB6" w:rsidRPr="00CB1EB6" w:rsidRDefault="00CB1EB6" w:rsidP="00CB1EB6">
            <w:pPr>
              <w:spacing w:after="0" w:line="240" w:lineRule="auto"/>
              <w:ind w:left="0" w:right="0"/>
              <w:jc w:val="left"/>
              <w:rPr>
                <w:rFonts w:cs="Times New Roman"/>
                <w:bCs w:val="0"/>
                <w:sz w:val="18"/>
                <w:szCs w:val="18"/>
              </w:rPr>
            </w:pPr>
            <w:r w:rsidRPr="00CB1EB6">
              <w:rPr>
                <w:rFonts w:cs="Times New Roman"/>
                <w:bCs w:val="0"/>
                <w:sz w:val="18"/>
                <w:szCs w:val="18"/>
              </w:rPr>
              <w:t>KMETIJSTVO, GOZDARSTVO IN RIBIŠTVO</w:t>
            </w:r>
          </w:p>
        </w:tc>
        <w:tc>
          <w:tcPr>
            <w:tcW w:w="1969" w:type="dxa"/>
            <w:tcBorders>
              <w:top w:val="nil"/>
              <w:left w:val="nil"/>
              <w:bottom w:val="single" w:sz="4" w:space="0" w:color="auto"/>
              <w:right w:val="single" w:sz="4" w:space="0" w:color="auto"/>
            </w:tcBorders>
            <w:shd w:val="clear" w:color="000000" w:fill="FFFFFF"/>
            <w:noWrap/>
            <w:vAlign w:val="bottom"/>
            <w:hideMark/>
          </w:tcPr>
          <w:p w14:paraId="6ED8FFE6" w14:textId="77777777" w:rsidR="00CB1EB6" w:rsidRPr="00CB1EB6" w:rsidRDefault="00CB1EB6" w:rsidP="00CB1EB6">
            <w:pPr>
              <w:spacing w:after="0" w:line="240" w:lineRule="auto"/>
              <w:ind w:left="0" w:right="0"/>
              <w:jc w:val="right"/>
              <w:rPr>
                <w:rFonts w:cs="Times New Roman"/>
                <w:bCs w:val="0"/>
                <w:sz w:val="18"/>
                <w:szCs w:val="18"/>
              </w:rPr>
            </w:pPr>
            <w:r w:rsidRPr="00CB1EB6">
              <w:rPr>
                <w:rFonts w:cs="Times New Roman"/>
                <w:bCs w:val="0"/>
                <w:sz w:val="18"/>
                <w:szCs w:val="18"/>
              </w:rPr>
              <w:t>535.706,09</w:t>
            </w:r>
          </w:p>
        </w:tc>
      </w:tr>
      <w:tr w:rsidR="00CB1EB6" w:rsidRPr="00CB1EB6" w14:paraId="16D724E1" w14:textId="77777777" w:rsidTr="00384385">
        <w:trPr>
          <w:trHeight w:val="309"/>
        </w:trPr>
        <w:tc>
          <w:tcPr>
            <w:tcW w:w="403" w:type="dxa"/>
            <w:tcBorders>
              <w:top w:val="nil"/>
              <w:left w:val="single" w:sz="4" w:space="0" w:color="auto"/>
              <w:bottom w:val="single" w:sz="4" w:space="0" w:color="auto"/>
              <w:right w:val="single" w:sz="4" w:space="0" w:color="auto"/>
            </w:tcBorders>
            <w:shd w:val="clear" w:color="000000" w:fill="FFFFFF"/>
            <w:noWrap/>
            <w:vAlign w:val="bottom"/>
            <w:hideMark/>
          </w:tcPr>
          <w:p w14:paraId="04DAB479" w14:textId="77777777" w:rsidR="00CB1EB6" w:rsidRPr="00CB1EB6" w:rsidRDefault="00CB1EB6" w:rsidP="00CB1EB6">
            <w:pPr>
              <w:spacing w:after="0" w:line="240" w:lineRule="auto"/>
              <w:ind w:left="0" w:right="0"/>
              <w:jc w:val="left"/>
              <w:rPr>
                <w:rFonts w:cs="Times New Roman"/>
                <w:bCs w:val="0"/>
                <w:sz w:val="18"/>
                <w:szCs w:val="18"/>
              </w:rPr>
            </w:pPr>
            <w:r w:rsidRPr="00CB1EB6">
              <w:rPr>
                <w:rFonts w:cs="Times New Roman"/>
                <w:bCs w:val="0"/>
                <w:sz w:val="18"/>
                <w:szCs w:val="18"/>
              </w:rPr>
              <w:t>12</w:t>
            </w:r>
          </w:p>
        </w:tc>
        <w:tc>
          <w:tcPr>
            <w:tcW w:w="6169" w:type="dxa"/>
            <w:tcBorders>
              <w:top w:val="nil"/>
              <w:left w:val="nil"/>
              <w:bottom w:val="single" w:sz="4" w:space="0" w:color="auto"/>
              <w:right w:val="single" w:sz="4" w:space="0" w:color="auto"/>
            </w:tcBorders>
            <w:shd w:val="clear" w:color="000000" w:fill="FFFFFF"/>
            <w:noWrap/>
            <w:vAlign w:val="bottom"/>
            <w:hideMark/>
          </w:tcPr>
          <w:p w14:paraId="554A29C6" w14:textId="77777777" w:rsidR="00CB1EB6" w:rsidRPr="00CB1EB6" w:rsidRDefault="00CB1EB6" w:rsidP="00CB1EB6">
            <w:pPr>
              <w:spacing w:after="0" w:line="240" w:lineRule="auto"/>
              <w:ind w:left="0" w:right="0"/>
              <w:jc w:val="left"/>
              <w:rPr>
                <w:rFonts w:cs="Times New Roman"/>
                <w:bCs w:val="0"/>
                <w:sz w:val="18"/>
                <w:szCs w:val="18"/>
              </w:rPr>
            </w:pPr>
            <w:r w:rsidRPr="00CB1EB6">
              <w:rPr>
                <w:rFonts w:cs="Times New Roman"/>
                <w:bCs w:val="0"/>
                <w:sz w:val="18"/>
                <w:szCs w:val="18"/>
              </w:rPr>
              <w:t>PRIDOBIVANJE IN DISTRIBUCIJA ENERGETSKIH SUROVIN</w:t>
            </w:r>
          </w:p>
        </w:tc>
        <w:tc>
          <w:tcPr>
            <w:tcW w:w="1969" w:type="dxa"/>
            <w:tcBorders>
              <w:top w:val="nil"/>
              <w:left w:val="nil"/>
              <w:bottom w:val="single" w:sz="4" w:space="0" w:color="auto"/>
              <w:right w:val="single" w:sz="4" w:space="0" w:color="auto"/>
            </w:tcBorders>
            <w:shd w:val="clear" w:color="000000" w:fill="FFFFFF"/>
            <w:noWrap/>
            <w:vAlign w:val="bottom"/>
            <w:hideMark/>
          </w:tcPr>
          <w:p w14:paraId="19316407" w14:textId="77777777" w:rsidR="00CB1EB6" w:rsidRPr="00CB1EB6" w:rsidRDefault="00CB1EB6" w:rsidP="00CB1EB6">
            <w:pPr>
              <w:spacing w:after="0" w:line="240" w:lineRule="auto"/>
              <w:ind w:left="0" w:right="0"/>
              <w:jc w:val="right"/>
              <w:rPr>
                <w:rFonts w:cs="Times New Roman"/>
                <w:bCs w:val="0"/>
                <w:sz w:val="18"/>
                <w:szCs w:val="18"/>
              </w:rPr>
            </w:pPr>
            <w:r w:rsidRPr="00CB1EB6">
              <w:rPr>
                <w:rFonts w:cs="Times New Roman"/>
                <w:bCs w:val="0"/>
                <w:sz w:val="18"/>
                <w:szCs w:val="18"/>
              </w:rPr>
              <w:t>599.029,80</w:t>
            </w:r>
          </w:p>
        </w:tc>
      </w:tr>
      <w:tr w:rsidR="00CB1EB6" w:rsidRPr="00CB1EB6" w14:paraId="1D76F3CF" w14:textId="77777777" w:rsidTr="00384385">
        <w:trPr>
          <w:trHeight w:val="309"/>
        </w:trPr>
        <w:tc>
          <w:tcPr>
            <w:tcW w:w="403" w:type="dxa"/>
            <w:tcBorders>
              <w:top w:val="nil"/>
              <w:left w:val="single" w:sz="4" w:space="0" w:color="auto"/>
              <w:bottom w:val="single" w:sz="4" w:space="0" w:color="auto"/>
              <w:right w:val="single" w:sz="4" w:space="0" w:color="auto"/>
            </w:tcBorders>
            <w:shd w:val="clear" w:color="000000" w:fill="FFFFFF"/>
            <w:noWrap/>
            <w:vAlign w:val="bottom"/>
            <w:hideMark/>
          </w:tcPr>
          <w:p w14:paraId="56AE9864" w14:textId="77777777" w:rsidR="00CB1EB6" w:rsidRPr="00CB1EB6" w:rsidRDefault="00CB1EB6" w:rsidP="00CB1EB6">
            <w:pPr>
              <w:spacing w:after="0" w:line="240" w:lineRule="auto"/>
              <w:ind w:left="0" w:right="0"/>
              <w:jc w:val="left"/>
              <w:rPr>
                <w:rFonts w:cs="Times New Roman"/>
                <w:bCs w:val="0"/>
                <w:sz w:val="18"/>
                <w:szCs w:val="18"/>
              </w:rPr>
            </w:pPr>
            <w:r w:rsidRPr="00CB1EB6">
              <w:rPr>
                <w:rFonts w:cs="Times New Roman"/>
                <w:bCs w:val="0"/>
                <w:sz w:val="18"/>
                <w:szCs w:val="18"/>
              </w:rPr>
              <w:t>13</w:t>
            </w:r>
          </w:p>
        </w:tc>
        <w:tc>
          <w:tcPr>
            <w:tcW w:w="6169" w:type="dxa"/>
            <w:tcBorders>
              <w:top w:val="nil"/>
              <w:left w:val="nil"/>
              <w:bottom w:val="single" w:sz="4" w:space="0" w:color="auto"/>
              <w:right w:val="single" w:sz="4" w:space="0" w:color="auto"/>
            </w:tcBorders>
            <w:shd w:val="clear" w:color="000000" w:fill="FFFFFF"/>
            <w:noWrap/>
            <w:vAlign w:val="bottom"/>
            <w:hideMark/>
          </w:tcPr>
          <w:p w14:paraId="03190734" w14:textId="77777777" w:rsidR="00CB1EB6" w:rsidRPr="00CB1EB6" w:rsidRDefault="00CB1EB6" w:rsidP="00CB1EB6">
            <w:pPr>
              <w:spacing w:after="0" w:line="240" w:lineRule="auto"/>
              <w:ind w:left="0" w:right="0"/>
              <w:jc w:val="left"/>
              <w:rPr>
                <w:rFonts w:cs="Times New Roman"/>
                <w:bCs w:val="0"/>
                <w:sz w:val="18"/>
                <w:szCs w:val="18"/>
              </w:rPr>
            </w:pPr>
            <w:r w:rsidRPr="00CB1EB6">
              <w:rPr>
                <w:rFonts w:cs="Times New Roman"/>
                <w:bCs w:val="0"/>
                <w:sz w:val="18"/>
                <w:szCs w:val="18"/>
              </w:rPr>
              <w:t>PROMET, PROMETNA INFRASTRUKTURA IN KOMUNIKACIJE</w:t>
            </w:r>
          </w:p>
        </w:tc>
        <w:tc>
          <w:tcPr>
            <w:tcW w:w="1969" w:type="dxa"/>
            <w:tcBorders>
              <w:top w:val="nil"/>
              <w:left w:val="nil"/>
              <w:bottom w:val="single" w:sz="4" w:space="0" w:color="auto"/>
              <w:right w:val="single" w:sz="4" w:space="0" w:color="auto"/>
            </w:tcBorders>
            <w:shd w:val="clear" w:color="000000" w:fill="FFFFFF"/>
            <w:noWrap/>
            <w:vAlign w:val="bottom"/>
            <w:hideMark/>
          </w:tcPr>
          <w:p w14:paraId="72360551" w14:textId="77777777" w:rsidR="00CB1EB6" w:rsidRPr="00CB1EB6" w:rsidRDefault="00CB1EB6" w:rsidP="00CB1EB6">
            <w:pPr>
              <w:spacing w:after="0" w:line="240" w:lineRule="auto"/>
              <w:ind w:left="0" w:right="0"/>
              <w:jc w:val="right"/>
              <w:rPr>
                <w:rFonts w:cs="Times New Roman"/>
                <w:bCs w:val="0"/>
                <w:sz w:val="18"/>
                <w:szCs w:val="18"/>
              </w:rPr>
            </w:pPr>
            <w:r w:rsidRPr="00CB1EB6">
              <w:rPr>
                <w:rFonts w:cs="Times New Roman"/>
                <w:bCs w:val="0"/>
                <w:sz w:val="18"/>
                <w:szCs w:val="18"/>
              </w:rPr>
              <w:t>1.226.704,98</w:t>
            </w:r>
          </w:p>
        </w:tc>
      </w:tr>
      <w:tr w:rsidR="00CB1EB6" w:rsidRPr="00CB1EB6" w14:paraId="366BCA46" w14:textId="77777777" w:rsidTr="00384385">
        <w:trPr>
          <w:trHeight w:val="309"/>
        </w:trPr>
        <w:tc>
          <w:tcPr>
            <w:tcW w:w="403" w:type="dxa"/>
            <w:tcBorders>
              <w:top w:val="nil"/>
              <w:left w:val="single" w:sz="4" w:space="0" w:color="auto"/>
              <w:bottom w:val="single" w:sz="4" w:space="0" w:color="auto"/>
              <w:right w:val="single" w:sz="4" w:space="0" w:color="auto"/>
            </w:tcBorders>
            <w:shd w:val="clear" w:color="000000" w:fill="FFFFFF"/>
            <w:noWrap/>
            <w:vAlign w:val="bottom"/>
            <w:hideMark/>
          </w:tcPr>
          <w:p w14:paraId="77740EA8" w14:textId="77777777" w:rsidR="00CB1EB6" w:rsidRPr="00CB1EB6" w:rsidRDefault="00CB1EB6" w:rsidP="00CB1EB6">
            <w:pPr>
              <w:spacing w:after="0" w:line="240" w:lineRule="auto"/>
              <w:ind w:left="0" w:right="0"/>
              <w:jc w:val="left"/>
              <w:rPr>
                <w:rFonts w:cs="Times New Roman"/>
                <w:bCs w:val="0"/>
                <w:sz w:val="18"/>
                <w:szCs w:val="18"/>
              </w:rPr>
            </w:pPr>
            <w:r w:rsidRPr="00CB1EB6">
              <w:rPr>
                <w:rFonts w:cs="Times New Roman"/>
                <w:bCs w:val="0"/>
                <w:sz w:val="18"/>
                <w:szCs w:val="18"/>
              </w:rPr>
              <w:t>14</w:t>
            </w:r>
          </w:p>
        </w:tc>
        <w:tc>
          <w:tcPr>
            <w:tcW w:w="6169" w:type="dxa"/>
            <w:tcBorders>
              <w:top w:val="nil"/>
              <w:left w:val="nil"/>
              <w:bottom w:val="single" w:sz="4" w:space="0" w:color="auto"/>
              <w:right w:val="single" w:sz="4" w:space="0" w:color="auto"/>
            </w:tcBorders>
            <w:shd w:val="clear" w:color="000000" w:fill="FFFFFF"/>
            <w:noWrap/>
            <w:vAlign w:val="bottom"/>
            <w:hideMark/>
          </w:tcPr>
          <w:p w14:paraId="3A6347A8" w14:textId="77777777" w:rsidR="00CB1EB6" w:rsidRPr="00CB1EB6" w:rsidRDefault="00CB1EB6" w:rsidP="00CB1EB6">
            <w:pPr>
              <w:spacing w:after="0" w:line="240" w:lineRule="auto"/>
              <w:ind w:left="0" w:right="0"/>
              <w:jc w:val="left"/>
              <w:rPr>
                <w:rFonts w:cs="Times New Roman"/>
                <w:bCs w:val="0"/>
                <w:sz w:val="18"/>
                <w:szCs w:val="18"/>
              </w:rPr>
            </w:pPr>
            <w:r w:rsidRPr="00CB1EB6">
              <w:rPr>
                <w:rFonts w:cs="Times New Roman"/>
                <w:bCs w:val="0"/>
                <w:sz w:val="18"/>
                <w:szCs w:val="18"/>
              </w:rPr>
              <w:t>GOSPODARSTVO</w:t>
            </w:r>
          </w:p>
        </w:tc>
        <w:tc>
          <w:tcPr>
            <w:tcW w:w="1969" w:type="dxa"/>
            <w:tcBorders>
              <w:top w:val="nil"/>
              <w:left w:val="nil"/>
              <w:bottom w:val="single" w:sz="4" w:space="0" w:color="auto"/>
              <w:right w:val="single" w:sz="4" w:space="0" w:color="auto"/>
            </w:tcBorders>
            <w:shd w:val="clear" w:color="000000" w:fill="FFFFFF"/>
            <w:noWrap/>
            <w:vAlign w:val="bottom"/>
            <w:hideMark/>
          </w:tcPr>
          <w:p w14:paraId="0DC0BEFE" w14:textId="77777777" w:rsidR="00CB1EB6" w:rsidRPr="00CB1EB6" w:rsidRDefault="00CB1EB6" w:rsidP="00CB1EB6">
            <w:pPr>
              <w:spacing w:after="0" w:line="240" w:lineRule="auto"/>
              <w:ind w:left="0" w:right="0"/>
              <w:jc w:val="right"/>
              <w:rPr>
                <w:rFonts w:cs="Times New Roman"/>
                <w:bCs w:val="0"/>
                <w:sz w:val="18"/>
                <w:szCs w:val="18"/>
              </w:rPr>
            </w:pPr>
            <w:r w:rsidRPr="00CB1EB6">
              <w:rPr>
                <w:rFonts w:cs="Times New Roman"/>
                <w:bCs w:val="0"/>
                <w:sz w:val="18"/>
                <w:szCs w:val="18"/>
              </w:rPr>
              <w:t>1.291.517,50</w:t>
            </w:r>
          </w:p>
        </w:tc>
      </w:tr>
      <w:tr w:rsidR="00CB1EB6" w:rsidRPr="00CB1EB6" w14:paraId="32E6281B" w14:textId="77777777" w:rsidTr="00384385">
        <w:trPr>
          <w:trHeight w:val="309"/>
        </w:trPr>
        <w:tc>
          <w:tcPr>
            <w:tcW w:w="403" w:type="dxa"/>
            <w:tcBorders>
              <w:top w:val="nil"/>
              <w:left w:val="single" w:sz="4" w:space="0" w:color="auto"/>
              <w:bottom w:val="single" w:sz="4" w:space="0" w:color="auto"/>
              <w:right w:val="single" w:sz="4" w:space="0" w:color="auto"/>
            </w:tcBorders>
            <w:shd w:val="clear" w:color="000000" w:fill="FFFFFF"/>
            <w:noWrap/>
            <w:vAlign w:val="bottom"/>
            <w:hideMark/>
          </w:tcPr>
          <w:p w14:paraId="603BBB84" w14:textId="77777777" w:rsidR="00CB1EB6" w:rsidRPr="00CB1EB6" w:rsidRDefault="00CB1EB6" w:rsidP="00CB1EB6">
            <w:pPr>
              <w:spacing w:after="0" w:line="240" w:lineRule="auto"/>
              <w:ind w:left="0" w:right="0"/>
              <w:jc w:val="left"/>
              <w:rPr>
                <w:rFonts w:cs="Times New Roman"/>
                <w:bCs w:val="0"/>
                <w:sz w:val="18"/>
                <w:szCs w:val="18"/>
              </w:rPr>
            </w:pPr>
            <w:r w:rsidRPr="00CB1EB6">
              <w:rPr>
                <w:rFonts w:cs="Times New Roman"/>
                <w:bCs w:val="0"/>
                <w:sz w:val="18"/>
                <w:szCs w:val="18"/>
              </w:rPr>
              <w:t>15</w:t>
            </w:r>
          </w:p>
        </w:tc>
        <w:tc>
          <w:tcPr>
            <w:tcW w:w="6169" w:type="dxa"/>
            <w:tcBorders>
              <w:top w:val="nil"/>
              <w:left w:val="nil"/>
              <w:bottom w:val="single" w:sz="4" w:space="0" w:color="auto"/>
              <w:right w:val="single" w:sz="4" w:space="0" w:color="auto"/>
            </w:tcBorders>
            <w:shd w:val="clear" w:color="000000" w:fill="FFFFFF"/>
            <w:noWrap/>
            <w:vAlign w:val="bottom"/>
            <w:hideMark/>
          </w:tcPr>
          <w:p w14:paraId="6E9599DB" w14:textId="77777777" w:rsidR="00CB1EB6" w:rsidRPr="00CB1EB6" w:rsidRDefault="00CB1EB6" w:rsidP="00CB1EB6">
            <w:pPr>
              <w:spacing w:after="0" w:line="240" w:lineRule="auto"/>
              <w:ind w:left="0" w:right="0"/>
              <w:jc w:val="left"/>
              <w:rPr>
                <w:rFonts w:cs="Times New Roman"/>
                <w:bCs w:val="0"/>
                <w:sz w:val="18"/>
                <w:szCs w:val="18"/>
              </w:rPr>
            </w:pPr>
            <w:r w:rsidRPr="00CB1EB6">
              <w:rPr>
                <w:rFonts w:cs="Times New Roman"/>
                <w:bCs w:val="0"/>
                <w:sz w:val="18"/>
                <w:szCs w:val="18"/>
              </w:rPr>
              <w:t>VAROVANJE OKOLJA IN NARAVNE DEDIŠČINE</w:t>
            </w:r>
          </w:p>
        </w:tc>
        <w:tc>
          <w:tcPr>
            <w:tcW w:w="1969" w:type="dxa"/>
            <w:tcBorders>
              <w:top w:val="nil"/>
              <w:left w:val="nil"/>
              <w:bottom w:val="single" w:sz="4" w:space="0" w:color="auto"/>
              <w:right w:val="single" w:sz="4" w:space="0" w:color="auto"/>
            </w:tcBorders>
            <w:shd w:val="clear" w:color="000000" w:fill="FFFFFF"/>
            <w:noWrap/>
            <w:vAlign w:val="bottom"/>
            <w:hideMark/>
          </w:tcPr>
          <w:p w14:paraId="7C3C5DC4" w14:textId="77777777" w:rsidR="00CB1EB6" w:rsidRPr="00CB1EB6" w:rsidRDefault="00CB1EB6" w:rsidP="00CB1EB6">
            <w:pPr>
              <w:spacing w:after="0" w:line="240" w:lineRule="auto"/>
              <w:ind w:left="0" w:right="0"/>
              <w:jc w:val="right"/>
              <w:rPr>
                <w:rFonts w:cs="Times New Roman"/>
                <w:bCs w:val="0"/>
                <w:sz w:val="18"/>
                <w:szCs w:val="18"/>
              </w:rPr>
            </w:pPr>
            <w:r w:rsidRPr="00CB1EB6">
              <w:rPr>
                <w:rFonts w:cs="Times New Roman"/>
                <w:bCs w:val="0"/>
                <w:sz w:val="18"/>
                <w:szCs w:val="18"/>
              </w:rPr>
              <w:t>1.672.501,42</w:t>
            </w:r>
          </w:p>
        </w:tc>
      </w:tr>
      <w:tr w:rsidR="00CB1EB6" w:rsidRPr="00CB1EB6" w14:paraId="32461655" w14:textId="77777777" w:rsidTr="00384385">
        <w:trPr>
          <w:trHeight w:val="309"/>
        </w:trPr>
        <w:tc>
          <w:tcPr>
            <w:tcW w:w="403" w:type="dxa"/>
            <w:tcBorders>
              <w:top w:val="nil"/>
              <w:left w:val="single" w:sz="4" w:space="0" w:color="auto"/>
              <w:bottom w:val="single" w:sz="4" w:space="0" w:color="auto"/>
              <w:right w:val="single" w:sz="4" w:space="0" w:color="auto"/>
            </w:tcBorders>
            <w:shd w:val="clear" w:color="000000" w:fill="FFFFFF"/>
            <w:noWrap/>
            <w:vAlign w:val="bottom"/>
            <w:hideMark/>
          </w:tcPr>
          <w:p w14:paraId="429D700C" w14:textId="77777777" w:rsidR="00CB1EB6" w:rsidRPr="00CB1EB6" w:rsidRDefault="00CB1EB6" w:rsidP="00CB1EB6">
            <w:pPr>
              <w:spacing w:after="0" w:line="240" w:lineRule="auto"/>
              <w:ind w:left="0" w:right="0"/>
              <w:jc w:val="left"/>
              <w:rPr>
                <w:rFonts w:cs="Times New Roman"/>
                <w:bCs w:val="0"/>
                <w:sz w:val="18"/>
                <w:szCs w:val="18"/>
              </w:rPr>
            </w:pPr>
            <w:r w:rsidRPr="00CB1EB6">
              <w:rPr>
                <w:rFonts w:cs="Times New Roman"/>
                <w:bCs w:val="0"/>
                <w:sz w:val="18"/>
                <w:szCs w:val="18"/>
              </w:rPr>
              <w:t>16</w:t>
            </w:r>
          </w:p>
        </w:tc>
        <w:tc>
          <w:tcPr>
            <w:tcW w:w="6169" w:type="dxa"/>
            <w:tcBorders>
              <w:top w:val="nil"/>
              <w:left w:val="nil"/>
              <w:bottom w:val="single" w:sz="4" w:space="0" w:color="auto"/>
              <w:right w:val="single" w:sz="4" w:space="0" w:color="auto"/>
            </w:tcBorders>
            <w:shd w:val="clear" w:color="000000" w:fill="FFFFFF"/>
            <w:noWrap/>
            <w:vAlign w:val="bottom"/>
            <w:hideMark/>
          </w:tcPr>
          <w:p w14:paraId="2CE046D7" w14:textId="77777777" w:rsidR="00CB1EB6" w:rsidRPr="00CB1EB6" w:rsidRDefault="00CB1EB6" w:rsidP="00CB1EB6">
            <w:pPr>
              <w:spacing w:after="0" w:line="240" w:lineRule="auto"/>
              <w:ind w:left="0" w:right="0"/>
              <w:jc w:val="left"/>
              <w:rPr>
                <w:rFonts w:cs="Times New Roman"/>
                <w:bCs w:val="0"/>
                <w:sz w:val="18"/>
                <w:szCs w:val="18"/>
              </w:rPr>
            </w:pPr>
            <w:r w:rsidRPr="00CB1EB6">
              <w:rPr>
                <w:rFonts w:cs="Times New Roman"/>
                <w:bCs w:val="0"/>
                <w:sz w:val="18"/>
                <w:szCs w:val="18"/>
              </w:rPr>
              <w:t>PROSTORSKO PLANIRANJE IN STANOVANJSKO KOMUNALNA DEJAVNOST</w:t>
            </w:r>
          </w:p>
        </w:tc>
        <w:tc>
          <w:tcPr>
            <w:tcW w:w="1969" w:type="dxa"/>
            <w:tcBorders>
              <w:top w:val="nil"/>
              <w:left w:val="nil"/>
              <w:bottom w:val="single" w:sz="4" w:space="0" w:color="auto"/>
              <w:right w:val="single" w:sz="4" w:space="0" w:color="auto"/>
            </w:tcBorders>
            <w:shd w:val="clear" w:color="000000" w:fill="FFFFFF"/>
            <w:noWrap/>
            <w:vAlign w:val="bottom"/>
            <w:hideMark/>
          </w:tcPr>
          <w:p w14:paraId="330A6EB6" w14:textId="77777777" w:rsidR="00CB1EB6" w:rsidRPr="00CB1EB6" w:rsidRDefault="00CB1EB6" w:rsidP="00CB1EB6">
            <w:pPr>
              <w:spacing w:after="0" w:line="240" w:lineRule="auto"/>
              <w:ind w:left="0" w:right="0"/>
              <w:jc w:val="right"/>
              <w:rPr>
                <w:rFonts w:cs="Times New Roman"/>
                <w:bCs w:val="0"/>
                <w:sz w:val="18"/>
                <w:szCs w:val="18"/>
              </w:rPr>
            </w:pPr>
            <w:r w:rsidRPr="00CB1EB6">
              <w:rPr>
                <w:rFonts w:cs="Times New Roman"/>
                <w:bCs w:val="0"/>
                <w:sz w:val="18"/>
                <w:szCs w:val="18"/>
              </w:rPr>
              <w:t>1.663.928,84</w:t>
            </w:r>
          </w:p>
        </w:tc>
      </w:tr>
      <w:tr w:rsidR="00CB1EB6" w:rsidRPr="00CB1EB6" w14:paraId="30A60390" w14:textId="77777777" w:rsidTr="00384385">
        <w:trPr>
          <w:trHeight w:val="309"/>
        </w:trPr>
        <w:tc>
          <w:tcPr>
            <w:tcW w:w="403" w:type="dxa"/>
            <w:tcBorders>
              <w:top w:val="nil"/>
              <w:left w:val="single" w:sz="4" w:space="0" w:color="auto"/>
              <w:bottom w:val="single" w:sz="4" w:space="0" w:color="auto"/>
              <w:right w:val="single" w:sz="4" w:space="0" w:color="auto"/>
            </w:tcBorders>
            <w:shd w:val="clear" w:color="000000" w:fill="FFFFFF"/>
            <w:noWrap/>
            <w:vAlign w:val="bottom"/>
            <w:hideMark/>
          </w:tcPr>
          <w:p w14:paraId="45D38907" w14:textId="77777777" w:rsidR="00CB1EB6" w:rsidRPr="00CB1EB6" w:rsidRDefault="00CB1EB6" w:rsidP="00CB1EB6">
            <w:pPr>
              <w:spacing w:after="0" w:line="240" w:lineRule="auto"/>
              <w:ind w:left="0" w:right="0"/>
              <w:jc w:val="left"/>
              <w:rPr>
                <w:rFonts w:cs="Times New Roman"/>
                <w:bCs w:val="0"/>
                <w:sz w:val="18"/>
                <w:szCs w:val="18"/>
              </w:rPr>
            </w:pPr>
            <w:r w:rsidRPr="00CB1EB6">
              <w:rPr>
                <w:rFonts w:cs="Times New Roman"/>
                <w:bCs w:val="0"/>
                <w:sz w:val="18"/>
                <w:szCs w:val="18"/>
              </w:rPr>
              <w:t>17</w:t>
            </w:r>
          </w:p>
        </w:tc>
        <w:tc>
          <w:tcPr>
            <w:tcW w:w="6169" w:type="dxa"/>
            <w:tcBorders>
              <w:top w:val="nil"/>
              <w:left w:val="nil"/>
              <w:bottom w:val="single" w:sz="4" w:space="0" w:color="auto"/>
              <w:right w:val="single" w:sz="4" w:space="0" w:color="auto"/>
            </w:tcBorders>
            <w:shd w:val="clear" w:color="000000" w:fill="FFFFFF"/>
            <w:noWrap/>
            <w:vAlign w:val="bottom"/>
            <w:hideMark/>
          </w:tcPr>
          <w:p w14:paraId="5F3CBCB0" w14:textId="77777777" w:rsidR="00CB1EB6" w:rsidRPr="00CB1EB6" w:rsidRDefault="00CB1EB6" w:rsidP="00CB1EB6">
            <w:pPr>
              <w:spacing w:after="0" w:line="240" w:lineRule="auto"/>
              <w:ind w:left="0" w:right="0"/>
              <w:jc w:val="left"/>
              <w:rPr>
                <w:rFonts w:cs="Times New Roman"/>
                <w:bCs w:val="0"/>
                <w:sz w:val="18"/>
                <w:szCs w:val="18"/>
              </w:rPr>
            </w:pPr>
            <w:r w:rsidRPr="00CB1EB6">
              <w:rPr>
                <w:rFonts w:cs="Times New Roman"/>
                <w:bCs w:val="0"/>
                <w:sz w:val="18"/>
                <w:szCs w:val="18"/>
              </w:rPr>
              <w:t>ZDRAVSTVENO VARSTVO</w:t>
            </w:r>
          </w:p>
        </w:tc>
        <w:tc>
          <w:tcPr>
            <w:tcW w:w="1969" w:type="dxa"/>
            <w:tcBorders>
              <w:top w:val="nil"/>
              <w:left w:val="nil"/>
              <w:bottom w:val="single" w:sz="4" w:space="0" w:color="auto"/>
              <w:right w:val="single" w:sz="4" w:space="0" w:color="auto"/>
            </w:tcBorders>
            <w:shd w:val="clear" w:color="000000" w:fill="FFFFFF"/>
            <w:noWrap/>
            <w:vAlign w:val="bottom"/>
            <w:hideMark/>
          </w:tcPr>
          <w:p w14:paraId="381FA266" w14:textId="77777777" w:rsidR="00CB1EB6" w:rsidRPr="00CB1EB6" w:rsidRDefault="00CB1EB6" w:rsidP="00CB1EB6">
            <w:pPr>
              <w:spacing w:after="0" w:line="240" w:lineRule="auto"/>
              <w:ind w:left="0" w:right="0"/>
              <w:jc w:val="right"/>
              <w:rPr>
                <w:rFonts w:cs="Times New Roman"/>
                <w:bCs w:val="0"/>
                <w:sz w:val="18"/>
                <w:szCs w:val="18"/>
              </w:rPr>
            </w:pPr>
            <w:r w:rsidRPr="00CB1EB6">
              <w:rPr>
                <w:rFonts w:cs="Times New Roman"/>
                <w:bCs w:val="0"/>
                <w:sz w:val="18"/>
                <w:szCs w:val="18"/>
              </w:rPr>
              <w:t>3.224.496,29</w:t>
            </w:r>
          </w:p>
        </w:tc>
      </w:tr>
      <w:tr w:rsidR="00CB1EB6" w:rsidRPr="00CB1EB6" w14:paraId="75A8883C" w14:textId="77777777" w:rsidTr="00384385">
        <w:trPr>
          <w:trHeight w:val="309"/>
        </w:trPr>
        <w:tc>
          <w:tcPr>
            <w:tcW w:w="403" w:type="dxa"/>
            <w:tcBorders>
              <w:top w:val="nil"/>
              <w:left w:val="single" w:sz="4" w:space="0" w:color="auto"/>
              <w:bottom w:val="single" w:sz="4" w:space="0" w:color="auto"/>
              <w:right w:val="single" w:sz="4" w:space="0" w:color="auto"/>
            </w:tcBorders>
            <w:shd w:val="clear" w:color="000000" w:fill="FFFFFF"/>
            <w:noWrap/>
            <w:vAlign w:val="bottom"/>
            <w:hideMark/>
          </w:tcPr>
          <w:p w14:paraId="6BE3835A" w14:textId="77777777" w:rsidR="00CB1EB6" w:rsidRPr="00CB1EB6" w:rsidRDefault="00CB1EB6" w:rsidP="00CB1EB6">
            <w:pPr>
              <w:spacing w:after="0" w:line="240" w:lineRule="auto"/>
              <w:ind w:left="0" w:right="0"/>
              <w:jc w:val="left"/>
              <w:rPr>
                <w:rFonts w:cs="Times New Roman"/>
                <w:bCs w:val="0"/>
                <w:sz w:val="18"/>
                <w:szCs w:val="18"/>
              </w:rPr>
            </w:pPr>
            <w:r w:rsidRPr="00CB1EB6">
              <w:rPr>
                <w:rFonts w:cs="Times New Roman"/>
                <w:bCs w:val="0"/>
                <w:sz w:val="18"/>
                <w:szCs w:val="18"/>
              </w:rPr>
              <w:t>18</w:t>
            </w:r>
          </w:p>
        </w:tc>
        <w:tc>
          <w:tcPr>
            <w:tcW w:w="6169" w:type="dxa"/>
            <w:tcBorders>
              <w:top w:val="nil"/>
              <w:left w:val="nil"/>
              <w:bottom w:val="single" w:sz="4" w:space="0" w:color="auto"/>
              <w:right w:val="single" w:sz="4" w:space="0" w:color="auto"/>
            </w:tcBorders>
            <w:shd w:val="clear" w:color="000000" w:fill="FFFFFF"/>
            <w:noWrap/>
            <w:vAlign w:val="bottom"/>
            <w:hideMark/>
          </w:tcPr>
          <w:p w14:paraId="1232FDF2" w14:textId="77777777" w:rsidR="00CB1EB6" w:rsidRPr="00CB1EB6" w:rsidRDefault="00CB1EB6" w:rsidP="00CB1EB6">
            <w:pPr>
              <w:spacing w:after="0" w:line="240" w:lineRule="auto"/>
              <w:ind w:left="0" w:right="0"/>
              <w:jc w:val="left"/>
              <w:rPr>
                <w:rFonts w:cs="Times New Roman"/>
                <w:bCs w:val="0"/>
                <w:sz w:val="18"/>
                <w:szCs w:val="18"/>
              </w:rPr>
            </w:pPr>
            <w:r w:rsidRPr="00CB1EB6">
              <w:rPr>
                <w:rFonts w:cs="Times New Roman"/>
                <w:bCs w:val="0"/>
                <w:sz w:val="18"/>
                <w:szCs w:val="18"/>
              </w:rPr>
              <w:t>KULTURA, ŠPORT IN NEVLADNE ORGANIZACIJE</w:t>
            </w:r>
          </w:p>
        </w:tc>
        <w:tc>
          <w:tcPr>
            <w:tcW w:w="1969" w:type="dxa"/>
            <w:tcBorders>
              <w:top w:val="nil"/>
              <w:left w:val="nil"/>
              <w:bottom w:val="single" w:sz="4" w:space="0" w:color="auto"/>
              <w:right w:val="single" w:sz="4" w:space="0" w:color="auto"/>
            </w:tcBorders>
            <w:shd w:val="clear" w:color="000000" w:fill="FFFFFF"/>
            <w:noWrap/>
            <w:vAlign w:val="bottom"/>
            <w:hideMark/>
          </w:tcPr>
          <w:p w14:paraId="4944F645" w14:textId="77777777" w:rsidR="00CB1EB6" w:rsidRPr="00CB1EB6" w:rsidRDefault="00CB1EB6" w:rsidP="00CB1EB6">
            <w:pPr>
              <w:spacing w:after="0" w:line="240" w:lineRule="auto"/>
              <w:ind w:left="0" w:right="0"/>
              <w:jc w:val="right"/>
              <w:rPr>
                <w:rFonts w:cs="Times New Roman"/>
                <w:bCs w:val="0"/>
                <w:sz w:val="18"/>
                <w:szCs w:val="18"/>
              </w:rPr>
            </w:pPr>
            <w:r w:rsidRPr="00CB1EB6">
              <w:rPr>
                <w:rFonts w:cs="Times New Roman"/>
                <w:bCs w:val="0"/>
                <w:sz w:val="18"/>
                <w:szCs w:val="18"/>
              </w:rPr>
              <w:t>10.549.170,53</w:t>
            </w:r>
          </w:p>
        </w:tc>
      </w:tr>
      <w:tr w:rsidR="00CB1EB6" w:rsidRPr="00CB1EB6" w14:paraId="31CBDC28" w14:textId="77777777" w:rsidTr="00384385">
        <w:trPr>
          <w:trHeight w:val="309"/>
        </w:trPr>
        <w:tc>
          <w:tcPr>
            <w:tcW w:w="403" w:type="dxa"/>
            <w:tcBorders>
              <w:top w:val="nil"/>
              <w:left w:val="single" w:sz="4" w:space="0" w:color="auto"/>
              <w:bottom w:val="single" w:sz="4" w:space="0" w:color="auto"/>
              <w:right w:val="single" w:sz="4" w:space="0" w:color="auto"/>
            </w:tcBorders>
            <w:shd w:val="clear" w:color="000000" w:fill="FFFFFF"/>
            <w:noWrap/>
            <w:vAlign w:val="bottom"/>
            <w:hideMark/>
          </w:tcPr>
          <w:p w14:paraId="5D7F5776" w14:textId="77777777" w:rsidR="00CB1EB6" w:rsidRPr="00CB1EB6" w:rsidRDefault="00CB1EB6" w:rsidP="00CB1EB6">
            <w:pPr>
              <w:spacing w:after="0" w:line="240" w:lineRule="auto"/>
              <w:ind w:left="0" w:right="0"/>
              <w:jc w:val="left"/>
              <w:rPr>
                <w:rFonts w:cs="Times New Roman"/>
                <w:bCs w:val="0"/>
                <w:sz w:val="18"/>
                <w:szCs w:val="18"/>
              </w:rPr>
            </w:pPr>
            <w:r w:rsidRPr="00CB1EB6">
              <w:rPr>
                <w:rFonts w:cs="Times New Roman"/>
                <w:bCs w:val="0"/>
                <w:sz w:val="18"/>
                <w:szCs w:val="18"/>
              </w:rPr>
              <w:t>19</w:t>
            </w:r>
          </w:p>
        </w:tc>
        <w:tc>
          <w:tcPr>
            <w:tcW w:w="6169" w:type="dxa"/>
            <w:tcBorders>
              <w:top w:val="nil"/>
              <w:left w:val="nil"/>
              <w:bottom w:val="single" w:sz="4" w:space="0" w:color="auto"/>
              <w:right w:val="single" w:sz="4" w:space="0" w:color="auto"/>
            </w:tcBorders>
            <w:shd w:val="clear" w:color="000000" w:fill="FFFFFF"/>
            <w:noWrap/>
            <w:vAlign w:val="bottom"/>
            <w:hideMark/>
          </w:tcPr>
          <w:p w14:paraId="794B38D5" w14:textId="77777777" w:rsidR="00CB1EB6" w:rsidRPr="00CB1EB6" w:rsidRDefault="00CB1EB6" w:rsidP="00CB1EB6">
            <w:pPr>
              <w:spacing w:after="0" w:line="240" w:lineRule="auto"/>
              <w:ind w:left="0" w:right="0"/>
              <w:jc w:val="left"/>
              <w:rPr>
                <w:rFonts w:cs="Times New Roman"/>
                <w:bCs w:val="0"/>
                <w:sz w:val="18"/>
                <w:szCs w:val="18"/>
              </w:rPr>
            </w:pPr>
            <w:r w:rsidRPr="00CB1EB6">
              <w:rPr>
                <w:rFonts w:cs="Times New Roman"/>
                <w:bCs w:val="0"/>
                <w:sz w:val="18"/>
                <w:szCs w:val="18"/>
              </w:rPr>
              <w:t>IZOBRAŽEVANJE</w:t>
            </w:r>
          </w:p>
        </w:tc>
        <w:tc>
          <w:tcPr>
            <w:tcW w:w="1969" w:type="dxa"/>
            <w:tcBorders>
              <w:top w:val="nil"/>
              <w:left w:val="nil"/>
              <w:bottom w:val="single" w:sz="4" w:space="0" w:color="auto"/>
              <w:right w:val="single" w:sz="4" w:space="0" w:color="auto"/>
            </w:tcBorders>
            <w:shd w:val="clear" w:color="000000" w:fill="FFFFFF"/>
            <w:noWrap/>
            <w:vAlign w:val="bottom"/>
            <w:hideMark/>
          </w:tcPr>
          <w:p w14:paraId="55D043F4" w14:textId="77777777" w:rsidR="00CB1EB6" w:rsidRPr="00CB1EB6" w:rsidRDefault="00CB1EB6" w:rsidP="00CB1EB6">
            <w:pPr>
              <w:spacing w:after="0" w:line="240" w:lineRule="auto"/>
              <w:ind w:left="0" w:right="0"/>
              <w:jc w:val="right"/>
              <w:rPr>
                <w:rFonts w:cs="Times New Roman"/>
                <w:bCs w:val="0"/>
                <w:sz w:val="18"/>
                <w:szCs w:val="18"/>
              </w:rPr>
            </w:pPr>
            <w:r w:rsidRPr="00CB1EB6">
              <w:rPr>
                <w:rFonts w:cs="Times New Roman"/>
                <w:bCs w:val="0"/>
                <w:sz w:val="18"/>
                <w:szCs w:val="18"/>
              </w:rPr>
              <w:t>1.349.289,62</w:t>
            </w:r>
          </w:p>
        </w:tc>
      </w:tr>
      <w:tr w:rsidR="00CB1EB6" w:rsidRPr="00CB1EB6" w14:paraId="6F14206C" w14:textId="77777777" w:rsidTr="00384385">
        <w:trPr>
          <w:trHeight w:val="309"/>
        </w:trPr>
        <w:tc>
          <w:tcPr>
            <w:tcW w:w="403" w:type="dxa"/>
            <w:tcBorders>
              <w:top w:val="nil"/>
              <w:left w:val="single" w:sz="4" w:space="0" w:color="auto"/>
              <w:bottom w:val="single" w:sz="4" w:space="0" w:color="auto"/>
              <w:right w:val="single" w:sz="4" w:space="0" w:color="auto"/>
            </w:tcBorders>
            <w:shd w:val="clear" w:color="000000" w:fill="FFFFFF"/>
            <w:noWrap/>
            <w:vAlign w:val="bottom"/>
            <w:hideMark/>
          </w:tcPr>
          <w:p w14:paraId="74C9AF50" w14:textId="77777777" w:rsidR="00CB1EB6" w:rsidRPr="00CB1EB6" w:rsidRDefault="00CB1EB6" w:rsidP="00CB1EB6">
            <w:pPr>
              <w:spacing w:after="0" w:line="240" w:lineRule="auto"/>
              <w:ind w:left="0" w:right="0"/>
              <w:jc w:val="left"/>
              <w:rPr>
                <w:rFonts w:cs="Times New Roman"/>
                <w:bCs w:val="0"/>
                <w:sz w:val="18"/>
                <w:szCs w:val="18"/>
              </w:rPr>
            </w:pPr>
            <w:r w:rsidRPr="00CB1EB6">
              <w:rPr>
                <w:rFonts w:cs="Times New Roman"/>
                <w:bCs w:val="0"/>
                <w:sz w:val="18"/>
                <w:szCs w:val="18"/>
              </w:rPr>
              <w:t>20</w:t>
            </w:r>
          </w:p>
        </w:tc>
        <w:tc>
          <w:tcPr>
            <w:tcW w:w="6169" w:type="dxa"/>
            <w:tcBorders>
              <w:top w:val="nil"/>
              <w:left w:val="nil"/>
              <w:bottom w:val="single" w:sz="4" w:space="0" w:color="auto"/>
              <w:right w:val="single" w:sz="4" w:space="0" w:color="auto"/>
            </w:tcBorders>
            <w:shd w:val="clear" w:color="000000" w:fill="FFFFFF"/>
            <w:noWrap/>
            <w:vAlign w:val="bottom"/>
            <w:hideMark/>
          </w:tcPr>
          <w:p w14:paraId="78578685" w14:textId="77777777" w:rsidR="00CB1EB6" w:rsidRPr="00CB1EB6" w:rsidRDefault="00CB1EB6" w:rsidP="00CB1EB6">
            <w:pPr>
              <w:spacing w:after="0" w:line="240" w:lineRule="auto"/>
              <w:ind w:left="0" w:right="0"/>
              <w:jc w:val="left"/>
              <w:rPr>
                <w:rFonts w:cs="Times New Roman"/>
                <w:bCs w:val="0"/>
                <w:sz w:val="18"/>
                <w:szCs w:val="18"/>
              </w:rPr>
            </w:pPr>
            <w:r w:rsidRPr="00CB1EB6">
              <w:rPr>
                <w:rFonts w:cs="Times New Roman"/>
                <w:bCs w:val="0"/>
                <w:sz w:val="18"/>
                <w:szCs w:val="18"/>
              </w:rPr>
              <w:t>SOCIALNO VARSTVO</w:t>
            </w:r>
          </w:p>
        </w:tc>
        <w:tc>
          <w:tcPr>
            <w:tcW w:w="1969" w:type="dxa"/>
            <w:tcBorders>
              <w:top w:val="nil"/>
              <w:left w:val="nil"/>
              <w:bottom w:val="single" w:sz="4" w:space="0" w:color="auto"/>
              <w:right w:val="single" w:sz="4" w:space="0" w:color="auto"/>
            </w:tcBorders>
            <w:shd w:val="clear" w:color="000000" w:fill="FFFFFF"/>
            <w:noWrap/>
            <w:vAlign w:val="bottom"/>
            <w:hideMark/>
          </w:tcPr>
          <w:p w14:paraId="50D0A343" w14:textId="77777777" w:rsidR="00CB1EB6" w:rsidRPr="00CB1EB6" w:rsidRDefault="00CB1EB6" w:rsidP="00CB1EB6">
            <w:pPr>
              <w:spacing w:after="0" w:line="240" w:lineRule="auto"/>
              <w:ind w:left="0" w:right="0"/>
              <w:jc w:val="right"/>
              <w:rPr>
                <w:rFonts w:cs="Times New Roman"/>
                <w:bCs w:val="0"/>
                <w:sz w:val="18"/>
                <w:szCs w:val="18"/>
              </w:rPr>
            </w:pPr>
            <w:r w:rsidRPr="00CB1EB6">
              <w:rPr>
                <w:rFonts w:cs="Times New Roman"/>
                <w:bCs w:val="0"/>
                <w:sz w:val="18"/>
                <w:szCs w:val="18"/>
              </w:rPr>
              <w:t>12.861,82</w:t>
            </w:r>
          </w:p>
        </w:tc>
      </w:tr>
      <w:tr w:rsidR="00CB1EB6" w:rsidRPr="00CB1EB6" w14:paraId="036BC4F5" w14:textId="77777777" w:rsidTr="00384385">
        <w:trPr>
          <w:trHeight w:val="309"/>
        </w:trPr>
        <w:tc>
          <w:tcPr>
            <w:tcW w:w="403" w:type="dxa"/>
            <w:tcBorders>
              <w:top w:val="nil"/>
              <w:left w:val="single" w:sz="4" w:space="0" w:color="auto"/>
              <w:bottom w:val="single" w:sz="4" w:space="0" w:color="auto"/>
              <w:right w:val="single" w:sz="4" w:space="0" w:color="auto"/>
            </w:tcBorders>
            <w:shd w:val="clear" w:color="000000" w:fill="FFFFFF"/>
            <w:noWrap/>
            <w:vAlign w:val="bottom"/>
            <w:hideMark/>
          </w:tcPr>
          <w:p w14:paraId="722CBC54" w14:textId="77777777" w:rsidR="00CB1EB6" w:rsidRPr="00CB1EB6" w:rsidRDefault="00CB1EB6" w:rsidP="00CB1EB6">
            <w:pPr>
              <w:spacing w:after="0" w:line="240" w:lineRule="auto"/>
              <w:ind w:left="0" w:right="0"/>
              <w:jc w:val="left"/>
              <w:rPr>
                <w:rFonts w:cs="Times New Roman"/>
                <w:bCs w:val="0"/>
                <w:sz w:val="18"/>
                <w:szCs w:val="18"/>
              </w:rPr>
            </w:pPr>
            <w:r w:rsidRPr="00CB1EB6">
              <w:rPr>
                <w:rFonts w:cs="Times New Roman"/>
                <w:bCs w:val="0"/>
                <w:sz w:val="18"/>
                <w:szCs w:val="18"/>
              </w:rPr>
              <w:t>23</w:t>
            </w:r>
          </w:p>
        </w:tc>
        <w:tc>
          <w:tcPr>
            <w:tcW w:w="6169" w:type="dxa"/>
            <w:tcBorders>
              <w:top w:val="nil"/>
              <w:left w:val="nil"/>
              <w:bottom w:val="single" w:sz="4" w:space="0" w:color="auto"/>
              <w:right w:val="single" w:sz="4" w:space="0" w:color="auto"/>
            </w:tcBorders>
            <w:shd w:val="clear" w:color="000000" w:fill="FFFFFF"/>
            <w:noWrap/>
            <w:vAlign w:val="bottom"/>
            <w:hideMark/>
          </w:tcPr>
          <w:p w14:paraId="3941CE57" w14:textId="77777777" w:rsidR="00CB1EB6" w:rsidRPr="00CB1EB6" w:rsidRDefault="00CB1EB6" w:rsidP="00CB1EB6">
            <w:pPr>
              <w:spacing w:after="0" w:line="240" w:lineRule="auto"/>
              <w:ind w:left="0" w:right="0"/>
              <w:jc w:val="left"/>
              <w:rPr>
                <w:rFonts w:cs="Times New Roman"/>
                <w:bCs w:val="0"/>
                <w:sz w:val="18"/>
                <w:szCs w:val="18"/>
              </w:rPr>
            </w:pPr>
            <w:r w:rsidRPr="00CB1EB6">
              <w:rPr>
                <w:rFonts w:cs="Times New Roman"/>
                <w:bCs w:val="0"/>
                <w:sz w:val="18"/>
                <w:szCs w:val="18"/>
              </w:rPr>
              <w:t>INTERVENCIJSKI PROGRAMI IN OBVEZNOSTI</w:t>
            </w:r>
          </w:p>
        </w:tc>
        <w:tc>
          <w:tcPr>
            <w:tcW w:w="1969" w:type="dxa"/>
            <w:tcBorders>
              <w:top w:val="nil"/>
              <w:left w:val="nil"/>
              <w:bottom w:val="single" w:sz="4" w:space="0" w:color="auto"/>
              <w:right w:val="single" w:sz="4" w:space="0" w:color="auto"/>
            </w:tcBorders>
            <w:shd w:val="clear" w:color="000000" w:fill="FFFFFF"/>
            <w:noWrap/>
            <w:vAlign w:val="bottom"/>
            <w:hideMark/>
          </w:tcPr>
          <w:p w14:paraId="2C95A1C5" w14:textId="77777777" w:rsidR="00CB1EB6" w:rsidRPr="00CB1EB6" w:rsidRDefault="00CB1EB6" w:rsidP="00CB1EB6">
            <w:pPr>
              <w:spacing w:after="0" w:line="240" w:lineRule="auto"/>
              <w:ind w:left="0" w:right="0"/>
              <w:jc w:val="right"/>
              <w:rPr>
                <w:rFonts w:cs="Times New Roman"/>
                <w:bCs w:val="0"/>
                <w:sz w:val="18"/>
                <w:szCs w:val="18"/>
              </w:rPr>
            </w:pPr>
            <w:r w:rsidRPr="00CB1EB6">
              <w:rPr>
                <w:rFonts w:cs="Times New Roman"/>
                <w:bCs w:val="0"/>
                <w:sz w:val="18"/>
                <w:szCs w:val="18"/>
              </w:rPr>
              <w:t>51.424,50</w:t>
            </w:r>
          </w:p>
        </w:tc>
      </w:tr>
    </w:tbl>
    <w:p w14:paraId="7C10809D" w14:textId="77777777" w:rsidR="00F21916" w:rsidRPr="00F21916" w:rsidRDefault="00F21916" w:rsidP="002E2A31">
      <w:pPr>
        <w:spacing w:after="0" w:line="240" w:lineRule="auto"/>
        <w:ind w:left="0" w:right="0"/>
      </w:pPr>
    </w:p>
    <w:p w14:paraId="784FDE22" w14:textId="23E5CE16" w:rsidR="00F21916" w:rsidRPr="00F21916" w:rsidRDefault="00F21916" w:rsidP="005848C2">
      <w:r w:rsidRPr="00F21916">
        <w:t>Po posameznih proračunskih postavkah so največji izdatki na sledečih projektih:</w:t>
      </w:r>
    </w:p>
    <w:p w14:paraId="2B09A95A" w14:textId="77777777" w:rsidR="00F21916" w:rsidRPr="00F21916" w:rsidRDefault="00F21916" w:rsidP="00F21916">
      <w:pPr>
        <w:spacing w:after="0" w:line="240" w:lineRule="auto"/>
        <w:ind w:right="0"/>
        <w:jc w:val="left"/>
      </w:pPr>
      <w:r w:rsidRPr="00F21916">
        <w:t>Tabela 4: Realizacija investicijskih odhodkov po proračunskih postavkah</w:t>
      </w:r>
    </w:p>
    <w:tbl>
      <w:tblPr>
        <w:tblW w:w="8505" w:type="dxa"/>
        <w:tblInd w:w="704" w:type="dxa"/>
        <w:tblCellMar>
          <w:left w:w="70" w:type="dxa"/>
          <w:right w:w="70" w:type="dxa"/>
        </w:tblCellMar>
        <w:tblLook w:val="04A0" w:firstRow="1" w:lastRow="0" w:firstColumn="1" w:lastColumn="0" w:noHBand="0" w:noVBand="1"/>
      </w:tblPr>
      <w:tblGrid>
        <w:gridCol w:w="1080"/>
        <w:gridCol w:w="5441"/>
        <w:gridCol w:w="800"/>
        <w:gridCol w:w="1184"/>
      </w:tblGrid>
      <w:tr w:rsidR="004A1D8F" w:rsidRPr="004A1D8F" w14:paraId="022C11F9" w14:textId="77777777" w:rsidTr="00384385">
        <w:trPr>
          <w:trHeight w:val="300"/>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564F74" w14:textId="77777777" w:rsidR="004A1D8F" w:rsidRPr="004A1D8F" w:rsidRDefault="004A1D8F" w:rsidP="004A1D8F">
            <w:pPr>
              <w:spacing w:after="0" w:line="240" w:lineRule="auto"/>
              <w:ind w:left="0" w:right="0"/>
              <w:jc w:val="left"/>
              <w:rPr>
                <w:rFonts w:cs="Times New Roman"/>
                <w:bCs w:val="0"/>
                <w:color w:val="000000"/>
                <w:sz w:val="18"/>
                <w:szCs w:val="18"/>
              </w:rPr>
            </w:pPr>
            <w:r w:rsidRPr="004A1D8F">
              <w:rPr>
                <w:rFonts w:cs="Times New Roman"/>
                <w:bCs w:val="0"/>
                <w:color w:val="000000"/>
                <w:sz w:val="18"/>
                <w:szCs w:val="18"/>
              </w:rPr>
              <w:t>10263</w:t>
            </w:r>
          </w:p>
        </w:tc>
        <w:tc>
          <w:tcPr>
            <w:tcW w:w="5441" w:type="dxa"/>
            <w:tcBorders>
              <w:top w:val="single" w:sz="4" w:space="0" w:color="auto"/>
              <w:left w:val="nil"/>
              <w:bottom w:val="single" w:sz="4" w:space="0" w:color="auto"/>
              <w:right w:val="single" w:sz="4" w:space="0" w:color="auto"/>
            </w:tcBorders>
            <w:shd w:val="clear" w:color="000000" w:fill="FFFFFF"/>
            <w:noWrap/>
            <w:vAlign w:val="bottom"/>
            <w:hideMark/>
          </w:tcPr>
          <w:p w14:paraId="6532DE7E" w14:textId="77777777" w:rsidR="004A1D8F" w:rsidRPr="004A1D8F" w:rsidRDefault="004A1D8F" w:rsidP="004A1D8F">
            <w:pPr>
              <w:spacing w:after="0" w:line="240" w:lineRule="auto"/>
              <w:ind w:left="0" w:right="0"/>
              <w:jc w:val="left"/>
              <w:rPr>
                <w:rFonts w:cs="Times New Roman"/>
                <w:bCs w:val="0"/>
                <w:color w:val="000000"/>
                <w:sz w:val="18"/>
                <w:szCs w:val="18"/>
              </w:rPr>
            </w:pPr>
            <w:r w:rsidRPr="004A1D8F">
              <w:rPr>
                <w:rFonts w:cs="Times New Roman"/>
                <w:bCs w:val="0"/>
                <w:color w:val="000000"/>
                <w:sz w:val="18"/>
                <w:szCs w:val="18"/>
              </w:rPr>
              <w:t>EPK GO!2025 - infrastruktura</w:t>
            </w:r>
          </w:p>
        </w:tc>
        <w:tc>
          <w:tcPr>
            <w:tcW w:w="800" w:type="dxa"/>
            <w:tcBorders>
              <w:top w:val="single" w:sz="4" w:space="0" w:color="auto"/>
              <w:left w:val="nil"/>
              <w:bottom w:val="single" w:sz="4" w:space="0" w:color="auto"/>
              <w:right w:val="nil"/>
            </w:tcBorders>
            <w:shd w:val="clear" w:color="000000" w:fill="FFFFFF"/>
          </w:tcPr>
          <w:p w14:paraId="6B8E814E" w14:textId="77777777" w:rsidR="004A1D8F" w:rsidRPr="004A1D8F" w:rsidRDefault="004A1D8F" w:rsidP="004A1D8F">
            <w:pPr>
              <w:spacing w:after="0" w:line="240" w:lineRule="auto"/>
              <w:ind w:left="0" w:right="0"/>
              <w:jc w:val="right"/>
              <w:rPr>
                <w:rFonts w:cs="Times New Roman"/>
                <w:bCs w:val="0"/>
                <w:color w:val="000000"/>
                <w:sz w:val="18"/>
                <w:szCs w:val="18"/>
              </w:rPr>
            </w:pPr>
          </w:p>
        </w:tc>
        <w:tc>
          <w:tcPr>
            <w:tcW w:w="1184" w:type="dxa"/>
            <w:tcBorders>
              <w:top w:val="single" w:sz="4" w:space="0" w:color="auto"/>
              <w:left w:val="nil"/>
              <w:bottom w:val="single" w:sz="4" w:space="0" w:color="auto"/>
              <w:right w:val="single" w:sz="4" w:space="0" w:color="auto"/>
            </w:tcBorders>
            <w:shd w:val="clear" w:color="000000" w:fill="FFFFFF"/>
            <w:noWrap/>
            <w:vAlign w:val="bottom"/>
            <w:hideMark/>
          </w:tcPr>
          <w:p w14:paraId="55037F00" w14:textId="77777777" w:rsidR="004A1D8F" w:rsidRPr="004A1D8F" w:rsidRDefault="004A1D8F" w:rsidP="004A1D8F">
            <w:pPr>
              <w:spacing w:after="0" w:line="240" w:lineRule="auto"/>
              <w:ind w:left="0" w:right="0"/>
              <w:jc w:val="right"/>
              <w:rPr>
                <w:rFonts w:cs="Times New Roman"/>
                <w:bCs w:val="0"/>
                <w:color w:val="000000"/>
                <w:sz w:val="18"/>
                <w:szCs w:val="18"/>
              </w:rPr>
            </w:pPr>
            <w:r w:rsidRPr="004A1D8F">
              <w:rPr>
                <w:rFonts w:cs="Times New Roman"/>
                <w:bCs w:val="0"/>
                <w:color w:val="000000"/>
                <w:sz w:val="18"/>
                <w:szCs w:val="18"/>
              </w:rPr>
              <w:t>7.484.489</w:t>
            </w:r>
          </w:p>
        </w:tc>
      </w:tr>
      <w:tr w:rsidR="004A1D8F" w:rsidRPr="004A1D8F" w14:paraId="1DFB9C1A" w14:textId="77777777" w:rsidTr="00384385">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6FBA314E" w14:textId="77777777" w:rsidR="004A1D8F" w:rsidRPr="004A1D8F" w:rsidRDefault="004A1D8F" w:rsidP="004A1D8F">
            <w:pPr>
              <w:spacing w:after="0" w:line="240" w:lineRule="auto"/>
              <w:ind w:left="0" w:right="0"/>
              <w:jc w:val="left"/>
              <w:rPr>
                <w:rFonts w:cs="Times New Roman"/>
                <w:bCs w:val="0"/>
                <w:color w:val="000000"/>
                <w:sz w:val="18"/>
                <w:szCs w:val="18"/>
              </w:rPr>
            </w:pPr>
            <w:r w:rsidRPr="004A1D8F">
              <w:rPr>
                <w:rFonts w:cs="Times New Roman"/>
                <w:bCs w:val="0"/>
                <w:color w:val="000000"/>
                <w:sz w:val="18"/>
                <w:szCs w:val="18"/>
              </w:rPr>
              <w:t>10152</w:t>
            </w:r>
          </w:p>
        </w:tc>
        <w:tc>
          <w:tcPr>
            <w:tcW w:w="5441" w:type="dxa"/>
            <w:tcBorders>
              <w:top w:val="nil"/>
              <w:left w:val="nil"/>
              <w:bottom w:val="single" w:sz="4" w:space="0" w:color="auto"/>
              <w:right w:val="single" w:sz="4" w:space="0" w:color="auto"/>
            </w:tcBorders>
            <w:shd w:val="clear" w:color="000000" w:fill="FFFFFF"/>
            <w:noWrap/>
            <w:vAlign w:val="bottom"/>
            <w:hideMark/>
          </w:tcPr>
          <w:p w14:paraId="550271DA" w14:textId="77777777" w:rsidR="004A1D8F" w:rsidRPr="004A1D8F" w:rsidRDefault="004A1D8F" w:rsidP="004A1D8F">
            <w:pPr>
              <w:spacing w:after="0" w:line="240" w:lineRule="auto"/>
              <w:ind w:left="0" w:right="0"/>
              <w:jc w:val="left"/>
              <w:rPr>
                <w:rFonts w:cs="Times New Roman"/>
                <w:bCs w:val="0"/>
                <w:color w:val="000000"/>
                <w:sz w:val="18"/>
                <w:szCs w:val="18"/>
              </w:rPr>
            </w:pPr>
            <w:r w:rsidRPr="004A1D8F">
              <w:rPr>
                <w:rFonts w:cs="Times New Roman"/>
                <w:bCs w:val="0"/>
                <w:color w:val="000000"/>
                <w:sz w:val="18"/>
                <w:szCs w:val="18"/>
              </w:rPr>
              <w:t>Investicija v Zdravstveni dom Nova Gorica</w:t>
            </w:r>
          </w:p>
        </w:tc>
        <w:tc>
          <w:tcPr>
            <w:tcW w:w="800" w:type="dxa"/>
            <w:tcBorders>
              <w:top w:val="nil"/>
              <w:left w:val="nil"/>
              <w:bottom w:val="single" w:sz="4" w:space="0" w:color="auto"/>
              <w:right w:val="nil"/>
            </w:tcBorders>
            <w:shd w:val="clear" w:color="000000" w:fill="FFFFFF"/>
          </w:tcPr>
          <w:p w14:paraId="59D693FB" w14:textId="77777777" w:rsidR="004A1D8F" w:rsidRPr="004A1D8F" w:rsidRDefault="004A1D8F" w:rsidP="004A1D8F">
            <w:pPr>
              <w:spacing w:after="0" w:line="240" w:lineRule="auto"/>
              <w:ind w:left="0" w:right="0"/>
              <w:jc w:val="right"/>
              <w:rPr>
                <w:rFonts w:cs="Times New Roman"/>
                <w:bCs w:val="0"/>
                <w:color w:val="000000"/>
                <w:sz w:val="18"/>
                <w:szCs w:val="18"/>
              </w:rPr>
            </w:pPr>
          </w:p>
        </w:tc>
        <w:tc>
          <w:tcPr>
            <w:tcW w:w="1184" w:type="dxa"/>
            <w:tcBorders>
              <w:top w:val="nil"/>
              <w:left w:val="nil"/>
              <w:bottom w:val="single" w:sz="4" w:space="0" w:color="auto"/>
              <w:right w:val="single" w:sz="4" w:space="0" w:color="auto"/>
            </w:tcBorders>
            <w:shd w:val="clear" w:color="000000" w:fill="FFFFFF"/>
            <w:noWrap/>
            <w:vAlign w:val="bottom"/>
            <w:hideMark/>
          </w:tcPr>
          <w:p w14:paraId="17F7F195" w14:textId="77777777" w:rsidR="004A1D8F" w:rsidRPr="004A1D8F" w:rsidRDefault="004A1D8F" w:rsidP="004A1D8F">
            <w:pPr>
              <w:spacing w:after="0" w:line="240" w:lineRule="auto"/>
              <w:ind w:left="0" w:right="0"/>
              <w:jc w:val="right"/>
              <w:rPr>
                <w:rFonts w:cs="Times New Roman"/>
                <w:bCs w:val="0"/>
                <w:color w:val="000000"/>
                <w:sz w:val="18"/>
                <w:szCs w:val="18"/>
              </w:rPr>
            </w:pPr>
            <w:r w:rsidRPr="004A1D8F">
              <w:rPr>
                <w:rFonts w:cs="Times New Roman"/>
                <w:bCs w:val="0"/>
                <w:color w:val="000000"/>
                <w:sz w:val="18"/>
                <w:szCs w:val="18"/>
              </w:rPr>
              <w:t>3.169.470</w:t>
            </w:r>
          </w:p>
        </w:tc>
      </w:tr>
      <w:tr w:rsidR="004A1D8F" w:rsidRPr="004A1D8F" w14:paraId="04B27F27" w14:textId="77777777" w:rsidTr="00384385">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58A0430C" w14:textId="77777777" w:rsidR="004A1D8F" w:rsidRPr="004A1D8F" w:rsidRDefault="004A1D8F" w:rsidP="004A1D8F">
            <w:pPr>
              <w:spacing w:after="0" w:line="240" w:lineRule="auto"/>
              <w:ind w:left="0" w:right="0"/>
              <w:jc w:val="left"/>
              <w:rPr>
                <w:rFonts w:cs="Times New Roman"/>
                <w:bCs w:val="0"/>
                <w:color w:val="000000"/>
                <w:sz w:val="18"/>
                <w:szCs w:val="18"/>
              </w:rPr>
            </w:pPr>
            <w:r w:rsidRPr="004A1D8F">
              <w:rPr>
                <w:rFonts w:cs="Times New Roman"/>
                <w:bCs w:val="0"/>
                <w:color w:val="000000"/>
                <w:sz w:val="18"/>
                <w:szCs w:val="18"/>
              </w:rPr>
              <w:t>10219</w:t>
            </w:r>
          </w:p>
        </w:tc>
        <w:tc>
          <w:tcPr>
            <w:tcW w:w="5441" w:type="dxa"/>
            <w:tcBorders>
              <w:top w:val="nil"/>
              <w:left w:val="nil"/>
              <w:bottom w:val="single" w:sz="4" w:space="0" w:color="auto"/>
              <w:right w:val="single" w:sz="4" w:space="0" w:color="auto"/>
            </w:tcBorders>
            <w:shd w:val="clear" w:color="000000" w:fill="FFFFFF"/>
            <w:noWrap/>
            <w:vAlign w:val="bottom"/>
            <w:hideMark/>
          </w:tcPr>
          <w:p w14:paraId="173906A4" w14:textId="77777777" w:rsidR="004A1D8F" w:rsidRPr="004A1D8F" w:rsidRDefault="004A1D8F" w:rsidP="004A1D8F">
            <w:pPr>
              <w:spacing w:after="0" w:line="240" w:lineRule="auto"/>
              <w:ind w:left="0" w:right="0"/>
              <w:jc w:val="left"/>
              <w:rPr>
                <w:rFonts w:cs="Times New Roman"/>
                <w:bCs w:val="0"/>
                <w:color w:val="000000"/>
                <w:sz w:val="18"/>
                <w:szCs w:val="18"/>
              </w:rPr>
            </w:pPr>
            <w:r w:rsidRPr="004A1D8F">
              <w:rPr>
                <w:rFonts w:cs="Times New Roman"/>
                <w:bCs w:val="0"/>
                <w:color w:val="000000"/>
                <w:sz w:val="18"/>
                <w:szCs w:val="18"/>
              </w:rPr>
              <w:t>Sanacija letnega bazena</w:t>
            </w:r>
          </w:p>
        </w:tc>
        <w:tc>
          <w:tcPr>
            <w:tcW w:w="800" w:type="dxa"/>
            <w:tcBorders>
              <w:top w:val="nil"/>
              <w:left w:val="nil"/>
              <w:bottom w:val="single" w:sz="4" w:space="0" w:color="auto"/>
              <w:right w:val="nil"/>
            </w:tcBorders>
            <w:shd w:val="clear" w:color="000000" w:fill="FFFFFF"/>
          </w:tcPr>
          <w:p w14:paraId="01C08EE9" w14:textId="77777777" w:rsidR="004A1D8F" w:rsidRPr="004A1D8F" w:rsidRDefault="004A1D8F" w:rsidP="004A1D8F">
            <w:pPr>
              <w:spacing w:after="0" w:line="240" w:lineRule="auto"/>
              <w:ind w:left="0" w:right="0"/>
              <w:jc w:val="right"/>
              <w:rPr>
                <w:rFonts w:cs="Times New Roman"/>
                <w:bCs w:val="0"/>
                <w:color w:val="000000"/>
                <w:sz w:val="18"/>
                <w:szCs w:val="18"/>
              </w:rPr>
            </w:pPr>
          </w:p>
        </w:tc>
        <w:tc>
          <w:tcPr>
            <w:tcW w:w="1184" w:type="dxa"/>
            <w:tcBorders>
              <w:top w:val="nil"/>
              <w:left w:val="nil"/>
              <w:bottom w:val="single" w:sz="4" w:space="0" w:color="auto"/>
              <w:right w:val="single" w:sz="4" w:space="0" w:color="auto"/>
            </w:tcBorders>
            <w:shd w:val="clear" w:color="000000" w:fill="FFFFFF"/>
            <w:noWrap/>
            <w:vAlign w:val="bottom"/>
            <w:hideMark/>
          </w:tcPr>
          <w:p w14:paraId="53371F24" w14:textId="77777777" w:rsidR="004A1D8F" w:rsidRPr="004A1D8F" w:rsidRDefault="004A1D8F" w:rsidP="004A1D8F">
            <w:pPr>
              <w:spacing w:after="0" w:line="240" w:lineRule="auto"/>
              <w:ind w:left="0" w:right="0"/>
              <w:jc w:val="right"/>
              <w:rPr>
                <w:rFonts w:cs="Times New Roman"/>
                <w:bCs w:val="0"/>
                <w:color w:val="000000"/>
                <w:sz w:val="18"/>
                <w:szCs w:val="18"/>
              </w:rPr>
            </w:pPr>
            <w:r w:rsidRPr="004A1D8F">
              <w:rPr>
                <w:rFonts w:cs="Times New Roman"/>
                <w:bCs w:val="0"/>
                <w:color w:val="000000"/>
                <w:sz w:val="18"/>
                <w:szCs w:val="18"/>
              </w:rPr>
              <w:t>1.398.513</w:t>
            </w:r>
          </w:p>
        </w:tc>
      </w:tr>
      <w:tr w:rsidR="004A1D8F" w:rsidRPr="004A1D8F" w14:paraId="42DB6A4F" w14:textId="77777777" w:rsidTr="00384385">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4EC4A1D5" w14:textId="77777777" w:rsidR="004A1D8F" w:rsidRPr="004A1D8F" w:rsidRDefault="004A1D8F" w:rsidP="004A1D8F">
            <w:pPr>
              <w:spacing w:after="0" w:line="240" w:lineRule="auto"/>
              <w:ind w:left="0" w:right="0"/>
              <w:jc w:val="left"/>
              <w:rPr>
                <w:rFonts w:cs="Times New Roman"/>
                <w:bCs w:val="0"/>
                <w:color w:val="000000"/>
                <w:sz w:val="18"/>
                <w:szCs w:val="18"/>
              </w:rPr>
            </w:pPr>
            <w:r w:rsidRPr="004A1D8F">
              <w:rPr>
                <w:rFonts w:cs="Times New Roman"/>
                <w:bCs w:val="0"/>
                <w:color w:val="000000"/>
                <w:sz w:val="18"/>
                <w:szCs w:val="18"/>
              </w:rPr>
              <w:t>10052</w:t>
            </w:r>
          </w:p>
        </w:tc>
        <w:tc>
          <w:tcPr>
            <w:tcW w:w="5441" w:type="dxa"/>
            <w:tcBorders>
              <w:top w:val="nil"/>
              <w:left w:val="nil"/>
              <w:bottom w:val="single" w:sz="4" w:space="0" w:color="auto"/>
              <w:right w:val="single" w:sz="4" w:space="0" w:color="auto"/>
            </w:tcBorders>
            <w:shd w:val="clear" w:color="000000" w:fill="FFFFFF"/>
            <w:noWrap/>
            <w:vAlign w:val="bottom"/>
            <w:hideMark/>
          </w:tcPr>
          <w:p w14:paraId="688137BA" w14:textId="77777777" w:rsidR="004A1D8F" w:rsidRPr="004A1D8F" w:rsidRDefault="004A1D8F" w:rsidP="004A1D8F">
            <w:pPr>
              <w:spacing w:after="0" w:line="240" w:lineRule="auto"/>
              <w:ind w:left="0" w:right="0"/>
              <w:jc w:val="left"/>
              <w:rPr>
                <w:rFonts w:cs="Times New Roman"/>
                <w:bCs w:val="0"/>
                <w:color w:val="000000"/>
                <w:sz w:val="18"/>
                <w:szCs w:val="18"/>
              </w:rPr>
            </w:pPr>
            <w:r w:rsidRPr="004A1D8F">
              <w:rPr>
                <w:rFonts w:cs="Times New Roman"/>
                <w:bCs w:val="0"/>
                <w:color w:val="000000"/>
                <w:sz w:val="18"/>
                <w:szCs w:val="18"/>
              </w:rPr>
              <w:t>Investicijsko vzdrževanje športnih objektov</w:t>
            </w:r>
          </w:p>
        </w:tc>
        <w:tc>
          <w:tcPr>
            <w:tcW w:w="800" w:type="dxa"/>
            <w:tcBorders>
              <w:top w:val="nil"/>
              <w:left w:val="nil"/>
              <w:bottom w:val="single" w:sz="4" w:space="0" w:color="auto"/>
              <w:right w:val="nil"/>
            </w:tcBorders>
            <w:shd w:val="clear" w:color="000000" w:fill="FFFFFF"/>
          </w:tcPr>
          <w:p w14:paraId="4043C21F" w14:textId="77777777" w:rsidR="004A1D8F" w:rsidRPr="004A1D8F" w:rsidRDefault="004A1D8F" w:rsidP="004A1D8F">
            <w:pPr>
              <w:spacing w:after="0" w:line="240" w:lineRule="auto"/>
              <w:ind w:left="0" w:right="0"/>
              <w:jc w:val="right"/>
              <w:rPr>
                <w:rFonts w:cs="Times New Roman"/>
                <w:bCs w:val="0"/>
                <w:color w:val="000000"/>
                <w:sz w:val="18"/>
                <w:szCs w:val="18"/>
              </w:rPr>
            </w:pPr>
          </w:p>
        </w:tc>
        <w:tc>
          <w:tcPr>
            <w:tcW w:w="1184" w:type="dxa"/>
            <w:tcBorders>
              <w:top w:val="nil"/>
              <w:left w:val="nil"/>
              <w:bottom w:val="single" w:sz="4" w:space="0" w:color="auto"/>
              <w:right w:val="single" w:sz="4" w:space="0" w:color="auto"/>
            </w:tcBorders>
            <w:shd w:val="clear" w:color="000000" w:fill="FFFFFF"/>
            <w:noWrap/>
            <w:vAlign w:val="bottom"/>
            <w:hideMark/>
          </w:tcPr>
          <w:p w14:paraId="027AFA27" w14:textId="77777777" w:rsidR="004A1D8F" w:rsidRPr="004A1D8F" w:rsidRDefault="004A1D8F" w:rsidP="004A1D8F">
            <w:pPr>
              <w:spacing w:after="0" w:line="240" w:lineRule="auto"/>
              <w:ind w:left="0" w:right="0"/>
              <w:jc w:val="right"/>
              <w:rPr>
                <w:rFonts w:cs="Times New Roman"/>
                <w:bCs w:val="0"/>
                <w:color w:val="000000"/>
                <w:sz w:val="18"/>
                <w:szCs w:val="18"/>
              </w:rPr>
            </w:pPr>
            <w:r w:rsidRPr="004A1D8F">
              <w:rPr>
                <w:rFonts w:cs="Times New Roman"/>
                <w:bCs w:val="0"/>
                <w:color w:val="000000"/>
                <w:sz w:val="18"/>
                <w:szCs w:val="18"/>
              </w:rPr>
              <w:t>898.413</w:t>
            </w:r>
          </w:p>
        </w:tc>
      </w:tr>
      <w:tr w:rsidR="004A1D8F" w:rsidRPr="004A1D8F" w14:paraId="14A99617" w14:textId="77777777" w:rsidTr="00384385">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768A1EC2" w14:textId="77777777" w:rsidR="004A1D8F" w:rsidRPr="004A1D8F" w:rsidRDefault="004A1D8F" w:rsidP="004A1D8F">
            <w:pPr>
              <w:spacing w:after="0" w:line="240" w:lineRule="auto"/>
              <w:ind w:left="0" w:right="0"/>
              <w:jc w:val="left"/>
              <w:rPr>
                <w:rFonts w:cs="Times New Roman"/>
                <w:bCs w:val="0"/>
                <w:color w:val="000000"/>
                <w:sz w:val="18"/>
                <w:szCs w:val="18"/>
              </w:rPr>
            </w:pPr>
            <w:r w:rsidRPr="004A1D8F">
              <w:rPr>
                <w:rFonts w:cs="Times New Roman"/>
                <w:bCs w:val="0"/>
                <w:color w:val="000000"/>
                <w:sz w:val="18"/>
                <w:szCs w:val="18"/>
              </w:rPr>
              <w:t>07367</w:t>
            </w:r>
          </w:p>
        </w:tc>
        <w:tc>
          <w:tcPr>
            <w:tcW w:w="5441" w:type="dxa"/>
            <w:tcBorders>
              <w:top w:val="nil"/>
              <w:left w:val="nil"/>
              <w:bottom w:val="single" w:sz="4" w:space="0" w:color="auto"/>
              <w:right w:val="single" w:sz="4" w:space="0" w:color="auto"/>
            </w:tcBorders>
            <w:shd w:val="clear" w:color="000000" w:fill="FFFFFF"/>
            <w:noWrap/>
            <w:vAlign w:val="bottom"/>
            <w:hideMark/>
          </w:tcPr>
          <w:p w14:paraId="2BCAE2F4" w14:textId="77777777" w:rsidR="004A1D8F" w:rsidRPr="004A1D8F" w:rsidRDefault="004A1D8F" w:rsidP="004A1D8F">
            <w:pPr>
              <w:spacing w:after="0" w:line="240" w:lineRule="auto"/>
              <w:ind w:left="0" w:right="0"/>
              <w:jc w:val="left"/>
              <w:rPr>
                <w:rFonts w:cs="Times New Roman"/>
                <w:bCs w:val="0"/>
                <w:color w:val="000000"/>
                <w:sz w:val="18"/>
                <w:szCs w:val="18"/>
              </w:rPr>
            </w:pPr>
            <w:r w:rsidRPr="004A1D8F">
              <w:rPr>
                <w:rFonts w:cs="Times New Roman"/>
                <w:bCs w:val="0"/>
                <w:color w:val="000000"/>
                <w:sz w:val="18"/>
                <w:szCs w:val="18"/>
              </w:rPr>
              <w:t>Fekalna kanalizacija Mestna občina Nova Gorica</w:t>
            </w:r>
          </w:p>
        </w:tc>
        <w:tc>
          <w:tcPr>
            <w:tcW w:w="800" w:type="dxa"/>
            <w:tcBorders>
              <w:top w:val="nil"/>
              <w:left w:val="nil"/>
              <w:bottom w:val="single" w:sz="4" w:space="0" w:color="auto"/>
              <w:right w:val="nil"/>
            </w:tcBorders>
            <w:shd w:val="clear" w:color="000000" w:fill="FFFFFF"/>
          </w:tcPr>
          <w:p w14:paraId="21716277" w14:textId="77777777" w:rsidR="004A1D8F" w:rsidRPr="004A1D8F" w:rsidRDefault="004A1D8F" w:rsidP="004A1D8F">
            <w:pPr>
              <w:spacing w:after="0" w:line="240" w:lineRule="auto"/>
              <w:ind w:left="0" w:right="0"/>
              <w:jc w:val="right"/>
              <w:rPr>
                <w:rFonts w:cs="Times New Roman"/>
                <w:bCs w:val="0"/>
                <w:color w:val="000000"/>
                <w:sz w:val="18"/>
                <w:szCs w:val="18"/>
              </w:rPr>
            </w:pPr>
          </w:p>
        </w:tc>
        <w:tc>
          <w:tcPr>
            <w:tcW w:w="1184" w:type="dxa"/>
            <w:tcBorders>
              <w:top w:val="nil"/>
              <w:left w:val="nil"/>
              <w:bottom w:val="single" w:sz="4" w:space="0" w:color="auto"/>
              <w:right w:val="single" w:sz="4" w:space="0" w:color="auto"/>
            </w:tcBorders>
            <w:shd w:val="clear" w:color="000000" w:fill="FFFFFF"/>
            <w:noWrap/>
            <w:vAlign w:val="bottom"/>
            <w:hideMark/>
          </w:tcPr>
          <w:p w14:paraId="15DB2F13" w14:textId="77777777" w:rsidR="004A1D8F" w:rsidRPr="004A1D8F" w:rsidRDefault="004A1D8F" w:rsidP="004A1D8F">
            <w:pPr>
              <w:spacing w:after="0" w:line="240" w:lineRule="auto"/>
              <w:ind w:left="0" w:right="0"/>
              <w:jc w:val="right"/>
              <w:rPr>
                <w:rFonts w:cs="Times New Roman"/>
                <w:bCs w:val="0"/>
                <w:color w:val="000000"/>
                <w:sz w:val="18"/>
                <w:szCs w:val="18"/>
              </w:rPr>
            </w:pPr>
            <w:r w:rsidRPr="004A1D8F">
              <w:rPr>
                <w:rFonts w:cs="Times New Roman"/>
                <w:bCs w:val="0"/>
                <w:color w:val="000000"/>
                <w:sz w:val="18"/>
                <w:szCs w:val="18"/>
              </w:rPr>
              <w:t>888.977</w:t>
            </w:r>
          </w:p>
        </w:tc>
      </w:tr>
      <w:tr w:rsidR="004A1D8F" w:rsidRPr="004A1D8F" w14:paraId="72D55567" w14:textId="77777777" w:rsidTr="00384385">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48EFADF2" w14:textId="77777777" w:rsidR="004A1D8F" w:rsidRPr="004A1D8F" w:rsidRDefault="004A1D8F" w:rsidP="004A1D8F">
            <w:pPr>
              <w:spacing w:after="0" w:line="240" w:lineRule="auto"/>
              <w:ind w:left="0" w:right="0"/>
              <w:jc w:val="left"/>
              <w:rPr>
                <w:rFonts w:cs="Times New Roman"/>
                <w:bCs w:val="0"/>
                <w:color w:val="000000"/>
                <w:sz w:val="18"/>
                <w:szCs w:val="18"/>
              </w:rPr>
            </w:pPr>
            <w:r w:rsidRPr="004A1D8F">
              <w:rPr>
                <w:rFonts w:cs="Times New Roman"/>
                <w:bCs w:val="0"/>
                <w:color w:val="000000"/>
                <w:sz w:val="18"/>
                <w:szCs w:val="18"/>
              </w:rPr>
              <w:t>09097</w:t>
            </w:r>
          </w:p>
        </w:tc>
        <w:tc>
          <w:tcPr>
            <w:tcW w:w="5441" w:type="dxa"/>
            <w:tcBorders>
              <w:top w:val="nil"/>
              <w:left w:val="nil"/>
              <w:bottom w:val="single" w:sz="4" w:space="0" w:color="auto"/>
              <w:right w:val="single" w:sz="4" w:space="0" w:color="auto"/>
            </w:tcBorders>
            <w:shd w:val="clear" w:color="000000" w:fill="FFFFFF"/>
            <w:noWrap/>
            <w:vAlign w:val="bottom"/>
            <w:hideMark/>
          </w:tcPr>
          <w:p w14:paraId="2DF10298" w14:textId="77777777" w:rsidR="004A1D8F" w:rsidRPr="004A1D8F" w:rsidRDefault="004A1D8F" w:rsidP="004A1D8F">
            <w:pPr>
              <w:spacing w:after="0" w:line="240" w:lineRule="auto"/>
              <w:ind w:left="0" w:right="0"/>
              <w:jc w:val="left"/>
              <w:rPr>
                <w:rFonts w:cs="Times New Roman"/>
                <w:bCs w:val="0"/>
                <w:color w:val="000000"/>
                <w:sz w:val="18"/>
                <w:szCs w:val="18"/>
              </w:rPr>
            </w:pPr>
            <w:r w:rsidRPr="004A1D8F">
              <w:rPr>
                <w:rFonts w:cs="Times New Roman"/>
                <w:bCs w:val="0"/>
                <w:color w:val="000000"/>
                <w:sz w:val="18"/>
                <w:szCs w:val="18"/>
              </w:rPr>
              <w:t>Zeleni vstopni center Lijak</w:t>
            </w:r>
          </w:p>
        </w:tc>
        <w:tc>
          <w:tcPr>
            <w:tcW w:w="800" w:type="dxa"/>
            <w:tcBorders>
              <w:top w:val="nil"/>
              <w:left w:val="nil"/>
              <w:bottom w:val="single" w:sz="4" w:space="0" w:color="auto"/>
              <w:right w:val="nil"/>
            </w:tcBorders>
            <w:shd w:val="clear" w:color="000000" w:fill="FFFFFF"/>
          </w:tcPr>
          <w:p w14:paraId="11FD475B" w14:textId="77777777" w:rsidR="004A1D8F" w:rsidRPr="004A1D8F" w:rsidRDefault="004A1D8F" w:rsidP="004A1D8F">
            <w:pPr>
              <w:spacing w:after="0" w:line="240" w:lineRule="auto"/>
              <w:ind w:left="0" w:right="0"/>
              <w:jc w:val="right"/>
              <w:rPr>
                <w:rFonts w:cs="Times New Roman"/>
                <w:bCs w:val="0"/>
                <w:color w:val="000000"/>
                <w:sz w:val="18"/>
                <w:szCs w:val="18"/>
              </w:rPr>
            </w:pPr>
          </w:p>
        </w:tc>
        <w:tc>
          <w:tcPr>
            <w:tcW w:w="1184" w:type="dxa"/>
            <w:tcBorders>
              <w:top w:val="nil"/>
              <w:left w:val="nil"/>
              <w:bottom w:val="single" w:sz="4" w:space="0" w:color="auto"/>
              <w:right w:val="single" w:sz="4" w:space="0" w:color="auto"/>
            </w:tcBorders>
            <w:shd w:val="clear" w:color="000000" w:fill="FFFFFF"/>
            <w:noWrap/>
            <w:vAlign w:val="bottom"/>
            <w:hideMark/>
          </w:tcPr>
          <w:p w14:paraId="3CA72222" w14:textId="77777777" w:rsidR="004A1D8F" w:rsidRPr="004A1D8F" w:rsidRDefault="004A1D8F" w:rsidP="004A1D8F">
            <w:pPr>
              <w:spacing w:after="0" w:line="240" w:lineRule="auto"/>
              <w:ind w:left="0" w:right="0"/>
              <w:jc w:val="right"/>
              <w:rPr>
                <w:rFonts w:cs="Times New Roman"/>
                <w:bCs w:val="0"/>
                <w:color w:val="000000"/>
                <w:sz w:val="18"/>
                <w:szCs w:val="18"/>
              </w:rPr>
            </w:pPr>
            <w:r w:rsidRPr="004A1D8F">
              <w:rPr>
                <w:rFonts w:cs="Times New Roman"/>
                <w:bCs w:val="0"/>
                <w:color w:val="000000"/>
                <w:sz w:val="18"/>
                <w:szCs w:val="18"/>
              </w:rPr>
              <w:t>832.486</w:t>
            </w:r>
          </w:p>
        </w:tc>
      </w:tr>
      <w:tr w:rsidR="004A1D8F" w:rsidRPr="004A1D8F" w14:paraId="45CA59F4" w14:textId="77777777" w:rsidTr="00384385">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7D3A5590" w14:textId="77777777" w:rsidR="004A1D8F" w:rsidRPr="004A1D8F" w:rsidRDefault="004A1D8F" w:rsidP="004A1D8F">
            <w:pPr>
              <w:spacing w:after="0" w:line="240" w:lineRule="auto"/>
              <w:ind w:left="0" w:right="0"/>
              <w:jc w:val="left"/>
              <w:rPr>
                <w:rFonts w:cs="Times New Roman"/>
                <w:bCs w:val="0"/>
                <w:color w:val="000000"/>
                <w:sz w:val="18"/>
                <w:szCs w:val="18"/>
              </w:rPr>
            </w:pPr>
            <w:r w:rsidRPr="004A1D8F">
              <w:rPr>
                <w:rFonts w:cs="Times New Roman"/>
                <w:bCs w:val="0"/>
                <w:color w:val="000000"/>
                <w:sz w:val="18"/>
                <w:szCs w:val="18"/>
              </w:rPr>
              <w:lastRenderedPageBreak/>
              <w:t>07377</w:t>
            </w:r>
          </w:p>
        </w:tc>
        <w:tc>
          <w:tcPr>
            <w:tcW w:w="5441" w:type="dxa"/>
            <w:tcBorders>
              <w:top w:val="nil"/>
              <w:left w:val="nil"/>
              <w:bottom w:val="single" w:sz="4" w:space="0" w:color="auto"/>
              <w:right w:val="single" w:sz="4" w:space="0" w:color="auto"/>
            </w:tcBorders>
            <w:shd w:val="clear" w:color="000000" w:fill="FFFFFF"/>
            <w:noWrap/>
            <w:vAlign w:val="bottom"/>
            <w:hideMark/>
          </w:tcPr>
          <w:p w14:paraId="41F16CF9" w14:textId="77777777" w:rsidR="004A1D8F" w:rsidRPr="004A1D8F" w:rsidRDefault="004A1D8F" w:rsidP="004A1D8F">
            <w:pPr>
              <w:spacing w:after="0" w:line="240" w:lineRule="auto"/>
              <w:ind w:left="0" w:right="0"/>
              <w:jc w:val="left"/>
              <w:rPr>
                <w:rFonts w:cs="Times New Roman"/>
                <w:bCs w:val="0"/>
                <w:color w:val="000000"/>
                <w:sz w:val="18"/>
                <w:szCs w:val="18"/>
              </w:rPr>
            </w:pPr>
            <w:r w:rsidRPr="004A1D8F">
              <w:rPr>
                <w:rFonts w:cs="Times New Roman"/>
                <w:bCs w:val="0"/>
                <w:color w:val="000000"/>
                <w:sz w:val="18"/>
                <w:szCs w:val="18"/>
              </w:rPr>
              <w:t>Rekonstrukcija cestnega omrežja</w:t>
            </w:r>
          </w:p>
        </w:tc>
        <w:tc>
          <w:tcPr>
            <w:tcW w:w="800" w:type="dxa"/>
            <w:tcBorders>
              <w:top w:val="nil"/>
              <w:left w:val="nil"/>
              <w:bottom w:val="single" w:sz="4" w:space="0" w:color="auto"/>
              <w:right w:val="nil"/>
            </w:tcBorders>
            <w:shd w:val="clear" w:color="000000" w:fill="FFFFFF"/>
          </w:tcPr>
          <w:p w14:paraId="65EE6971" w14:textId="77777777" w:rsidR="004A1D8F" w:rsidRPr="004A1D8F" w:rsidRDefault="004A1D8F" w:rsidP="004A1D8F">
            <w:pPr>
              <w:spacing w:after="0" w:line="240" w:lineRule="auto"/>
              <w:ind w:left="0" w:right="0"/>
              <w:jc w:val="right"/>
              <w:rPr>
                <w:rFonts w:cs="Times New Roman"/>
                <w:bCs w:val="0"/>
                <w:color w:val="000000"/>
                <w:sz w:val="18"/>
                <w:szCs w:val="18"/>
              </w:rPr>
            </w:pPr>
          </w:p>
        </w:tc>
        <w:tc>
          <w:tcPr>
            <w:tcW w:w="1184" w:type="dxa"/>
            <w:tcBorders>
              <w:top w:val="nil"/>
              <w:left w:val="nil"/>
              <w:bottom w:val="single" w:sz="4" w:space="0" w:color="auto"/>
              <w:right w:val="single" w:sz="4" w:space="0" w:color="auto"/>
            </w:tcBorders>
            <w:shd w:val="clear" w:color="000000" w:fill="FFFFFF"/>
            <w:noWrap/>
            <w:vAlign w:val="bottom"/>
            <w:hideMark/>
          </w:tcPr>
          <w:p w14:paraId="064FFDDA" w14:textId="77777777" w:rsidR="004A1D8F" w:rsidRPr="004A1D8F" w:rsidRDefault="004A1D8F" w:rsidP="004A1D8F">
            <w:pPr>
              <w:spacing w:after="0" w:line="240" w:lineRule="auto"/>
              <w:ind w:left="0" w:right="0"/>
              <w:jc w:val="right"/>
              <w:rPr>
                <w:rFonts w:cs="Times New Roman"/>
                <w:bCs w:val="0"/>
                <w:color w:val="000000"/>
                <w:sz w:val="18"/>
                <w:szCs w:val="18"/>
              </w:rPr>
            </w:pPr>
            <w:r w:rsidRPr="004A1D8F">
              <w:rPr>
                <w:rFonts w:cs="Times New Roman"/>
                <w:bCs w:val="0"/>
                <w:color w:val="000000"/>
                <w:sz w:val="18"/>
                <w:szCs w:val="18"/>
              </w:rPr>
              <w:t>683.839</w:t>
            </w:r>
          </w:p>
        </w:tc>
      </w:tr>
      <w:tr w:rsidR="004A1D8F" w:rsidRPr="004A1D8F" w14:paraId="58E8CE4D" w14:textId="77777777" w:rsidTr="00384385">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7EE9C399" w14:textId="77777777" w:rsidR="004A1D8F" w:rsidRPr="004A1D8F" w:rsidRDefault="004A1D8F" w:rsidP="004A1D8F">
            <w:pPr>
              <w:spacing w:after="0" w:line="240" w:lineRule="auto"/>
              <w:ind w:left="0" w:right="0"/>
              <w:jc w:val="left"/>
              <w:rPr>
                <w:rFonts w:cs="Times New Roman"/>
                <w:bCs w:val="0"/>
                <w:color w:val="000000"/>
                <w:sz w:val="18"/>
                <w:szCs w:val="18"/>
              </w:rPr>
            </w:pPr>
            <w:r w:rsidRPr="004A1D8F">
              <w:rPr>
                <w:rFonts w:cs="Times New Roman"/>
                <w:bCs w:val="0"/>
                <w:color w:val="000000"/>
                <w:sz w:val="18"/>
                <w:szCs w:val="18"/>
              </w:rPr>
              <w:t>07122</w:t>
            </w:r>
          </w:p>
        </w:tc>
        <w:tc>
          <w:tcPr>
            <w:tcW w:w="5441" w:type="dxa"/>
            <w:tcBorders>
              <w:top w:val="nil"/>
              <w:left w:val="nil"/>
              <w:bottom w:val="single" w:sz="4" w:space="0" w:color="auto"/>
              <w:right w:val="single" w:sz="4" w:space="0" w:color="auto"/>
            </w:tcBorders>
            <w:shd w:val="clear" w:color="000000" w:fill="FFFFFF"/>
            <w:noWrap/>
            <w:vAlign w:val="bottom"/>
            <w:hideMark/>
          </w:tcPr>
          <w:p w14:paraId="6901BC3E" w14:textId="77777777" w:rsidR="004A1D8F" w:rsidRPr="004A1D8F" w:rsidRDefault="004A1D8F" w:rsidP="004A1D8F">
            <w:pPr>
              <w:spacing w:after="0" w:line="240" w:lineRule="auto"/>
              <w:ind w:left="0" w:right="0"/>
              <w:jc w:val="left"/>
              <w:rPr>
                <w:rFonts w:cs="Times New Roman"/>
                <w:bCs w:val="0"/>
                <w:color w:val="000000"/>
                <w:sz w:val="18"/>
                <w:szCs w:val="18"/>
              </w:rPr>
            </w:pPr>
            <w:r w:rsidRPr="004A1D8F">
              <w:rPr>
                <w:rFonts w:cs="Times New Roman"/>
                <w:bCs w:val="0"/>
                <w:color w:val="000000"/>
                <w:sz w:val="18"/>
                <w:szCs w:val="18"/>
              </w:rPr>
              <w:t>Nakup zemljišč in stavb</w:t>
            </w:r>
          </w:p>
        </w:tc>
        <w:tc>
          <w:tcPr>
            <w:tcW w:w="800" w:type="dxa"/>
            <w:tcBorders>
              <w:top w:val="nil"/>
              <w:left w:val="nil"/>
              <w:bottom w:val="single" w:sz="4" w:space="0" w:color="auto"/>
              <w:right w:val="nil"/>
            </w:tcBorders>
            <w:shd w:val="clear" w:color="000000" w:fill="FFFFFF"/>
          </w:tcPr>
          <w:p w14:paraId="029F7383" w14:textId="77777777" w:rsidR="004A1D8F" w:rsidRPr="004A1D8F" w:rsidRDefault="004A1D8F" w:rsidP="004A1D8F">
            <w:pPr>
              <w:spacing w:after="0" w:line="240" w:lineRule="auto"/>
              <w:ind w:left="0" w:right="0"/>
              <w:jc w:val="right"/>
              <w:rPr>
                <w:rFonts w:cs="Times New Roman"/>
                <w:bCs w:val="0"/>
                <w:color w:val="000000"/>
                <w:sz w:val="18"/>
                <w:szCs w:val="18"/>
              </w:rPr>
            </w:pPr>
          </w:p>
        </w:tc>
        <w:tc>
          <w:tcPr>
            <w:tcW w:w="1184" w:type="dxa"/>
            <w:tcBorders>
              <w:top w:val="nil"/>
              <w:left w:val="nil"/>
              <w:bottom w:val="single" w:sz="4" w:space="0" w:color="auto"/>
              <w:right w:val="single" w:sz="4" w:space="0" w:color="auto"/>
            </w:tcBorders>
            <w:shd w:val="clear" w:color="000000" w:fill="FFFFFF"/>
            <w:noWrap/>
            <w:vAlign w:val="bottom"/>
            <w:hideMark/>
          </w:tcPr>
          <w:p w14:paraId="3A1F2C07" w14:textId="77777777" w:rsidR="004A1D8F" w:rsidRPr="004A1D8F" w:rsidRDefault="004A1D8F" w:rsidP="004A1D8F">
            <w:pPr>
              <w:spacing w:after="0" w:line="240" w:lineRule="auto"/>
              <w:ind w:left="0" w:right="0"/>
              <w:jc w:val="right"/>
              <w:rPr>
                <w:rFonts w:cs="Times New Roman"/>
                <w:bCs w:val="0"/>
                <w:color w:val="000000"/>
                <w:sz w:val="18"/>
                <w:szCs w:val="18"/>
              </w:rPr>
            </w:pPr>
            <w:r w:rsidRPr="004A1D8F">
              <w:rPr>
                <w:rFonts w:cs="Times New Roman"/>
                <w:bCs w:val="0"/>
                <w:color w:val="000000"/>
                <w:sz w:val="18"/>
                <w:szCs w:val="18"/>
              </w:rPr>
              <w:t>638.621</w:t>
            </w:r>
          </w:p>
        </w:tc>
      </w:tr>
      <w:tr w:rsidR="004A1D8F" w:rsidRPr="004A1D8F" w14:paraId="1BA89D09" w14:textId="77777777" w:rsidTr="00384385">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763F54EF" w14:textId="77777777" w:rsidR="004A1D8F" w:rsidRPr="004A1D8F" w:rsidRDefault="004A1D8F" w:rsidP="004A1D8F">
            <w:pPr>
              <w:spacing w:after="0" w:line="240" w:lineRule="auto"/>
              <w:ind w:left="0" w:right="0"/>
              <w:jc w:val="left"/>
              <w:rPr>
                <w:rFonts w:cs="Times New Roman"/>
                <w:bCs w:val="0"/>
                <w:color w:val="000000"/>
                <w:sz w:val="18"/>
                <w:szCs w:val="18"/>
              </w:rPr>
            </w:pPr>
            <w:r w:rsidRPr="004A1D8F">
              <w:rPr>
                <w:rFonts w:cs="Times New Roman"/>
                <w:bCs w:val="0"/>
                <w:color w:val="000000"/>
                <w:sz w:val="18"/>
                <w:szCs w:val="18"/>
              </w:rPr>
              <w:t>10272</w:t>
            </w:r>
          </w:p>
        </w:tc>
        <w:tc>
          <w:tcPr>
            <w:tcW w:w="5441" w:type="dxa"/>
            <w:tcBorders>
              <w:top w:val="nil"/>
              <w:left w:val="nil"/>
              <w:bottom w:val="single" w:sz="4" w:space="0" w:color="auto"/>
              <w:right w:val="single" w:sz="4" w:space="0" w:color="auto"/>
            </w:tcBorders>
            <w:shd w:val="clear" w:color="000000" w:fill="FFFFFF"/>
            <w:noWrap/>
            <w:vAlign w:val="bottom"/>
            <w:hideMark/>
          </w:tcPr>
          <w:p w14:paraId="76AA436A" w14:textId="77777777" w:rsidR="004A1D8F" w:rsidRPr="004A1D8F" w:rsidRDefault="004A1D8F" w:rsidP="004A1D8F">
            <w:pPr>
              <w:spacing w:after="0" w:line="240" w:lineRule="auto"/>
              <w:ind w:left="0" w:right="0"/>
              <w:jc w:val="left"/>
              <w:rPr>
                <w:rFonts w:cs="Times New Roman"/>
                <w:bCs w:val="0"/>
                <w:color w:val="000000"/>
                <w:sz w:val="18"/>
                <w:szCs w:val="18"/>
              </w:rPr>
            </w:pPr>
            <w:proofErr w:type="spellStart"/>
            <w:r w:rsidRPr="004A1D8F">
              <w:rPr>
                <w:rFonts w:cs="Times New Roman"/>
                <w:bCs w:val="0"/>
                <w:color w:val="000000"/>
                <w:sz w:val="18"/>
                <w:szCs w:val="18"/>
              </w:rPr>
              <w:t>Rekonstukcija</w:t>
            </w:r>
            <w:proofErr w:type="spellEnd"/>
            <w:r w:rsidRPr="004A1D8F">
              <w:rPr>
                <w:rFonts w:cs="Times New Roman"/>
                <w:bCs w:val="0"/>
                <w:color w:val="000000"/>
                <w:sz w:val="18"/>
                <w:szCs w:val="18"/>
              </w:rPr>
              <w:t xml:space="preserve"> in prizidava OŠ Solkan</w:t>
            </w:r>
          </w:p>
        </w:tc>
        <w:tc>
          <w:tcPr>
            <w:tcW w:w="800" w:type="dxa"/>
            <w:tcBorders>
              <w:top w:val="nil"/>
              <w:left w:val="nil"/>
              <w:bottom w:val="single" w:sz="4" w:space="0" w:color="auto"/>
              <w:right w:val="nil"/>
            </w:tcBorders>
            <w:shd w:val="clear" w:color="000000" w:fill="FFFFFF"/>
          </w:tcPr>
          <w:p w14:paraId="7CE93D9A" w14:textId="77777777" w:rsidR="004A1D8F" w:rsidRPr="004A1D8F" w:rsidRDefault="004A1D8F" w:rsidP="004A1D8F">
            <w:pPr>
              <w:spacing w:after="0" w:line="240" w:lineRule="auto"/>
              <w:ind w:left="0" w:right="0"/>
              <w:jc w:val="right"/>
              <w:rPr>
                <w:rFonts w:cs="Times New Roman"/>
                <w:bCs w:val="0"/>
                <w:color w:val="000000"/>
                <w:sz w:val="18"/>
                <w:szCs w:val="18"/>
              </w:rPr>
            </w:pPr>
          </w:p>
        </w:tc>
        <w:tc>
          <w:tcPr>
            <w:tcW w:w="1184" w:type="dxa"/>
            <w:tcBorders>
              <w:top w:val="nil"/>
              <w:left w:val="nil"/>
              <w:bottom w:val="single" w:sz="4" w:space="0" w:color="auto"/>
              <w:right w:val="single" w:sz="4" w:space="0" w:color="auto"/>
            </w:tcBorders>
            <w:shd w:val="clear" w:color="000000" w:fill="FFFFFF"/>
            <w:noWrap/>
            <w:vAlign w:val="bottom"/>
            <w:hideMark/>
          </w:tcPr>
          <w:p w14:paraId="1AED4624" w14:textId="77777777" w:rsidR="004A1D8F" w:rsidRPr="004A1D8F" w:rsidRDefault="004A1D8F" w:rsidP="004A1D8F">
            <w:pPr>
              <w:spacing w:after="0" w:line="240" w:lineRule="auto"/>
              <w:ind w:left="0" w:right="0"/>
              <w:jc w:val="right"/>
              <w:rPr>
                <w:rFonts w:cs="Times New Roman"/>
                <w:bCs w:val="0"/>
                <w:color w:val="000000"/>
                <w:sz w:val="18"/>
                <w:szCs w:val="18"/>
              </w:rPr>
            </w:pPr>
            <w:r w:rsidRPr="004A1D8F">
              <w:rPr>
                <w:rFonts w:cs="Times New Roman"/>
                <w:bCs w:val="0"/>
                <w:color w:val="000000"/>
                <w:sz w:val="18"/>
                <w:szCs w:val="18"/>
              </w:rPr>
              <w:t>401.616</w:t>
            </w:r>
          </w:p>
        </w:tc>
      </w:tr>
      <w:tr w:rsidR="004A1D8F" w:rsidRPr="004A1D8F" w14:paraId="158B367A" w14:textId="77777777" w:rsidTr="00384385">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2E9D2076" w14:textId="77777777" w:rsidR="004A1D8F" w:rsidRPr="004A1D8F" w:rsidRDefault="004A1D8F" w:rsidP="004A1D8F">
            <w:pPr>
              <w:spacing w:after="0" w:line="240" w:lineRule="auto"/>
              <w:ind w:left="0" w:right="0"/>
              <w:jc w:val="left"/>
              <w:rPr>
                <w:rFonts w:cs="Times New Roman"/>
                <w:bCs w:val="0"/>
                <w:color w:val="000000"/>
                <w:sz w:val="18"/>
                <w:szCs w:val="18"/>
              </w:rPr>
            </w:pPr>
            <w:r w:rsidRPr="004A1D8F">
              <w:rPr>
                <w:rFonts w:cs="Times New Roman"/>
                <w:bCs w:val="0"/>
                <w:color w:val="000000"/>
                <w:sz w:val="18"/>
                <w:szCs w:val="18"/>
              </w:rPr>
              <w:t>07366</w:t>
            </w:r>
          </w:p>
        </w:tc>
        <w:tc>
          <w:tcPr>
            <w:tcW w:w="5441" w:type="dxa"/>
            <w:tcBorders>
              <w:top w:val="nil"/>
              <w:left w:val="nil"/>
              <w:bottom w:val="single" w:sz="4" w:space="0" w:color="auto"/>
              <w:right w:val="single" w:sz="4" w:space="0" w:color="auto"/>
            </w:tcBorders>
            <w:shd w:val="clear" w:color="000000" w:fill="FFFFFF"/>
            <w:noWrap/>
            <w:vAlign w:val="bottom"/>
            <w:hideMark/>
          </w:tcPr>
          <w:p w14:paraId="5CF31F90" w14:textId="77777777" w:rsidR="004A1D8F" w:rsidRPr="004A1D8F" w:rsidRDefault="004A1D8F" w:rsidP="004A1D8F">
            <w:pPr>
              <w:spacing w:after="0" w:line="240" w:lineRule="auto"/>
              <w:ind w:left="0" w:right="0"/>
              <w:jc w:val="left"/>
              <w:rPr>
                <w:rFonts w:cs="Times New Roman"/>
                <w:bCs w:val="0"/>
                <w:color w:val="000000"/>
                <w:sz w:val="18"/>
                <w:szCs w:val="18"/>
              </w:rPr>
            </w:pPr>
            <w:r w:rsidRPr="004A1D8F">
              <w:rPr>
                <w:rFonts w:cs="Times New Roman"/>
                <w:bCs w:val="0"/>
                <w:color w:val="000000"/>
                <w:sz w:val="18"/>
                <w:szCs w:val="18"/>
              </w:rPr>
              <w:t>Vodovod Mestna občina Nova Gorica</w:t>
            </w:r>
          </w:p>
        </w:tc>
        <w:tc>
          <w:tcPr>
            <w:tcW w:w="800" w:type="dxa"/>
            <w:tcBorders>
              <w:top w:val="nil"/>
              <w:left w:val="nil"/>
              <w:bottom w:val="single" w:sz="4" w:space="0" w:color="auto"/>
              <w:right w:val="nil"/>
            </w:tcBorders>
            <w:shd w:val="clear" w:color="000000" w:fill="FFFFFF"/>
          </w:tcPr>
          <w:p w14:paraId="760EC933" w14:textId="77777777" w:rsidR="004A1D8F" w:rsidRPr="004A1D8F" w:rsidRDefault="004A1D8F" w:rsidP="004A1D8F">
            <w:pPr>
              <w:spacing w:after="0" w:line="240" w:lineRule="auto"/>
              <w:ind w:left="0" w:right="0"/>
              <w:jc w:val="right"/>
              <w:rPr>
                <w:rFonts w:cs="Times New Roman"/>
                <w:bCs w:val="0"/>
                <w:color w:val="000000"/>
                <w:sz w:val="18"/>
                <w:szCs w:val="18"/>
              </w:rPr>
            </w:pPr>
          </w:p>
        </w:tc>
        <w:tc>
          <w:tcPr>
            <w:tcW w:w="1184" w:type="dxa"/>
            <w:tcBorders>
              <w:top w:val="nil"/>
              <w:left w:val="nil"/>
              <w:bottom w:val="single" w:sz="4" w:space="0" w:color="auto"/>
              <w:right w:val="single" w:sz="4" w:space="0" w:color="auto"/>
            </w:tcBorders>
            <w:shd w:val="clear" w:color="000000" w:fill="FFFFFF"/>
            <w:noWrap/>
            <w:vAlign w:val="bottom"/>
            <w:hideMark/>
          </w:tcPr>
          <w:p w14:paraId="3049AD54" w14:textId="77777777" w:rsidR="004A1D8F" w:rsidRPr="004A1D8F" w:rsidRDefault="004A1D8F" w:rsidP="004A1D8F">
            <w:pPr>
              <w:spacing w:after="0" w:line="240" w:lineRule="auto"/>
              <w:ind w:left="0" w:right="0"/>
              <w:jc w:val="right"/>
              <w:rPr>
                <w:rFonts w:cs="Times New Roman"/>
                <w:bCs w:val="0"/>
                <w:color w:val="000000"/>
                <w:sz w:val="18"/>
                <w:szCs w:val="18"/>
              </w:rPr>
            </w:pPr>
            <w:r w:rsidRPr="004A1D8F">
              <w:rPr>
                <w:rFonts w:cs="Times New Roman"/>
                <w:bCs w:val="0"/>
                <w:color w:val="000000"/>
                <w:sz w:val="18"/>
                <w:szCs w:val="18"/>
              </w:rPr>
              <w:t>364.919</w:t>
            </w:r>
          </w:p>
        </w:tc>
      </w:tr>
      <w:tr w:rsidR="004A1D8F" w:rsidRPr="004A1D8F" w14:paraId="4B5DD5D4" w14:textId="77777777" w:rsidTr="00384385">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18B59A53" w14:textId="77777777" w:rsidR="004A1D8F" w:rsidRPr="004A1D8F" w:rsidRDefault="004A1D8F" w:rsidP="004A1D8F">
            <w:pPr>
              <w:spacing w:after="0" w:line="240" w:lineRule="auto"/>
              <w:ind w:left="0" w:right="0"/>
              <w:jc w:val="left"/>
              <w:rPr>
                <w:rFonts w:cs="Times New Roman"/>
                <w:bCs w:val="0"/>
                <w:color w:val="000000"/>
                <w:sz w:val="18"/>
                <w:szCs w:val="18"/>
              </w:rPr>
            </w:pPr>
            <w:r w:rsidRPr="004A1D8F">
              <w:rPr>
                <w:rFonts w:cs="Times New Roman"/>
                <w:bCs w:val="0"/>
                <w:color w:val="000000"/>
                <w:sz w:val="18"/>
                <w:szCs w:val="18"/>
              </w:rPr>
              <w:t>06008</w:t>
            </w:r>
          </w:p>
        </w:tc>
        <w:tc>
          <w:tcPr>
            <w:tcW w:w="5441" w:type="dxa"/>
            <w:tcBorders>
              <w:top w:val="nil"/>
              <w:left w:val="nil"/>
              <w:bottom w:val="single" w:sz="4" w:space="0" w:color="auto"/>
              <w:right w:val="single" w:sz="4" w:space="0" w:color="auto"/>
            </w:tcBorders>
            <w:shd w:val="clear" w:color="000000" w:fill="FFFFFF"/>
            <w:noWrap/>
            <w:vAlign w:val="bottom"/>
            <w:hideMark/>
          </w:tcPr>
          <w:p w14:paraId="09EE17E1" w14:textId="77777777" w:rsidR="004A1D8F" w:rsidRPr="004A1D8F" w:rsidRDefault="004A1D8F" w:rsidP="004A1D8F">
            <w:pPr>
              <w:spacing w:after="0" w:line="240" w:lineRule="auto"/>
              <w:ind w:left="0" w:right="0"/>
              <w:jc w:val="left"/>
              <w:rPr>
                <w:rFonts w:cs="Times New Roman"/>
                <w:bCs w:val="0"/>
                <w:color w:val="000000"/>
                <w:sz w:val="18"/>
                <w:szCs w:val="18"/>
              </w:rPr>
            </w:pPr>
            <w:r w:rsidRPr="004A1D8F">
              <w:rPr>
                <w:rFonts w:cs="Times New Roman"/>
                <w:bCs w:val="0"/>
                <w:color w:val="000000"/>
                <w:sz w:val="18"/>
                <w:szCs w:val="18"/>
              </w:rPr>
              <w:t>Vzdrževanje objektov v lasti občine</w:t>
            </w:r>
          </w:p>
        </w:tc>
        <w:tc>
          <w:tcPr>
            <w:tcW w:w="800" w:type="dxa"/>
            <w:tcBorders>
              <w:top w:val="nil"/>
              <w:left w:val="nil"/>
              <w:bottom w:val="single" w:sz="4" w:space="0" w:color="auto"/>
              <w:right w:val="nil"/>
            </w:tcBorders>
            <w:shd w:val="clear" w:color="000000" w:fill="FFFFFF"/>
          </w:tcPr>
          <w:p w14:paraId="0E16CF49" w14:textId="77777777" w:rsidR="004A1D8F" w:rsidRPr="004A1D8F" w:rsidRDefault="004A1D8F" w:rsidP="004A1D8F">
            <w:pPr>
              <w:spacing w:after="0" w:line="240" w:lineRule="auto"/>
              <w:ind w:left="0" w:right="0"/>
              <w:jc w:val="right"/>
              <w:rPr>
                <w:rFonts w:cs="Times New Roman"/>
                <w:bCs w:val="0"/>
                <w:color w:val="000000"/>
                <w:sz w:val="18"/>
                <w:szCs w:val="18"/>
              </w:rPr>
            </w:pPr>
          </w:p>
        </w:tc>
        <w:tc>
          <w:tcPr>
            <w:tcW w:w="1184" w:type="dxa"/>
            <w:tcBorders>
              <w:top w:val="nil"/>
              <w:left w:val="nil"/>
              <w:bottom w:val="single" w:sz="4" w:space="0" w:color="auto"/>
              <w:right w:val="single" w:sz="4" w:space="0" w:color="auto"/>
            </w:tcBorders>
            <w:shd w:val="clear" w:color="000000" w:fill="FFFFFF"/>
            <w:noWrap/>
            <w:vAlign w:val="bottom"/>
            <w:hideMark/>
          </w:tcPr>
          <w:p w14:paraId="1C1ACE02" w14:textId="77777777" w:rsidR="004A1D8F" w:rsidRPr="004A1D8F" w:rsidRDefault="004A1D8F" w:rsidP="004A1D8F">
            <w:pPr>
              <w:spacing w:after="0" w:line="240" w:lineRule="auto"/>
              <w:ind w:left="0" w:right="0"/>
              <w:jc w:val="right"/>
              <w:rPr>
                <w:rFonts w:cs="Times New Roman"/>
                <w:bCs w:val="0"/>
                <w:color w:val="000000"/>
                <w:sz w:val="18"/>
                <w:szCs w:val="18"/>
              </w:rPr>
            </w:pPr>
            <w:r w:rsidRPr="004A1D8F">
              <w:rPr>
                <w:rFonts w:cs="Times New Roman"/>
                <w:bCs w:val="0"/>
                <w:color w:val="000000"/>
                <w:sz w:val="18"/>
                <w:szCs w:val="18"/>
              </w:rPr>
              <w:t>357.251</w:t>
            </w:r>
          </w:p>
        </w:tc>
      </w:tr>
      <w:tr w:rsidR="004A1D8F" w:rsidRPr="004A1D8F" w14:paraId="6DE5047B" w14:textId="77777777" w:rsidTr="00384385">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69E0FB35" w14:textId="77777777" w:rsidR="004A1D8F" w:rsidRPr="004A1D8F" w:rsidRDefault="004A1D8F" w:rsidP="004A1D8F">
            <w:pPr>
              <w:spacing w:after="0" w:line="240" w:lineRule="auto"/>
              <w:ind w:left="0" w:right="0"/>
              <w:jc w:val="left"/>
              <w:rPr>
                <w:rFonts w:cs="Times New Roman"/>
                <w:bCs w:val="0"/>
                <w:color w:val="000000"/>
                <w:sz w:val="18"/>
                <w:szCs w:val="18"/>
              </w:rPr>
            </w:pPr>
            <w:r w:rsidRPr="004A1D8F">
              <w:rPr>
                <w:rFonts w:cs="Times New Roman"/>
                <w:bCs w:val="0"/>
                <w:color w:val="000000"/>
                <w:sz w:val="18"/>
                <w:szCs w:val="18"/>
              </w:rPr>
              <w:t>10158</w:t>
            </w:r>
          </w:p>
        </w:tc>
        <w:tc>
          <w:tcPr>
            <w:tcW w:w="5441" w:type="dxa"/>
            <w:tcBorders>
              <w:top w:val="nil"/>
              <w:left w:val="nil"/>
              <w:bottom w:val="single" w:sz="4" w:space="0" w:color="auto"/>
              <w:right w:val="single" w:sz="4" w:space="0" w:color="auto"/>
            </w:tcBorders>
            <w:shd w:val="clear" w:color="000000" w:fill="FFFFFF"/>
            <w:noWrap/>
            <w:vAlign w:val="bottom"/>
            <w:hideMark/>
          </w:tcPr>
          <w:p w14:paraId="77120E3F" w14:textId="77777777" w:rsidR="004A1D8F" w:rsidRPr="004A1D8F" w:rsidRDefault="004A1D8F" w:rsidP="004A1D8F">
            <w:pPr>
              <w:spacing w:after="0" w:line="240" w:lineRule="auto"/>
              <w:ind w:left="0" w:right="0"/>
              <w:jc w:val="left"/>
              <w:rPr>
                <w:rFonts w:cs="Times New Roman"/>
                <w:bCs w:val="0"/>
                <w:color w:val="000000"/>
                <w:sz w:val="18"/>
                <w:szCs w:val="18"/>
              </w:rPr>
            </w:pPr>
            <w:r w:rsidRPr="004A1D8F">
              <w:rPr>
                <w:rFonts w:cs="Times New Roman"/>
                <w:bCs w:val="0"/>
                <w:color w:val="000000"/>
                <w:sz w:val="18"/>
                <w:szCs w:val="18"/>
              </w:rPr>
              <w:t>Investicija Glasbena šola Nova Gorica - II. faza</w:t>
            </w:r>
          </w:p>
        </w:tc>
        <w:tc>
          <w:tcPr>
            <w:tcW w:w="800" w:type="dxa"/>
            <w:tcBorders>
              <w:top w:val="nil"/>
              <w:left w:val="nil"/>
              <w:bottom w:val="single" w:sz="4" w:space="0" w:color="auto"/>
              <w:right w:val="nil"/>
            </w:tcBorders>
            <w:shd w:val="clear" w:color="000000" w:fill="FFFFFF"/>
          </w:tcPr>
          <w:p w14:paraId="0AB9799B" w14:textId="77777777" w:rsidR="004A1D8F" w:rsidRPr="004A1D8F" w:rsidRDefault="004A1D8F" w:rsidP="004A1D8F">
            <w:pPr>
              <w:spacing w:after="0" w:line="240" w:lineRule="auto"/>
              <w:ind w:left="0" w:right="0"/>
              <w:jc w:val="right"/>
              <w:rPr>
                <w:rFonts w:cs="Times New Roman"/>
                <w:bCs w:val="0"/>
                <w:color w:val="000000"/>
                <w:sz w:val="18"/>
                <w:szCs w:val="18"/>
              </w:rPr>
            </w:pPr>
          </w:p>
        </w:tc>
        <w:tc>
          <w:tcPr>
            <w:tcW w:w="1184" w:type="dxa"/>
            <w:tcBorders>
              <w:top w:val="nil"/>
              <w:left w:val="nil"/>
              <w:bottom w:val="single" w:sz="4" w:space="0" w:color="auto"/>
              <w:right w:val="single" w:sz="4" w:space="0" w:color="auto"/>
            </w:tcBorders>
            <w:shd w:val="clear" w:color="000000" w:fill="FFFFFF"/>
            <w:noWrap/>
            <w:vAlign w:val="bottom"/>
            <w:hideMark/>
          </w:tcPr>
          <w:p w14:paraId="087AE662" w14:textId="77777777" w:rsidR="004A1D8F" w:rsidRPr="004A1D8F" w:rsidRDefault="004A1D8F" w:rsidP="004A1D8F">
            <w:pPr>
              <w:spacing w:after="0" w:line="240" w:lineRule="auto"/>
              <w:ind w:left="0" w:right="0"/>
              <w:jc w:val="right"/>
              <w:rPr>
                <w:rFonts w:cs="Times New Roman"/>
                <w:bCs w:val="0"/>
                <w:color w:val="000000"/>
                <w:sz w:val="18"/>
                <w:szCs w:val="18"/>
              </w:rPr>
            </w:pPr>
            <w:r w:rsidRPr="004A1D8F">
              <w:rPr>
                <w:rFonts w:cs="Times New Roman"/>
                <w:bCs w:val="0"/>
                <w:color w:val="000000"/>
                <w:sz w:val="18"/>
                <w:szCs w:val="18"/>
              </w:rPr>
              <w:t>346.592</w:t>
            </w:r>
          </w:p>
        </w:tc>
      </w:tr>
      <w:tr w:rsidR="004A1D8F" w:rsidRPr="004A1D8F" w14:paraId="6DB3D57D" w14:textId="77777777" w:rsidTr="00384385">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05E9DC72" w14:textId="77777777" w:rsidR="004A1D8F" w:rsidRPr="004A1D8F" w:rsidRDefault="004A1D8F" w:rsidP="004A1D8F">
            <w:pPr>
              <w:spacing w:after="0" w:line="240" w:lineRule="auto"/>
              <w:ind w:left="0" w:right="0"/>
              <w:jc w:val="left"/>
              <w:rPr>
                <w:rFonts w:cs="Times New Roman"/>
                <w:bCs w:val="0"/>
                <w:color w:val="000000"/>
                <w:sz w:val="18"/>
                <w:szCs w:val="18"/>
              </w:rPr>
            </w:pPr>
            <w:r w:rsidRPr="004A1D8F">
              <w:rPr>
                <w:rFonts w:cs="Times New Roman"/>
                <w:bCs w:val="0"/>
                <w:color w:val="000000"/>
                <w:sz w:val="18"/>
                <w:szCs w:val="18"/>
              </w:rPr>
              <w:t>04036</w:t>
            </w:r>
          </w:p>
        </w:tc>
        <w:tc>
          <w:tcPr>
            <w:tcW w:w="5441" w:type="dxa"/>
            <w:tcBorders>
              <w:top w:val="nil"/>
              <w:left w:val="nil"/>
              <w:bottom w:val="single" w:sz="4" w:space="0" w:color="auto"/>
              <w:right w:val="single" w:sz="4" w:space="0" w:color="auto"/>
            </w:tcBorders>
            <w:shd w:val="clear" w:color="000000" w:fill="FFFFFF"/>
            <w:noWrap/>
            <w:vAlign w:val="bottom"/>
            <w:hideMark/>
          </w:tcPr>
          <w:p w14:paraId="77BABB55" w14:textId="77777777" w:rsidR="004A1D8F" w:rsidRPr="004A1D8F" w:rsidRDefault="004A1D8F" w:rsidP="004A1D8F">
            <w:pPr>
              <w:spacing w:after="0" w:line="240" w:lineRule="auto"/>
              <w:ind w:left="0" w:right="0"/>
              <w:jc w:val="left"/>
              <w:rPr>
                <w:rFonts w:cs="Times New Roman"/>
                <w:bCs w:val="0"/>
                <w:color w:val="000000"/>
                <w:sz w:val="18"/>
                <w:szCs w:val="18"/>
              </w:rPr>
            </w:pPr>
            <w:r w:rsidRPr="004A1D8F">
              <w:rPr>
                <w:rFonts w:cs="Times New Roman"/>
                <w:bCs w:val="0"/>
                <w:color w:val="000000"/>
                <w:sz w:val="18"/>
                <w:szCs w:val="18"/>
              </w:rPr>
              <w:t>Sredstva iz požarnega sklada</w:t>
            </w:r>
          </w:p>
        </w:tc>
        <w:tc>
          <w:tcPr>
            <w:tcW w:w="800" w:type="dxa"/>
            <w:tcBorders>
              <w:top w:val="nil"/>
              <w:left w:val="nil"/>
              <w:bottom w:val="single" w:sz="4" w:space="0" w:color="auto"/>
              <w:right w:val="nil"/>
            </w:tcBorders>
            <w:shd w:val="clear" w:color="000000" w:fill="FFFFFF"/>
          </w:tcPr>
          <w:p w14:paraId="51B19561" w14:textId="77777777" w:rsidR="004A1D8F" w:rsidRPr="004A1D8F" w:rsidRDefault="004A1D8F" w:rsidP="004A1D8F">
            <w:pPr>
              <w:spacing w:after="0" w:line="240" w:lineRule="auto"/>
              <w:ind w:left="0" w:right="0"/>
              <w:jc w:val="right"/>
              <w:rPr>
                <w:rFonts w:cs="Times New Roman"/>
                <w:bCs w:val="0"/>
                <w:color w:val="000000"/>
                <w:sz w:val="18"/>
                <w:szCs w:val="18"/>
              </w:rPr>
            </w:pPr>
          </w:p>
        </w:tc>
        <w:tc>
          <w:tcPr>
            <w:tcW w:w="1184" w:type="dxa"/>
            <w:tcBorders>
              <w:top w:val="nil"/>
              <w:left w:val="nil"/>
              <w:bottom w:val="single" w:sz="4" w:space="0" w:color="auto"/>
              <w:right w:val="single" w:sz="4" w:space="0" w:color="auto"/>
            </w:tcBorders>
            <w:shd w:val="clear" w:color="000000" w:fill="FFFFFF"/>
            <w:noWrap/>
            <w:vAlign w:val="bottom"/>
            <w:hideMark/>
          </w:tcPr>
          <w:p w14:paraId="24BC7A7D" w14:textId="77777777" w:rsidR="004A1D8F" w:rsidRPr="004A1D8F" w:rsidRDefault="004A1D8F" w:rsidP="004A1D8F">
            <w:pPr>
              <w:spacing w:after="0" w:line="240" w:lineRule="auto"/>
              <w:ind w:left="0" w:right="0"/>
              <w:jc w:val="right"/>
              <w:rPr>
                <w:rFonts w:cs="Times New Roman"/>
                <w:bCs w:val="0"/>
                <w:color w:val="000000"/>
                <w:sz w:val="18"/>
                <w:szCs w:val="18"/>
              </w:rPr>
            </w:pPr>
            <w:r w:rsidRPr="004A1D8F">
              <w:rPr>
                <w:rFonts w:cs="Times New Roman"/>
                <w:bCs w:val="0"/>
                <w:color w:val="000000"/>
                <w:sz w:val="18"/>
                <w:szCs w:val="18"/>
              </w:rPr>
              <w:t>322.016</w:t>
            </w:r>
          </w:p>
        </w:tc>
      </w:tr>
      <w:tr w:rsidR="004A1D8F" w:rsidRPr="004A1D8F" w14:paraId="74DC6AA1" w14:textId="77777777" w:rsidTr="00384385">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27121293" w14:textId="77777777" w:rsidR="004A1D8F" w:rsidRPr="004A1D8F" w:rsidRDefault="004A1D8F" w:rsidP="004A1D8F">
            <w:pPr>
              <w:spacing w:after="0" w:line="240" w:lineRule="auto"/>
              <w:ind w:left="0" w:right="0"/>
              <w:jc w:val="left"/>
              <w:rPr>
                <w:rFonts w:cs="Times New Roman"/>
                <w:bCs w:val="0"/>
                <w:color w:val="000000"/>
                <w:sz w:val="18"/>
                <w:szCs w:val="18"/>
              </w:rPr>
            </w:pPr>
            <w:r w:rsidRPr="004A1D8F">
              <w:rPr>
                <w:rFonts w:cs="Times New Roman"/>
                <w:bCs w:val="0"/>
                <w:color w:val="000000"/>
                <w:sz w:val="18"/>
                <w:szCs w:val="18"/>
              </w:rPr>
              <w:t>07382</w:t>
            </w:r>
          </w:p>
        </w:tc>
        <w:tc>
          <w:tcPr>
            <w:tcW w:w="5441" w:type="dxa"/>
            <w:tcBorders>
              <w:top w:val="nil"/>
              <w:left w:val="nil"/>
              <w:bottom w:val="single" w:sz="4" w:space="0" w:color="auto"/>
              <w:right w:val="single" w:sz="4" w:space="0" w:color="auto"/>
            </w:tcBorders>
            <w:shd w:val="clear" w:color="000000" w:fill="FFFFFF"/>
            <w:noWrap/>
            <w:vAlign w:val="bottom"/>
            <w:hideMark/>
          </w:tcPr>
          <w:p w14:paraId="7B5F561C" w14:textId="77777777" w:rsidR="004A1D8F" w:rsidRPr="004A1D8F" w:rsidRDefault="004A1D8F" w:rsidP="004A1D8F">
            <w:pPr>
              <w:spacing w:after="0" w:line="240" w:lineRule="auto"/>
              <w:ind w:left="0" w:right="0"/>
              <w:jc w:val="left"/>
              <w:rPr>
                <w:rFonts w:cs="Times New Roman"/>
                <w:bCs w:val="0"/>
                <w:color w:val="000000"/>
                <w:sz w:val="18"/>
                <w:szCs w:val="18"/>
              </w:rPr>
            </w:pPr>
            <w:r w:rsidRPr="004A1D8F">
              <w:rPr>
                <w:rFonts w:cs="Times New Roman"/>
                <w:bCs w:val="0"/>
                <w:color w:val="000000"/>
                <w:sz w:val="18"/>
                <w:szCs w:val="18"/>
              </w:rPr>
              <w:t>Postavitev sončnih elektrarn konzorcij MONG</w:t>
            </w:r>
          </w:p>
        </w:tc>
        <w:tc>
          <w:tcPr>
            <w:tcW w:w="800" w:type="dxa"/>
            <w:tcBorders>
              <w:top w:val="nil"/>
              <w:left w:val="nil"/>
              <w:bottom w:val="single" w:sz="4" w:space="0" w:color="auto"/>
              <w:right w:val="nil"/>
            </w:tcBorders>
            <w:shd w:val="clear" w:color="000000" w:fill="FFFFFF"/>
          </w:tcPr>
          <w:p w14:paraId="13775FAB" w14:textId="77777777" w:rsidR="004A1D8F" w:rsidRPr="004A1D8F" w:rsidRDefault="004A1D8F" w:rsidP="004A1D8F">
            <w:pPr>
              <w:spacing w:after="0" w:line="240" w:lineRule="auto"/>
              <w:ind w:left="0" w:right="0"/>
              <w:jc w:val="right"/>
              <w:rPr>
                <w:rFonts w:cs="Times New Roman"/>
                <w:bCs w:val="0"/>
                <w:color w:val="000000"/>
                <w:sz w:val="18"/>
                <w:szCs w:val="18"/>
              </w:rPr>
            </w:pPr>
          </w:p>
        </w:tc>
        <w:tc>
          <w:tcPr>
            <w:tcW w:w="1184" w:type="dxa"/>
            <w:tcBorders>
              <w:top w:val="nil"/>
              <w:left w:val="nil"/>
              <w:bottom w:val="single" w:sz="4" w:space="0" w:color="auto"/>
              <w:right w:val="single" w:sz="4" w:space="0" w:color="auto"/>
            </w:tcBorders>
            <w:shd w:val="clear" w:color="000000" w:fill="FFFFFF"/>
            <w:noWrap/>
            <w:vAlign w:val="bottom"/>
            <w:hideMark/>
          </w:tcPr>
          <w:p w14:paraId="659DE162" w14:textId="77777777" w:rsidR="004A1D8F" w:rsidRPr="004A1D8F" w:rsidRDefault="004A1D8F" w:rsidP="004A1D8F">
            <w:pPr>
              <w:spacing w:after="0" w:line="240" w:lineRule="auto"/>
              <w:ind w:left="0" w:right="0"/>
              <w:jc w:val="right"/>
              <w:rPr>
                <w:rFonts w:cs="Times New Roman"/>
                <w:bCs w:val="0"/>
                <w:color w:val="000000"/>
                <w:sz w:val="18"/>
                <w:szCs w:val="18"/>
              </w:rPr>
            </w:pPr>
            <w:r w:rsidRPr="004A1D8F">
              <w:rPr>
                <w:rFonts w:cs="Times New Roman"/>
                <w:bCs w:val="0"/>
                <w:color w:val="000000"/>
                <w:sz w:val="18"/>
                <w:szCs w:val="18"/>
              </w:rPr>
              <w:t>284.700</w:t>
            </w:r>
          </w:p>
        </w:tc>
      </w:tr>
      <w:tr w:rsidR="004A1D8F" w:rsidRPr="004A1D8F" w14:paraId="7F0EB3A1" w14:textId="77777777" w:rsidTr="00384385">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46F39042" w14:textId="77777777" w:rsidR="004A1D8F" w:rsidRPr="004A1D8F" w:rsidRDefault="004A1D8F" w:rsidP="004A1D8F">
            <w:pPr>
              <w:spacing w:after="0" w:line="240" w:lineRule="auto"/>
              <w:ind w:left="0" w:right="0"/>
              <w:jc w:val="left"/>
              <w:rPr>
                <w:rFonts w:cs="Times New Roman"/>
                <w:bCs w:val="0"/>
                <w:color w:val="000000"/>
                <w:sz w:val="18"/>
                <w:szCs w:val="18"/>
              </w:rPr>
            </w:pPr>
            <w:r w:rsidRPr="004A1D8F">
              <w:rPr>
                <w:rFonts w:cs="Times New Roman"/>
                <w:bCs w:val="0"/>
                <w:color w:val="000000"/>
                <w:sz w:val="18"/>
                <w:szCs w:val="18"/>
              </w:rPr>
              <w:t>10275</w:t>
            </w:r>
          </w:p>
        </w:tc>
        <w:tc>
          <w:tcPr>
            <w:tcW w:w="5441" w:type="dxa"/>
            <w:tcBorders>
              <w:top w:val="nil"/>
              <w:left w:val="nil"/>
              <w:bottom w:val="single" w:sz="4" w:space="0" w:color="auto"/>
              <w:right w:val="single" w:sz="4" w:space="0" w:color="auto"/>
            </w:tcBorders>
            <w:shd w:val="clear" w:color="000000" w:fill="FFFFFF"/>
            <w:noWrap/>
            <w:vAlign w:val="bottom"/>
            <w:hideMark/>
          </w:tcPr>
          <w:p w14:paraId="08F211DE" w14:textId="77777777" w:rsidR="004A1D8F" w:rsidRPr="004A1D8F" w:rsidRDefault="004A1D8F" w:rsidP="004A1D8F">
            <w:pPr>
              <w:spacing w:after="0" w:line="240" w:lineRule="auto"/>
              <w:ind w:left="0" w:right="0"/>
              <w:jc w:val="left"/>
              <w:rPr>
                <w:rFonts w:cs="Times New Roman"/>
                <w:bCs w:val="0"/>
                <w:color w:val="000000"/>
                <w:sz w:val="18"/>
                <w:szCs w:val="18"/>
              </w:rPr>
            </w:pPr>
            <w:r w:rsidRPr="004A1D8F">
              <w:rPr>
                <w:rFonts w:cs="Times New Roman"/>
                <w:bCs w:val="0"/>
                <w:color w:val="000000"/>
                <w:sz w:val="18"/>
                <w:szCs w:val="18"/>
              </w:rPr>
              <w:t>Projekt SINGERS CORNERS</w:t>
            </w:r>
          </w:p>
        </w:tc>
        <w:tc>
          <w:tcPr>
            <w:tcW w:w="800" w:type="dxa"/>
            <w:tcBorders>
              <w:top w:val="nil"/>
              <w:left w:val="nil"/>
              <w:bottom w:val="single" w:sz="4" w:space="0" w:color="auto"/>
              <w:right w:val="nil"/>
            </w:tcBorders>
            <w:shd w:val="clear" w:color="000000" w:fill="FFFFFF"/>
          </w:tcPr>
          <w:p w14:paraId="49A4159D" w14:textId="77777777" w:rsidR="004A1D8F" w:rsidRPr="004A1D8F" w:rsidRDefault="004A1D8F" w:rsidP="004A1D8F">
            <w:pPr>
              <w:spacing w:after="0" w:line="240" w:lineRule="auto"/>
              <w:ind w:left="0" w:right="0"/>
              <w:jc w:val="right"/>
              <w:rPr>
                <w:rFonts w:cs="Times New Roman"/>
                <w:bCs w:val="0"/>
                <w:color w:val="000000"/>
                <w:sz w:val="18"/>
                <w:szCs w:val="18"/>
              </w:rPr>
            </w:pPr>
          </w:p>
        </w:tc>
        <w:tc>
          <w:tcPr>
            <w:tcW w:w="1184" w:type="dxa"/>
            <w:tcBorders>
              <w:top w:val="nil"/>
              <w:left w:val="nil"/>
              <w:bottom w:val="single" w:sz="4" w:space="0" w:color="auto"/>
              <w:right w:val="single" w:sz="4" w:space="0" w:color="auto"/>
            </w:tcBorders>
            <w:shd w:val="clear" w:color="000000" w:fill="FFFFFF"/>
            <w:noWrap/>
            <w:vAlign w:val="bottom"/>
            <w:hideMark/>
          </w:tcPr>
          <w:p w14:paraId="36DE0911" w14:textId="77777777" w:rsidR="004A1D8F" w:rsidRPr="004A1D8F" w:rsidRDefault="004A1D8F" w:rsidP="004A1D8F">
            <w:pPr>
              <w:spacing w:after="0" w:line="240" w:lineRule="auto"/>
              <w:ind w:left="0" w:right="0"/>
              <w:jc w:val="right"/>
              <w:rPr>
                <w:rFonts w:cs="Times New Roman"/>
                <w:bCs w:val="0"/>
                <w:color w:val="000000"/>
                <w:sz w:val="18"/>
                <w:szCs w:val="18"/>
              </w:rPr>
            </w:pPr>
            <w:r w:rsidRPr="004A1D8F">
              <w:rPr>
                <w:rFonts w:cs="Times New Roman"/>
                <w:bCs w:val="0"/>
                <w:color w:val="000000"/>
                <w:sz w:val="18"/>
                <w:szCs w:val="18"/>
              </w:rPr>
              <w:t>263.599</w:t>
            </w:r>
          </w:p>
        </w:tc>
      </w:tr>
    </w:tbl>
    <w:p w14:paraId="09E38764" w14:textId="77777777" w:rsidR="00F21916" w:rsidRPr="00F21916" w:rsidRDefault="00F21916" w:rsidP="00F21916">
      <w:pPr>
        <w:spacing w:after="0" w:line="240" w:lineRule="auto"/>
        <w:ind w:right="0"/>
        <w:jc w:val="left"/>
      </w:pPr>
    </w:p>
    <w:p w14:paraId="78CDADB0" w14:textId="77777777" w:rsidR="00F21916" w:rsidRPr="00F21916" w:rsidRDefault="00F21916" w:rsidP="00F21916">
      <w:pPr>
        <w:spacing w:after="0" w:line="240" w:lineRule="auto"/>
        <w:ind w:right="0"/>
        <w:jc w:val="left"/>
      </w:pPr>
    </w:p>
    <w:p w14:paraId="06E550FE" w14:textId="7B15700A" w:rsidR="00204C4F" w:rsidRPr="00204C4F" w:rsidRDefault="00F21916" w:rsidP="00384385">
      <w:r w:rsidRPr="00F21916">
        <w:t>Najvišja realizacija tekočih odhodkov je tako, kot vsako leto na proračunski postavki 10075 Dejavnost javnih vrtcev v Mestni občini Nova Gorica, ki je bila v primerjavi z preteklim letom višja kar za 9,28 %.</w:t>
      </w:r>
    </w:p>
    <w:p w14:paraId="6A71CC63" w14:textId="7574D712" w:rsidR="00204C4F" w:rsidRDefault="00E90FBB" w:rsidP="000B6707">
      <w:pPr>
        <w:rPr>
          <w:b/>
          <w:color w:val="2F5496" w:themeColor="accent1" w:themeShade="BF"/>
        </w:rPr>
      </w:pPr>
      <w:r>
        <w:rPr>
          <w:b/>
          <w:color w:val="2F5496" w:themeColor="accent1" w:themeShade="BF"/>
        </w:rPr>
        <w:t>Zadolževanje</w:t>
      </w:r>
      <w:r w:rsidR="00204C4F" w:rsidRPr="00793081">
        <w:rPr>
          <w:b/>
          <w:color w:val="2F5496" w:themeColor="accent1" w:themeShade="BF"/>
        </w:rPr>
        <w:t xml:space="preserve">  </w:t>
      </w:r>
    </w:p>
    <w:p w14:paraId="0A771F82" w14:textId="76E96700" w:rsidR="00204C4F" w:rsidRPr="00384385" w:rsidRDefault="008F4D03" w:rsidP="00384385">
      <w:r w:rsidRPr="008F4D03">
        <w:t xml:space="preserve">Skladno s predvidenim planom je bil najet dolgoročni kredit v višini 7,5 mio EUR pri Deželni banki Slovenije </w:t>
      </w:r>
      <w:proofErr w:type="spellStart"/>
      <w:r w:rsidRPr="008F4D03">
        <w:t>d.d</w:t>
      </w:r>
      <w:proofErr w:type="spellEnd"/>
      <w:r w:rsidRPr="008F4D03">
        <w:t xml:space="preserve">., in sicer za financiranje investicij, ki so predvidene v občinskem proračunu. V mesecu marcu je bil pri NLB </w:t>
      </w:r>
      <w:proofErr w:type="spellStart"/>
      <w:r w:rsidRPr="008F4D03">
        <w:t>d.d</w:t>
      </w:r>
      <w:proofErr w:type="spellEnd"/>
      <w:r w:rsidRPr="008F4D03">
        <w:t>. najet likvidnostni kredit za pokrivanje stroškov za čas do prejema sredstev iz proračunov Evropske unije in RS iz naslova sofinanciranih projektov v višini 4,01 mio EUR. Del kredita v višini 2</w:t>
      </w:r>
      <w:r w:rsidR="00E47D34">
        <w:t>,</w:t>
      </w:r>
      <w:r w:rsidRPr="008F4D03">
        <w:t>132</w:t>
      </w:r>
      <w:r w:rsidR="00E47D34">
        <w:t xml:space="preserve"> mio</w:t>
      </w:r>
      <w:r w:rsidRPr="008F4D03">
        <w:t xml:space="preserve"> EUR je bil odplačan konec leta 2025. Ker pa do takrat nismo prejeli vseh predvidenih </w:t>
      </w:r>
      <w:proofErr w:type="spellStart"/>
      <w:r w:rsidRPr="008F4D03">
        <w:t>sofinancerskih</w:t>
      </w:r>
      <w:proofErr w:type="spellEnd"/>
      <w:r w:rsidRPr="008F4D03">
        <w:t xml:space="preserve"> sredstev smo na Ministrstvo za finance zaprosili za soglasje k spremembi likvidnostnega kredita za projekte sofinancirane iz proračuna EU v kratkoročnega oz. dolgoročnega, s katerim smo razliko v višini 1,87</w:t>
      </w:r>
      <w:r w:rsidR="00E47D34">
        <w:t>8</w:t>
      </w:r>
      <w:r w:rsidRPr="008F4D03">
        <w:t xml:space="preserve"> lahko prenesli v leto 2026. Kredit bo odplačan najkasneje do 31.8.2026. Prav tako pa navedena zadolžitev ne šteje v največji obseg možnega zadolževanja občine.</w:t>
      </w:r>
    </w:p>
    <w:p w14:paraId="09B779CE" w14:textId="538B1E45" w:rsidR="00204C4F" w:rsidRDefault="008F4D03" w:rsidP="000B6707">
      <w:pPr>
        <w:rPr>
          <w:b/>
          <w:color w:val="2F5496" w:themeColor="accent1" w:themeShade="BF"/>
        </w:rPr>
      </w:pPr>
      <w:r>
        <w:rPr>
          <w:b/>
          <w:color w:val="2F5496" w:themeColor="accent1" w:themeShade="BF"/>
        </w:rPr>
        <w:t>Prerazporeditve in rezervacija župana</w:t>
      </w:r>
      <w:r w:rsidR="00204C4F" w:rsidRPr="00793081">
        <w:rPr>
          <w:b/>
          <w:color w:val="2F5496" w:themeColor="accent1" w:themeShade="BF"/>
        </w:rPr>
        <w:t xml:space="preserve"> </w:t>
      </w:r>
    </w:p>
    <w:p w14:paraId="2A0877CD" w14:textId="743FD794" w:rsidR="00771B46" w:rsidRPr="00771B46" w:rsidRDefault="00771B46" w:rsidP="00771B46">
      <w:r w:rsidRPr="00771B46">
        <w:t>Med proračunskim letom je župan, v skladu z 9. členom Odloka o proračunu Mestne občine Nova Gorica za leto 2025, sprejel več sklepov o prerazporeditvah med proračunskimi postavkami, s katerimi so se v okviru dovoljenih omejitev uskladile pravice porabe na nekaterih postavkah, zaradi potreb izvrševanja proračuna. Največ prerazporeditev pa je bilo opravljenih med konti znotraj proračunskih postavk zaradi pravilnega evidentiranja odhodkov po ekonomski klasifikaciji.</w:t>
      </w:r>
    </w:p>
    <w:p w14:paraId="4A584225" w14:textId="26120A43" w:rsidR="00D67D64" w:rsidRPr="00D67D64" w:rsidRDefault="00771B46" w:rsidP="00D67D64">
      <w:r w:rsidRPr="00771B46">
        <w:t xml:space="preserve">Rezervacija je bila, skladno s 7. členom Odloka o proračunu Mestne občine Nova Gorica za leto 2025, oblikovana v višini 220 tisoč  EUR. Skladno z 42. členom Zakona o javnih financah so se sredstva porabljala za nepredvidene namene, za katere v proračunu niso zagotovljena sredstva, ali za namene, za katere se med letom izkaže, da niso zagotovljena sredstva v zadostnem obsegu, omogočajo pa nemoteno izvrševanje proračuna v tekočem letu in so namenjena za izvajanje obveznosti, določenih z zakoni. Sredstva so se na podlagi Sklepa župana o prerazporeditvah med proračunskimi postavkami prenesla na postavko, kamor so po vsebini sodila in se tam realizirala na ustreznem kontu. V letu 2025 je bilo iz omenjene postavke </w:t>
      </w:r>
      <w:r w:rsidRPr="00771B46">
        <w:lastRenderedPageBreak/>
        <w:t>prenesenih vseh 220 tisoč EUR. Največja županova prerazporeditev v višini 140 tisoč EUR je bila za namen poplačila prevzete obveznosti za projekt Investicija v Zdravstveni dom Nova Gorica zaradi zamika prejete situacije.</w:t>
      </w:r>
    </w:p>
    <w:p w14:paraId="6DF19128" w14:textId="601A8488" w:rsidR="00204C4F" w:rsidRDefault="00771B46" w:rsidP="000B6707">
      <w:pPr>
        <w:rPr>
          <w:b/>
          <w:color w:val="2F5496" w:themeColor="accent1" w:themeShade="BF"/>
        </w:rPr>
      </w:pPr>
      <w:r>
        <w:rPr>
          <w:b/>
          <w:color w:val="2F5496" w:themeColor="accent1" w:themeShade="BF"/>
        </w:rPr>
        <w:t>Proračunska rezerva</w:t>
      </w:r>
    </w:p>
    <w:p w14:paraId="3968AD9A" w14:textId="2856CA56" w:rsidR="00204C4F" w:rsidRPr="00204C4F" w:rsidRDefault="00D67D64" w:rsidP="00D67D64">
      <w:r w:rsidRPr="00D67D64">
        <w:t>Proračunska rezerva je skladno z 49. členom ZJF oblikovana kot poseben proračunski sklad, v katerega so se mesečno izločala sredstva do višine, ki jih je določil Odlok o proračunu Mestne občine Nova Gorica za leto 2025. V letu 2025 so bila v rezervi sklad izločena vsa predvidena sredstva. Stanje na začetku leta 2025 je znašalo 290 tisoč EUR, med letom pa je bilo iz proračuna izločenih 20 tisoč EUR sredstev. Razpoložljiva sredstva proračunske rezerve so tako skupaj znašala 310 tisoč EUR. Poraba je v letu 2025 znašala 42 tisoč Razpoložljivo stanje na računu rezerve na dan 31.12.2025, ki se prenaša v naslednje leto, znaša 268 tisoč EUR.</w:t>
      </w:r>
    </w:p>
    <w:p w14:paraId="39DEC3BC" w14:textId="03910E62" w:rsidR="00204C4F" w:rsidRDefault="00D67D64" w:rsidP="000B6707">
      <w:pPr>
        <w:rPr>
          <w:b/>
          <w:color w:val="2F5496" w:themeColor="accent1" w:themeShade="BF"/>
        </w:rPr>
      </w:pPr>
      <w:r>
        <w:rPr>
          <w:b/>
          <w:color w:val="2F5496" w:themeColor="accent1" w:themeShade="BF"/>
        </w:rPr>
        <w:t>Ostali bilančni in drugi podatki</w:t>
      </w:r>
    </w:p>
    <w:p w14:paraId="6C8A8993" w14:textId="1FF0F4F6" w:rsidR="00702C71" w:rsidRPr="00702C71" w:rsidRDefault="00702C71" w:rsidP="00A83C92">
      <w:r w:rsidRPr="00702C71">
        <w:t xml:space="preserve">V leto 2026 prenašamo neporabljena namenska sredstva v višini 6,46 mio EUR, in sicer največ iz naslova najemnine za javno infrastrukturo kanalizacijskega ter vodovodnega omrežja in čistilnih naprav v skupni višini 5,998 mio EUR.  </w:t>
      </w:r>
    </w:p>
    <w:p w14:paraId="5C2C1D98" w14:textId="7DF53E61" w:rsidR="00702C71" w:rsidRPr="00702C71" w:rsidRDefault="00702C71" w:rsidP="00A83C92">
      <w:r w:rsidRPr="00702C71">
        <w:t>Med letom ne beležimo vključitve novih obveznosti skladno z 41. členom ZJF.</w:t>
      </w:r>
    </w:p>
    <w:p w14:paraId="4AE9BBAE" w14:textId="72DB0DC0" w:rsidR="00702C71" w:rsidRPr="00702C71" w:rsidRDefault="00702C71" w:rsidP="005848C2">
      <w:r w:rsidRPr="00702C71">
        <w:t>V letu 2025 ne beležimo izdanih in unovčenih poroštev ter izterjanih regresnih zahtevkov iz naslova poroštev.</w:t>
      </w:r>
    </w:p>
    <w:p w14:paraId="246F7658" w14:textId="70C11D5C" w:rsidR="00702C71" w:rsidRPr="00702C71" w:rsidRDefault="00702C71" w:rsidP="00A83C92">
      <w:r w:rsidRPr="00702C71">
        <w:t>V letu 2025 je realiziran primanjkljaj v višini 5,528 mio EUR. Mestna občina Nova Gorica je imela na dan 31.12.2025 v višini 5,659 mio EUR kratkoročnih obveznosti iz poslovanja. Vse odprte kratkoročne obveznosti niso zapadle.</w:t>
      </w:r>
      <w:r w:rsidR="003A4CDF">
        <w:t xml:space="preserve"> </w:t>
      </w:r>
      <w:r w:rsidRPr="00702C71">
        <w:t xml:space="preserve">Mestna občina Nova Gorica izkazuje na dan 31.12.2025 kratkoročne terjatve ter zaloge v višini 4,852 mio EUR, od tega zapadlih 99 tisoč EUR. Kratkoročne terjatve do kupcev znašajo 554 tisoč EUR. Terjatve do zavezancev za nedavčne prihodke znašajo 732 tisoč EUR, od tega je največ terjatev iz naslova koncesijske dajatve od posebnih iger na srečo v višini 460 tisoč EUR. Terjatve za davčne prihodke znašajo 308 tisoč EUR, od tega največ terjatve iz naslova NUSZ.  </w:t>
      </w:r>
    </w:p>
    <w:p w14:paraId="40314687" w14:textId="41A8D72B" w:rsidR="00702C71" w:rsidRPr="00702C71" w:rsidRDefault="00702C71" w:rsidP="00A83C92">
      <w:r w:rsidRPr="00702C71">
        <w:t>Sprememb neposrednih uporabnikov med letom ni bilo in prav tako ni bilo izdanih, unovčenih oz. izterjanih regresnih zahtevkov iz naslova poroštev.</w:t>
      </w:r>
    </w:p>
    <w:p w14:paraId="2FADF212" w14:textId="0444728B" w:rsidR="006D4E9E" w:rsidRPr="00702C71" w:rsidRDefault="00A854E3" w:rsidP="000B4A5C">
      <w:r>
        <w:t>Stanje sredstev</w:t>
      </w:r>
      <w:r w:rsidR="00BE3E50">
        <w:t xml:space="preserve"> na računih</w:t>
      </w:r>
      <w:r w:rsidR="00702C71" w:rsidRPr="00702C71">
        <w:t xml:space="preserve"> na dan 31.12.2025 znaša </w:t>
      </w:r>
      <w:r w:rsidR="000A7129">
        <w:t>1,710 mio</w:t>
      </w:r>
      <w:r w:rsidR="00702C71" w:rsidRPr="00702C71">
        <w:t xml:space="preserve"> EUR</w:t>
      </w:r>
      <w:r w:rsidR="000A7129">
        <w:t xml:space="preserve">. </w:t>
      </w:r>
      <w:r w:rsidR="000B4A5C">
        <w:t>Del teh sredstev</w:t>
      </w:r>
      <w:r w:rsidR="00925BB3">
        <w:t>, v višini 982 tisoč EUR,</w:t>
      </w:r>
      <w:r w:rsidR="000B4A5C">
        <w:t xml:space="preserve"> predstavlja prenos </w:t>
      </w:r>
      <w:r w:rsidR="000B4A5C" w:rsidRPr="00702C71">
        <w:t>po posameznih krajevnih skupnostih</w:t>
      </w:r>
      <w:r w:rsidR="000B4A5C">
        <w:t>, ki so prikazana v naslednji tabeli.</w:t>
      </w:r>
    </w:p>
    <w:p w14:paraId="0CEEB685" w14:textId="4317E9D3" w:rsidR="00A83C92" w:rsidRDefault="00A83C92" w:rsidP="00C556CD">
      <w:pPr>
        <w:spacing w:after="0"/>
      </w:pPr>
      <w:r w:rsidRPr="00A83C92">
        <w:t xml:space="preserve">Tabela 5: </w:t>
      </w:r>
      <w:r w:rsidR="000B4A5C">
        <w:t>Prenos sredstev</w:t>
      </w:r>
      <w:r w:rsidRPr="00A83C92">
        <w:t xml:space="preserve"> po posameznih krajevnih skupnostih</w:t>
      </w:r>
    </w:p>
    <w:tbl>
      <w:tblPr>
        <w:tblW w:w="6379" w:type="dxa"/>
        <w:tblInd w:w="704" w:type="dxa"/>
        <w:tblCellMar>
          <w:left w:w="70" w:type="dxa"/>
          <w:right w:w="70" w:type="dxa"/>
        </w:tblCellMar>
        <w:tblLook w:val="04A0" w:firstRow="1" w:lastRow="0" w:firstColumn="1" w:lastColumn="0" w:noHBand="0" w:noVBand="1"/>
      </w:tblPr>
      <w:tblGrid>
        <w:gridCol w:w="3300"/>
        <w:gridCol w:w="3079"/>
      </w:tblGrid>
      <w:tr w:rsidR="00925BB3" w:rsidRPr="00925BB3" w14:paraId="05CBAF89" w14:textId="77777777" w:rsidTr="00D50FA0">
        <w:trPr>
          <w:trHeight w:val="630"/>
        </w:trPr>
        <w:tc>
          <w:tcPr>
            <w:tcW w:w="3300" w:type="dxa"/>
            <w:tcBorders>
              <w:top w:val="single" w:sz="4" w:space="0" w:color="000000"/>
              <w:left w:val="single" w:sz="4" w:space="0" w:color="000000"/>
              <w:bottom w:val="single" w:sz="4" w:space="0" w:color="000000"/>
              <w:right w:val="single" w:sz="4" w:space="0" w:color="000000"/>
            </w:tcBorders>
            <w:shd w:val="clear" w:color="C0C0C0" w:fill="C0C0C0"/>
            <w:noWrap/>
            <w:vAlign w:val="bottom"/>
            <w:hideMark/>
          </w:tcPr>
          <w:p w14:paraId="60C3B298" w14:textId="77777777" w:rsidR="00925BB3" w:rsidRPr="00925BB3" w:rsidRDefault="00925BB3" w:rsidP="00925BB3">
            <w:pPr>
              <w:spacing w:after="0" w:line="240" w:lineRule="auto"/>
              <w:ind w:left="0" w:right="0"/>
              <w:jc w:val="left"/>
              <w:rPr>
                <w:rFonts w:cs="Arial CE"/>
                <w:b/>
                <w:color w:val="000000"/>
                <w:sz w:val="18"/>
                <w:szCs w:val="18"/>
              </w:rPr>
            </w:pPr>
            <w:r w:rsidRPr="00925BB3">
              <w:rPr>
                <w:rFonts w:cs="Arial CE"/>
                <w:b/>
                <w:color w:val="000000"/>
                <w:sz w:val="18"/>
                <w:szCs w:val="18"/>
              </w:rPr>
              <w:t> </w:t>
            </w:r>
          </w:p>
        </w:tc>
        <w:tc>
          <w:tcPr>
            <w:tcW w:w="3079" w:type="dxa"/>
            <w:tcBorders>
              <w:top w:val="single" w:sz="4" w:space="0" w:color="000000"/>
              <w:left w:val="nil"/>
              <w:bottom w:val="nil"/>
              <w:right w:val="single" w:sz="4" w:space="0" w:color="000000"/>
            </w:tcBorders>
            <w:shd w:val="clear" w:color="C0C0C0" w:fill="C0C0C0"/>
            <w:vAlign w:val="bottom"/>
            <w:hideMark/>
          </w:tcPr>
          <w:p w14:paraId="4EA75DF0" w14:textId="4274928E" w:rsidR="00925BB3" w:rsidRPr="00925BB3" w:rsidRDefault="00925BB3" w:rsidP="00925BB3">
            <w:pPr>
              <w:spacing w:after="0" w:line="240" w:lineRule="auto"/>
              <w:ind w:left="0" w:right="0"/>
              <w:jc w:val="center"/>
              <w:rPr>
                <w:rFonts w:cs="Arial CE"/>
                <w:b/>
                <w:color w:val="000000"/>
                <w:sz w:val="18"/>
                <w:szCs w:val="18"/>
              </w:rPr>
            </w:pPr>
            <w:r w:rsidRPr="00925BB3">
              <w:rPr>
                <w:rFonts w:cs="Arial CE"/>
                <w:b/>
                <w:color w:val="000000"/>
                <w:sz w:val="18"/>
                <w:szCs w:val="18"/>
              </w:rPr>
              <w:t xml:space="preserve">Prenos </w:t>
            </w:r>
            <w:r>
              <w:rPr>
                <w:rFonts w:cs="Arial CE"/>
                <w:b/>
                <w:color w:val="000000"/>
                <w:sz w:val="18"/>
                <w:szCs w:val="18"/>
              </w:rPr>
              <w:t>sredstev</w:t>
            </w:r>
          </w:p>
        </w:tc>
      </w:tr>
      <w:tr w:rsidR="00925BB3" w:rsidRPr="00925BB3" w14:paraId="7DCF9FED" w14:textId="77777777" w:rsidTr="00D50FA0">
        <w:trPr>
          <w:trHeight w:val="315"/>
        </w:trPr>
        <w:tc>
          <w:tcPr>
            <w:tcW w:w="3300" w:type="dxa"/>
            <w:tcBorders>
              <w:top w:val="nil"/>
              <w:left w:val="single" w:sz="4" w:space="0" w:color="000000"/>
              <w:bottom w:val="single" w:sz="4" w:space="0" w:color="000000"/>
              <w:right w:val="single" w:sz="4" w:space="0" w:color="000000"/>
            </w:tcBorders>
            <w:noWrap/>
            <w:vAlign w:val="bottom"/>
            <w:hideMark/>
          </w:tcPr>
          <w:p w14:paraId="7219CB18" w14:textId="77777777" w:rsidR="00925BB3" w:rsidRPr="00925BB3" w:rsidRDefault="00925BB3" w:rsidP="00925BB3">
            <w:pPr>
              <w:spacing w:after="0" w:line="240" w:lineRule="auto"/>
              <w:ind w:left="0" w:right="0"/>
              <w:jc w:val="left"/>
              <w:rPr>
                <w:rFonts w:cs="Arial CE"/>
                <w:bCs w:val="0"/>
                <w:color w:val="000000"/>
                <w:sz w:val="18"/>
                <w:szCs w:val="18"/>
              </w:rPr>
            </w:pPr>
            <w:r w:rsidRPr="00925BB3">
              <w:rPr>
                <w:rFonts w:cs="Arial CE"/>
                <w:bCs w:val="0"/>
                <w:color w:val="000000"/>
                <w:sz w:val="18"/>
                <w:szCs w:val="18"/>
              </w:rPr>
              <w:t>21 - KS BANJŠICE</w:t>
            </w:r>
          </w:p>
        </w:tc>
        <w:tc>
          <w:tcPr>
            <w:tcW w:w="3079" w:type="dxa"/>
            <w:tcBorders>
              <w:top w:val="single" w:sz="4" w:space="0" w:color="000000"/>
              <w:left w:val="single" w:sz="4" w:space="0" w:color="000000"/>
              <w:bottom w:val="single" w:sz="4" w:space="0" w:color="000000"/>
              <w:right w:val="single" w:sz="4" w:space="0" w:color="000000"/>
            </w:tcBorders>
            <w:noWrap/>
            <w:vAlign w:val="bottom"/>
            <w:hideMark/>
          </w:tcPr>
          <w:p w14:paraId="62915DFD" w14:textId="77777777" w:rsidR="00925BB3" w:rsidRPr="00925BB3" w:rsidRDefault="00925BB3" w:rsidP="00925BB3">
            <w:pPr>
              <w:spacing w:after="0" w:line="240" w:lineRule="auto"/>
              <w:ind w:left="0" w:right="0"/>
              <w:jc w:val="right"/>
              <w:rPr>
                <w:rFonts w:cs="Calibri"/>
                <w:bCs w:val="0"/>
                <w:color w:val="000000"/>
                <w:sz w:val="18"/>
                <w:szCs w:val="18"/>
              </w:rPr>
            </w:pPr>
            <w:r w:rsidRPr="00925BB3">
              <w:rPr>
                <w:rFonts w:cs="Calibri"/>
                <w:bCs w:val="0"/>
                <w:color w:val="000000"/>
                <w:sz w:val="18"/>
                <w:szCs w:val="18"/>
              </w:rPr>
              <w:t>13.321,24</w:t>
            </w:r>
          </w:p>
        </w:tc>
      </w:tr>
      <w:tr w:rsidR="00925BB3" w:rsidRPr="00925BB3" w14:paraId="3FC6EF00" w14:textId="77777777" w:rsidTr="00D50FA0">
        <w:trPr>
          <w:trHeight w:val="315"/>
        </w:trPr>
        <w:tc>
          <w:tcPr>
            <w:tcW w:w="3300" w:type="dxa"/>
            <w:tcBorders>
              <w:top w:val="nil"/>
              <w:left w:val="single" w:sz="4" w:space="0" w:color="000000"/>
              <w:bottom w:val="single" w:sz="4" w:space="0" w:color="000000"/>
              <w:right w:val="single" w:sz="4" w:space="0" w:color="000000"/>
            </w:tcBorders>
            <w:noWrap/>
            <w:vAlign w:val="bottom"/>
            <w:hideMark/>
          </w:tcPr>
          <w:p w14:paraId="21375251" w14:textId="77777777" w:rsidR="00925BB3" w:rsidRPr="00925BB3" w:rsidRDefault="00925BB3" w:rsidP="00925BB3">
            <w:pPr>
              <w:spacing w:after="0" w:line="240" w:lineRule="auto"/>
              <w:ind w:left="0" w:right="0"/>
              <w:jc w:val="left"/>
              <w:rPr>
                <w:rFonts w:cs="Arial CE"/>
                <w:bCs w:val="0"/>
                <w:color w:val="000000"/>
                <w:sz w:val="18"/>
                <w:szCs w:val="18"/>
              </w:rPr>
            </w:pPr>
            <w:r w:rsidRPr="00925BB3">
              <w:rPr>
                <w:rFonts w:cs="Arial CE"/>
                <w:bCs w:val="0"/>
                <w:color w:val="000000"/>
                <w:sz w:val="18"/>
                <w:szCs w:val="18"/>
              </w:rPr>
              <w:lastRenderedPageBreak/>
              <w:t>22 - KS BRANIK</w:t>
            </w:r>
          </w:p>
        </w:tc>
        <w:tc>
          <w:tcPr>
            <w:tcW w:w="3079" w:type="dxa"/>
            <w:tcBorders>
              <w:top w:val="nil"/>
              <w:left w:val="single" w:sz="4" w:space="0" w:color="000000"/>
              <w:bottom w:val="single" w:sz="4" w:space="0" w:color="000000"/>
              <w:right w:val="single" w:sz="4" w:space="0" w:color="000000"/>
            </w:tcBorders>
            <w:noWrap/>
            <w:vAlign w:val="bottom"/>
            <w:hideMark/>
          </w:tcPr>
          <w:p w14:paraId="625DB3C8" w14:textId="77777777" w:rsidR="00925BB3" w:rsidRPr="00925BB3" w:rsidRDefault="00925BB3" w:rsidP="00925BB3">
            <w:pPr>
              <w:spacing w:after="0" w:line="240" w:lineRule="auto"/>
              <w:ind w:left="0" w:right="0"/>
              <w:jc w:val="right"/>
              <w:rPr>
                <w:rFonts w:cs="Calibri"/>
                <w:bCs w:val="0"/>
                <w:color w:val="000000"/>
                <w:sz w:val="18"/>
                <w:szCs w:val="18"/>
              </w:rPr>
            </w:pPr>
            <w:r w:rsidRPr="00925BB3">
              <w:rPr>
                <w:rFonts w:cs="Calibri"/>
                <w:bCs w:val="0"/>
                <w:color w:val="000000"/>
                <w:sz w:val="18"/>
                <w:szCs w:val="18"/>
              </w:rPr>
              <w:t>37.640,76</w:t>
            </w:r>
          </w:p>
        </w:tc>
      </w:tr>
      <w:tr w:rsidR="00925BB3" w:rsidRPr="00925BB3" w14:paraId="59359D46" w14:textId="77777777" w:rsidTr="00D50FA0">
        <w:trPr>
          <w:trHeight w:val="315"/>
        </w:trPr>
        <w:tc>
          <w:tcPr>
            <w:tcW w:w="3300" w:type="dxa"/>
            <w:tcBorders>
              <w:top w:val="nil"/>
              <w:left w:val="single" w:sz="4" w:space="0" w:color="000000"/>
              <w:bottom w:val="single" w:sz="4" w:space="0" w:color="000000"/>
              <w:right w:val="single" w:sz="4" w:space="0" w:color="000000"/>
            </w:tcBorders>
            <w:noWrap/>
            <w:vAlign w:val="bottom"/>
            <w:hideMark/>
          </w:tcPr>
          <w:p w14:paraId="4DCBA9B1" w14:textId="77777777" w:rsidR="00925BB3" w:rsidRPr="00925BB3" w:rsidRDefault="00925BB3" w:rsidP="00925BB3">
            <w:pPr>
              <w:spacing w:after="0" w:line="240" w:lineRule="auto"/>
              <w:ind w:left="0" w:right="0"/>
              <w:jc w:val="left"/>
              <w:rPr>
                <w:rFonts w:cs="Arial CE"/>
                <w:bCs w:val="0"/>
                <w:color w:val="000000"/>
                <w:sz w:val="18"/>
                <w:szCs w:val="18"/>
              </w:rPr>
            </w:pPr>
            <w:r w:rsidRPr="00925BB3">
              <w:rPr>
                <w:rFonts w:cs="Arial CE"/>
                <w:bCs w:val="0"/>
                <w:color w:val="000000"/>
                <w:sz w:val="18"/>
                <w:szCs w:val="18"/>
              </w:rPr>
              <w:t>23 - KS ČEPOVAN</w:t>
            </w:r>
          </w:p>
        </w:tc>
        <w:tc>
          <w:tcPr>
            <w:tcW w:w="3079" w:type="dxa"/>
            <w:tcBorders>
              <w:top w:val="nil"/>
              <w:left w:val="single" w:sz="4" w:space="0" w:color="000000"/>
              <w:bottom w:val="single" w:sz="4" w:space="0" w:color="000000"/>
              <w:right w:val="single" w:sz="4" w:space="0" w:color="000000"/>
            </w:tcBorders>
            <w:noWrap/>
            <w:vAlign w:val="bottom"/>
            <w:hideMark/>
          </w:tcPr>
          <w:p w14:paraId="1939CB36" w14:textId="77777777" w:rsidR="00925BB3" w:rsidRPr="00925BB3" w:rsidRDefault="00925BB3" w:rsidP="00925BB3">
            <w:pPr>
              <w:spacing w:after="0" w:line="240" w:lineRule="auto"/>
              <w:ind w:left="0" w:right="0"/>
              <w:jc w:val="right"/>
              <w:rPr>
                <w:rFonts w:cs="Calibri"/>
                <w:bCs w:val="0"/>
                <w:color w:val="000000"/>
                <w:sz w:val="18"/>
                <w:szCs w:val="18"/>
              </w:rPr>
            </w:pPr>
            <w:r w:rsidRPr="00925BB3">
              <w:rPr>
                <w:rFonts w:cs="Calibri"/>
                <w:bCs w:val="0"/>
                <w:color w:val="000000"/>
                <w:sz w:val="18"/>
                <w:szCs w:val="18"/>
              </w:rPr>
              <w:t>26.206,21</w:t>
            </w:r>
          </w:p>
        </w:tc>
      </w:tr>
      <w:tr w:rsidR="00925BB3" w:rsidRPr="00925BB3" w14:paraId="2633E20E" w14:textId="77777777" w:rsidTr="00D50FA0">
        <w:trPr>
          <w:trHeight w:val="315"/>
        </w:trPr>
        <w:tc>
          <w:tcPr>
            <w:tcW w:w="3300" w:type="dxa"/>
            <w:tcBorders>
              <w:top w:val="nil"/>
              <w:left w:val="single" w:sz="4" w:space="0" w:color="000000"/>
              <w:bottom w:val="single" w:sz="4" w:space="0" w:color="000000"/>
              <w:right w:val="single" w:sz="4" w:space="0" w:color="000000"/>
            </w:tcBorders>
            <w:noWrap/>
            <w:vAlign w:val="bottom"/>
            <w:hideMark/>
          </w:tcPr>
          <w:p w14:paraId="78DF6B48" w14:textId="77777777" w:rsidR="00925BB3" w:rsidRPr="00925BB3" w:rsidRDefault="00925BB3" w:rsidP="00925BB3">
            <w:pPr>
              <w:spacing w:after="0" w:line="240" w:lineRule="auto"/>
              <w:ind w:left="0" w:right="0"/>
              <w:jc w:val="left"/>
              <w:rPr>
                <w:rFonts w:cs="Arial CE"/>
                <w:bCs w:val="0"/>
                <w:color w:val="000000"/>
                <w:sz w:val="18"/>
                <w:szCs w:val="18"/>
              </w:rPr>
            </w:pPr>
            <w:r w:rsidRPr="00925BB3">
              <w:rPr>
                <w:rFonts w:cs="Arial CE"/>
                <w:bCs w:val="0"/>
                <w:color w:val="000000"/>
                <w:sz w:val="18"/>
                <w:szCs w:val="18"/>
              </w:rPr>
              <w:t>24 - KS DORNBERK</w:t>
            </w:r>
          </w:p>
        </w:tc>
        <w:tc>
          <w:tcPr>
            <w:tcW w:w="3079" w:type="dxa"/>
            <w:tcBorders>
              <w:top w:val="nil"/>
              <w:left w:val="single" w:sz="4" w:space="0" w:color="000000"/>
              <w:bottom w:val="single" w:sz="4" w:space="0" w:color="000000"/>
              <w:right w:val="single" w:sz="4" w:space="0" w:color="000000"/>
            </w:tcBorders>
            <w:noWrap/>
            <w:vAlign w:val="bottom"/>
            <w:hideMark/>
          </w:tcPr>
          <w:p w14:paraId="2E2395BB" w14:textId="77777777" w:rsidR="00925BB3" w:rsidRPr="00925BB3" w:rsidRDefault="00925BB3" w:rsidP="00925BB3">
            <w:pPr>
              <w:spacing w:after="0" w:line="240" w:lineRule="auto"/>
              <w:ind w:left="0" w:right="0"/>
              <w:jc w:val="right"/>
              <w:rPr>
                <w:rFonts w:cs="Calibri"/>
                <w:bCs w:val="0"/>
                <w:color w:val="000000"/>
                <w:sz w:val="18"/>
                <w:szCs w:val="18"/>
              </w:rPr>
            </w:pPr>
            <w:r w:rsidRPr="00925BB3">
              <w:rPr>
                <w:rFonts w:cs="Calibri"/>
                <w:bCs w:val="0"/>
                <w:color w:val="000000"/>
                <w:sz w:val="18"/>
                <w:szCs w:val="18"/>
              </w:rPr>
              <w:t>41.986,39</w:t>
            </w:r>
          </w:p>
        </w:tc>
      </w:tr>
      <w:tr w:rsidR="00925BB3" w:rsidRPr="00925BB3" w14:paraId="58C57C55" w14:textId="77777777" w:rsidTr="00D50FA0">
        <w:trPr>
          <w:trHeight w:val="315"/>
        </w:trPr>
        <w:tc>
          <w:tcPr>
            <w:tcW w:w="3300" w:type="dxa"/>
            <w:tcBorders>
              <w:top w:val="nil"/>
              <w:left w:val="single" w:sz="4" w:space="0" w:color="000000"/>
              <w:bottom w:val="single" w:sz="4" w:space="0" w:color="000000"/>
              <w:right w:val="single" w:sz="4" w:space="0" w:color="000000"/>
            </w:tcBorders>
            <w:noWrap/>
            <w:vAlign w:val="bottom"/>
            <w:hideMark/>
          </w:tcPr>
          <w:p w14:paraId="2F73F2A0" w14:textId="77777777" w:rsidR="00925BB3" w:rsidRPr="00925BB3" w:rsidRDefault="00925BB3" w:rsidP="00925BB3">
            <w:pPr>
              <w:spacing w:after="0" w:line="240" w:lineRule="auto"/>
              <w:ind w:left="0" w:right="0"/>
              <w:jc w:val="left"/>
              <w:rPr>
                <w:rFonts w:cs="Arial CE"/>
                <w:bCs w:val="0"/>
                <w:color w:val="000000"/>
                <w:sz w:val="18"/>
                <w:szCs w:val="18"/>
              </w:rPr>
            </w:pPr>
            <w:r w:rsidRPr="00925BB3">
              <w:rPr>
                <w:rFonts w:cs="Arial CE"/>
                <w:bCs w:val="0"/>
                <w:color w:val="000000"/>
                <w:sz w:val="18"/>
                <w:szCs w:val="18"/>
              </w:rPr>
              <w:t>25 - KS GRADIŠČE</w:t>
            </w:r>
          </w:p>
        </w:tc>
        <w:tc>
          <w:tcPr>
            <w:tcW w:w="3079" w:type="dxa"/>
            <w:tcBorders>
              <w:top w:val="nil"/>
              <w:left w:val="single" w:sz="4" w:space="0" w:color="000000"/>
              <w:bottom w:val="single" w:sz="4" w:space="0" w:color="000000"/>
              <w:right w:val="single" w:sz="4" w:space="0" w:color="000000"/>
            </w:tcBorders>
            <w:noWrap/>
            <w:vAlign w:val="bottom"/>
            <w:hideMark/>
          </w:tcPr>
          <w:p w14:paraId="0E2FBF2B" w14:textId="77777777" w:rsidR="00925BB3" w:rsidRPr="00925BB3" w:rsidRDefault="00925BB3" w:rsidP="00925BB3">
            <w:pPr>
              <w:spacing w:after="0" w:line="240" w:lineRule="auto"/>
              <w:ind w:left="0" w:right="0"/>
              <w:jc w:val="right"/>
              <w:rPr>
                <w:rFonts w:cs="Calibri"/>
                <w:bCs w:val="0"/>
                <w:color w:val="000000"/>
                <w:sz w:val="18"/>
                <w:szCs w:val="18"/>
              </w:rPr>
            </w:pPr>
            <w:r w:rsidRPr="00925BB3">
              <w:rPr>
                <w:rFonts w:cs="Calibri"/>
                <w:bCs w:val="0"/>
                <w:color w:val="000000"/>
                <w:sz w:val="18"/>
                <w:szCs w:val="18"/>
              </w:rPr>
              <w:t>7.780,69</w:t>
            </w:r>
          </w:p>
        </w:tc>
      </w:tr>
      <w:tr w:rsidR="00925BB3" w:rsidRPr="00925BB3" w14:paraId="372A3C41" w14:textId="77777777" w:rsidTr="00D50FA0">
        <w:trPr>
          <w:trHeight w:val="315"/>
        </w:trPr>
        <w:tc>
          <w:tcPr>
            <w:tcW w:w="3300" w:type="dxa"/>
            <w:tcBorders>
              <w:top w:val="nil"/>
              <w:left w:val="single" w:sz="4" w:space="0" w:color="000000"/>
              <w:bottom w:val="single" w:sz="4" w:space="0" w:color="000000"/>
              <w:right w:val="single" w:sz="4" w:space="0" w:color="000000"/>
            </w:tcBorders>
            <w:noWrap/>
            <w:vAlign w:val="bottom"/>
            <w:hideMark/>
          </w:tcPr>
          <w:p w14:paraId="2B3FAD0F" w14:textId="77777777" w:rsidR="00925BB3" w:rsidRPr="00925BB3" w:rsidRDefault="00925BB3" w:rsidP="00925BB3">
            <w:pPr>
              <w:spacing w:after="0" w:line="240" w:lineRule="auto"/>
              <w:ind w:left="0" w:right="0"/>
              <w:jc w:val="left"/>
              <w:rPr>
                <w:rFonts w:cs="Arial CE"/>
                <w:bCs w:val="0"/>
                <w:color w:val="000000"/>
                <w:sz w:val="18"/>
                <w:szCs w:val="18"/>
              </w:rPr>
            </w:pPr>
            <w:r w:rsidRPr="00925BB3">
              <w:rPr>
                <w:rFonts w:cs="Arial CE"/>
                <w:bCs w:val="0"/>
                <w:color w:val="000000"/>
                <w:sz w:val="18"/>
                <w:szCs w:val="18"/>
              </w:rPr>
              <w:t>26 - KS GRGAR</w:t>
            </w:r>
          </w:p>
        </w:tc>
        <w:tc>
          <w:tcPr>
            <w:tcW w:w="3079" w:type="dxa"/>
            <w:tcBorders>
              <w:top w:val="nil"/>
              <w:left w:val="single" w:sz="4" w:space="0" w:color="000000"/>
              <w:bottom w:val="single" w:sz="4" w:space="0" w:color="000000"/>
              <w:right w:val="single" w:sz="4" w:space="0" w:color="000000"/>
            </w:tcBorders>
            <w:noWrap/>
            <w:vAlign w:val="bottom"/>
            <w:hideMark/>
          </w:tcPr>
          <w:p w14:paraId="44DEECAB" w14:textId="77777777" w:rsidR="00925BB3" w:rsidRPr="00925BB3" w:rsidRDefault="00925BB3" w:rsidP="00925BB3">
            <w:pPr>
              <w:spacing w:after="0" w:line="240" w:lineRule="auto"/>
              <w:ind w:left="0" w:right="0"/>
              <w:jc w:val="right"/>
              <w:rPr>
                <w:rFonts w:cs="Calibri"/>
                <w:bCs w:val="0"/>
                <w:color w:val="000000"/>
                <w:sz w:val="18"/>
                <w:szCs w:val="18"/>
              </w:rPr>
            </w:pPr>
            <w:r w:rsidRPr="00925BB3">
              <w:rPr>
                <w:rFonts w:cs="Calibri"/>
                <w:bCs w:val="0"/>
                <w:color w:val="000000"/>
                <w:sz w:val="18"/>
                <w:szCs w:val="18"/>
              </w:rPr>
              <w:t>66.971,48</w:t>
            </w:r>
          </w:p>
        </w:tc>
      </w:tr>
      <w:tr w:rsidR="00925BB3" w:rsidRPr="00925BB3" w14:paraId="7AF4CA6F" w14:textId="77777777" w:rsidTr="00D50FA0">
        <w:trPr>
          <w:trHeight w:val="315"/>
        </w:trPr>
        <w:tc>
          <w:tcPr>
            <w:tcW w:w="3300" w:type="dxa"/>
            <w:tcBorders>
              <w:top w:val="nil"/>
              <w:left w:val="single" w:sz="4" w:space="0" w:color="000000"/>
              <w:bottom w:val="single" w:sz="4" w:space="0" w:color="000000"/>
              <w:right w:val="single" w:sz="4" w:space="0" w:color="000000"/>
            </w:tcBorders>
            <w:noWrap/>
            <w:vAlign w:val="bottom"/>
            <w:hideMark/>
          </w:tcPr>
          <w:p w14:paraId="6A56652C" w14:textId="77777777" w:rsidR="00925BB3" w:rsidRPr="00925BB3" w:rsidRDefault="00925BB3" w:rsidP="00925BB3">
            <w:pPr>
              <w:spacing w:after="0" w:line="240" w:lineRule="auto"/>
              <w:ind w:left="0" w:right="0"/>
              <w:jc w:val="left"/>
              <w:rPr>
                <w:rFonts w:cs="Arial CE"/>
                <w:bCs w:val="0"/>
                <w:color w:val="000000"/>
                <w:sz w:val="18"/>
                <w:szCs w:val="18"/>
              </w:rPr>
            </w:pPr>
            <w:r w:rsidRPr="00925BB3">
              <w:rPr>
                <w:rFonts w:cs="Arial CE"/>
                <w:bCs w:val="0"/>
                <w:color w:val="000000"/>
                <w:sz w:val="18"/>
                <w:szCs w:val="18"/>
              </w:rPr>
              <w:t>27 - KS GRGARSKE RAVNE</w:t>
            </w:r>
          </w:p>
        </w:tc>
        <w:tc>
          <w:tcPr>
            <w:tcW w:w="3079" w:type="dxa"/>
            <w:tcBorders>
              <w:top w:val="nil"/>
              <w:left w:val="single" w:sz="4" w:space="0" w:color="000000"/>
              <w:bottom w:val="single" w:sz="4" w:space="0" w:color="000000"/>
              <w:right w:val="single" w:sz="4" w:space="0" w:color="000000"/>
            </w:tcBorders>
            <w:noWrap/>
            <w:vAlign w:val="bottom"/>
            <w:hideMark/>
          </w:tcPr>
          <w:p w14:paraId="0F7447D7" w14:textId="77777777" w:rsidR="00925BB3" w:rsidRPr="00925BB3" w:rsidRDefault="00925BB3" w:rsidP="00925BB3">
            <w:pPr>
              <w:spacing w:after="0" w:line="240" w:lineRule="auto"/>
              <w:ind w:left="0" w:right="0"/>
              <w:jc w:val="right"/>
              <w:rPr>
                <w:rFonts w:cs="Calibri"/>
                <w:bCs w:val="0"/>
                <w:color w:val="000000"/>
                <w:sz w:val="18"/>
                <w:szCs w:val="18"/>
              </w:rPr>
            </w:pPr>
            <w:r w:rsidRPr="00925BB3">
              <w:rPr>
                <w:rFonts w:cs="Calibri"/>
                <w:bCs w:val="0"/>
                <w:color w:val="000000"/>
                <w:sz w:val="18"/>
                <w:szCs w:val="18"/>
              </w:rPr>
              <w:t>26.950,40</w:t>
            </w:r>
          </w:p>
        </w:tc>
      </w:tr>
      <w:tr w:rsidR="00925BB3" w:rsidRPr="00925BB3" w14:paraId="4E6A1A1D" w14:textId="77777777" w:rsidTr="00D50FA0">
        <w:trPr>
          <w:trHeight w:val="315"/>
        </w:trPr>
        <w:tc>
          <w:tcPr>
            <w:tcW w:w="3300" w:type="dxa"/>
            <w:tcBorders>
              <w:top w:val="nil"/>
              <w:left w:val="single" w:sz="4" w:space="0" w:color="000000"/>
              <w:bottom w:val="single" w:sz="4" w:space="0" w:color="000000"/>
              <w:right w:val="single" w:sz="4" w:space="0" w:color="000000"/>
            </w:tcBorders>
            <w:noWrap/>
            <w:vAlign w:val="bottom"/>
            <w:hideMark/>
          </w:tcPr>
          <w:p w14:paraId="1C070188" w14:textId="77777777" w:rsidR="00925BB3" w:rsidRPr="00925BB3" w:rsidRDefault="00925BB3" w:rsidP="00925BB3">
            <w:pPr>
              <w:spacing w:after="0" w:line="240" w:lineRule="auto"/>
              <w:ind w:left="0" w:right="0"/>
              <w:jc w:val="left"/>
              <w:rPr>
                <w:rFonts w:cs="Arial CE"/>
                <w:bCs w:val="0"/>
                <w:color w:val="000000"/>
                <w:sz w:val="18"/>
                <w:szCs w:val="18"/>
              </w:rPr>
            </w:pPr>
            <w:r w:rsidRPr="00925BB3">
              <w:rPr>
                <w:rFonts w:cs="Arial CE"/>
                <w:bCs w:val="0"/>
                <w:color w:val="000000"/>
                <w:sz w:val="18"/>
                <w:szCs w:val="18"/>
              </w:rPr>
              <w:t>28 - KS KROMBERK LOKE</w:t>
            </w:r>
          </w:p>
        </w:tc>
        <w:tc>
          <w:tcPr>
            <w:tcW w:w="3079" w:type="dxa"/>
            <w:tcBorders>
              <w:top w:val="nil"/>
              <w:left w:val="single" w:sz="4" w:space="0" w:color="000000"/>
              <w:bottom w:val="single" w:sz="4" w:space="0" w:color="000000"/>
              <w:right w:val="single" w:sz="4" w:space="0" w:color="000000"/>
            </w:tcBorders>
            <w:noWrap/>
            <w:vAlign w:val="bottom"/>
            <w:hideMark/>
          </w:tcPr>
          <w:p w14:paraId="53D285F6" w14:textId="77777777" w:rsidR="00925BB3" w:rsidRPr="00925BB3" w:rsidRDefault="00925BB3" w:rsidP="00925BB3">
            <w:pPr>
              <w:spacing w:after="0" w:line="240" w:lineRule="auto"/>
              <w:ind w:left="0" w:right="0"/>
              <w:jc w:val="right"/>
              <w:rPr>
                <w:rFonts w:cs="Calibri"/>
                <w:bCs w:val="0"/>
                <w:color w:val="000000"/>
                <w:sz w:val="18"/>
                <w:szCs w:val="18"/>
              </w:rPr>
            </w:pPr>
            <w:r w:rsidRPr="00925BB3">
              <w:rPr>
                <w:rFonts w:cs="Calibri"/>
                <w:bCs w:val="0"/>
                <w:color w:val="000000"/>
                <w:sz w:val="18"/>
                <w:szCs w:val="18"/>
              </w:rPr>
              <w:t>47.557,44</w:t>
            </w:r>
          </w:p>
        </w:tc>
      </w:tr>
      <w:tr w:rsidR="00925BB3" w:rsidRPr="00925BB3" w14:paraId="0896AD1A" w14:textId="77777777" w:rsidTr="00D50FA0">
        <w:trPr>
          <w:trHeight w:val="315"/>
        </w:trPr>
        <w:tc>
          <w:tcPr>
            <w:tcW w:w="3300" w:type="dxa"/>
            <w:tcBorders>
              <w:top w:val="nil"/>
              <w:left w:val="single" w:sz="4" w:space="0" w:color="000000"/>
              <w:bottom w:val="single" w:sz="4" w:space="0" w:color="000000"/>
              <w:right w:val="single" w:sz="4" w:space="0" w:color="000000"/>
            </w:tcBorders>
            <w:noWrap/>
            <w:vAlign w:val="bottom"/>
            <w:hideMark/>
          </w:tcPr>
          <w:p w14:paraId="5778AC04" w14:textId="77777777" w:rsidR="00925BB3" w:rsidRPr="00925BB3" w:rsidRDefault="00925BB3" w:rsidP="00925BB3">
            <w:pPr>
              <w:spacing w:after="0" w:line="240" w:lineRule="auto"/>
              <w:ind w:left="0" w:right="0"/>
              <w:jc w:val="left"/>
              <w:rPr>
                <w:rFonts w:cs="Arial CE"/>
                <w:bCs w:val="0"/>
                <w:color w:val="000000"/>
                <w:sz w:val="18"/>
                <w:szCs w:val="18"/>
              </w:rPr>
            </w:pPr>
            <w:r w:rsidRPr="00925BB3">
              <w:rPr>
                <w:rFonts w:cs="Arial CE"/>
                <w:bCs w:val="0"/>
                <w:color w:val="000000"/>
                <w:sz w:val="18"/>
                <w:szCs w:val="18"/>
              </w:rPr>
              <w:t>29 - KS LOKOVEC</w:t>
            </w:r>
          </w:p>
        </w:tc>
        <w:tc>
          <w:tcPr>
            <w:tcW w:w="3079" w:type="dxa"/>
            <w:tcBorders>
              <w:top w:val="nil"/>
              <w:left w:val="single" w:sz="4" w:space="0" w:color="000000"/>
              <w:bottom w:val="single" w:sz="4" w:space="0" w:color="000000"/>
              <w:right w:val="single" w:sz="4" w:space="0" w:color="000000"/>
            </w:tcBorders>
            <w:noWrap/>
            <w:vAlign w:val="bottom"/>
            <w:hideMark/>
          </w:tcPr>
          <w:p w14:paraId="4B6BFB5B" w14:textId="77777777" w:rsidR="00925BB3" w:rsidRPr="00925BB3" w:rsidRDefault="00925BB3" w:rsidP="00925BB3">
            <w:pPr>
              <w:spacing w:after="0" w:line="240" w:lineRule="auto"/>
              <w:ind w:left="0" w:right="0"/>
              <w:jc w:val="right"/>
              <w:rPr>
                <w:rFonts w:cs="Calibri"/>
                <w:bCs w:val="0"/>
                <w:color w:val="000000"/>
                <w:sz w:val="18"/>
                <w:szCs w:val="18"/>
              </w:rPr>
            </w:pPr>
            <w:r w:rsidRPr="00925BB3">
              <w:rPr>
                <w:rFonts w:cs="Calibri"/>
                <w:bCs w:val="0"/>
                <w:color w:val="000000"/>
                <w:sz w:val="18"/>
                <w:szCs w:val="18"/>
              </w:rPr>
              <w:t>26.344,74</w:t>
            </w:r>
          </w:p>
        </w:tc>
      </w:tr>
      <w:tr w:rsidR="00925BB3" w:rsidRPr="00925BB3" w14:paraId="62C14A56" w14:textId="77777777" w:rsidTr="00D50FA0">
        <w:trPr>
          <w:trHeight w:val="315"/>
        </w:trPr>
        <w:tc>
          <w:tcPr>
            <w:tcW w:w="3300" w:type="dxa"/>
            <w:tcBorders>
              <w:top w:val="nil"/>
              <w:left w:val="single" w:sz="4" w:space="0" w:color="000000"/>
              <w:bottom w:val="single" w:sz="4" w:space="0" w:color="000000"/>
              <w:right w:val="single" w:sz="4" w:space="0" w:color="000000"/>
            </w:tcBorders>
            <w:noWrap/>
            <w:vAlign w:val="bottom"/>
            <w:hideMark/>
          </w:tcPr>
          <w:p w14:paraId="177B6629" w14:textId="77777777" w:rsidR="00925BB3" w:rsidRPr="00925BB3" w:rsidRDefault="00925BB3" w:rsidP="00925BB3">
            <w:pPr>
              <w:spacing w:after="0" w:line="240" w:lineRule="auto"/>
              <w:ind w:left="0" w:right="0"/>
              <w:jc w:val="left"/>
              <w:rPr>
                <w:rFonts w:cs="Arial CE"/>
                <w:bCs w:val="0"/>
                <w:color w:val="000000"/>
                <w:sz w:val="18"/>
                <w:szCs w:val="18"/>
              </w:rPr>
            </w:pPr>
            <w:r w:rsidRPr="00925BB3">
              <w:rPr>
                <w:rFonts w:cs="Arial CE"/>
                <w:bCs w:val="0"/>
                <w:color w:val="000000"/>
                <w:sz w:val="18"/>
                <w:szCs w:val="18"/>
              </w:rPr>
              <w:t>30 - KS LOKVE</w:t>
            </w:r>
          </w:p>
        </w:tc>
        <w:tc>
          <w:tcPr>
            <w:tcW w:w="3079" w:type="dxa"/>
            <w:tcBorders>
              <w:top w:val="nil"/>
              <w:left w:val="single" w:sz="4" w:space="0" w:color="000000"/>
              <w:bottom w:val="single" w:sz="4" w:space="0" w:color="000000"/>
              <w:right w:val="single" w:sz="4" w:space="0" w:color="000000"/>
            </w:tcBorders>
            <w:noWrap/>
            <w:vAlign w:val="bottom"/>
            <w:hideMark/>
          </w:tcPr>
          <w:p w14:paraId="740AF0B5" w14:textId="77777777" w:rsidR="00925BB3" w:rsidRPr="00925BB3" w:rsidRDefault="00925BB3" w:rsidP="00925BB3">
            <w:pPr>
              <w:spacing w:after="0" w:line="240" w:lineRule="auto"/>
              <w:ind w:left="0" w:right="0"/>
              <w:jc w:val="right"/>
              <w:rPr>
                <w:rFonts w:cs="Calibri"/>
                <w:bCs w:val="0"/>
                <w:color w:val="000000"/>
                <w:sz w:val="18"/>
                <w:szCs w:val="18"/>
              </w:rPr>
            </w:pPr>
            <w:r w:rsidRPr="00925BB3">
              <w:rPr>
                <w:rFonts w:cs="Calibri"/>
                <w:bCs w:val="0"/>
                <w:color w:val="000000"/>
                <w:sz w:val="18"/>
                <w:szCs w:val="18"/>
              </w:rPr>
              <w:t>52.357,00</w:t>
            </w:r>
          </w:p>
        </w:tc>
      </w:tr>
      <w:tr w:rsidR="00925BB3" w:rsidRPr="00925BB3" w14:paraId="35FEB42E" w14:textId="77777777" w:rsidTr="00D50FA0">
        <w:trPr>
          <w:trHeight w:val="315"/>
        </w:trPr>
        <w:tc>
          <w:tcPr>
            <w:tcW w:w="3300" w:type="dxa"/>
            <w:tcBorders>
              <w:top w:val="nil"/>
              <w:left w:val="single" w:sz="4" w:space="0" w:color="000000"/>
              <w:bottom w:val="single" w:sz="4" w:space="0" w:color="000000"/>
              <w:right w:val="single" w:sz="4" w:space="0" w:color="000000"/>
            </w:tcBorders>
            <w:noWrap/>
            <w:vAlign w:val="bottom"/>
            <w:hideMark/>
          </w:tcPr>
          <w:p w14:paraId="2C4DA560" w14:textId="77777777" w:rsidR="00925BB3" w:rsidRPr="00925BB3" w:rsidRDefault="00925BB3" w:rsidP="00925BB3">
            <w:pPr>
              <w:spacing w:after="0" w:line="240" w:lineRule="auto"/>
              <w:ind w:left="0" w:right="0"/>
              <w:jc w:val="left"/>
              <w:rPr>
                <w:rFonts w:cs="Arial CE"/>
                <w:bCs w:val="0"/>
                <w:color w:val="000000"/>
                <w:sz w:val="18"/>
                <w:szCs w:val="18"/>
              </w:rPr>
            </w:pPr>
            <w:r w:rsidRPr="00925BB3">
              <w:rPr>
                <w:rFonts w:cs="Arial CE"/>
                <w:bCs w:val="0"/>
                <w:color w:val="000000"/>
                <w:sz w:val="18"/>
                <w:szCs w:val="18"/>
              </w:rPr>
              <w:t>31 - KS NOVA GORICA</w:t>
            </w:r>
          </w:p>
        </w:tc>
        <w:tc>
          <w:tcPr>
            <w:tcW w:w="3079" w:type="dxa"/>
            <w:tcBorders>
              <w:top w:val="nil"/>
              <w:left w:val="single" w:sz="4" w:space="0" w:color="000000"/>
              <w:bottom w:val="single" w:sz="4" w:space="0" w:color="000000"/>
              <w:right w:val="single" w:sz="4" w:space="0" w:color="000000"/>
            </w:tcBorders>
            <w:noWrap/>
            <w:vAlign w:val="bottom"/>
            <w:hideMark/>
          </w:tcPr>
          <w:p w14:paraId="39CE2F70" w14:textId="77777777" w:rsidR="00925BB3" w:rsidRPr="00925BB3" w:rsidRDefault="00925BB3" w:rsidP="00925BB3">
            <w:pPr>
              <w:spacing w:after="0" w:line="240" w:lineRule="auto"/>
              <w:ind w:left="0" w:right="0"/>
              <w:jc w:val="right"/>
              <w:rPr>
                <w:rFonts w:cs="Calibri"/>
                <w:bCs w:val="0"/>
                <w:color w:val="000000"/>
                <w:sz w:val="18"/>
                <w:szCs w:val="18"/>
              </w:rPr>
            </w:pPr>
            <w:r w:rsidRPr="00925BB3">
              <w:rPr>
                <w:rFonts w:cs="Calibri"/>
                <w:bCs w:val="0"/>
                <w:color w:val="000000"/>
                <w:sz w:val="18"/>
                <w:szCs w:val="18"/>
              </w:rPr>
              <w:t>170.439,36</w:t>
            </w:r>
          </w:p>
        </w:tc>
      </w:tr>
      <w:tr w:rsidR="00925BB3" w:rsidRPr="00925BB3" w14:paraId="18DF9B97" w14:textId="77777777" w:rsidTr="00D50FA0">
        <w:trPr>
          <w:trHeight w:val="315"/>
        </w:trPr>
        <w:tc>
          <w:tcPr>
            <w:tcW w:w="3300" w:type="dxa"/>
            <w:tcBorders>
              <w:top w:val="nil"/>
              <w:left w:val="single" w:sz="4" w:space="0" w:color="000000"/>
              <w:bottom w:val="single" w:sz="4" w:space="0" w:color="000000"/>
              <w:right w:val="single" w:sz="4" w:space="0" w:color="000000"/>
            </w:tcBorders>
            <w:noWrap/>
            <w:vAlign w:val="bottom"/>
            <w:hideMark/>
          </w:tcPr>
          <w:p w14:paraId="0753100C" w14:textId="77777777" w:rsidR="00925BB3" w:rsidRPr="00925BB3" w:rsidRDefault="00925BB3" w:rsidP="00925BB3">
            <w:pPr>
              <w:spacing w:after="0" w:line="240" w:lineRule="auto"/>
              <w:ind w:left="0" w:right="0"/>
              <w:jc w:val="left"/>
              <w:rPr>
                <w:rFonts w:cs="Arial CE"/>
                <w:bCs w:val="0"/>
                <w:color w:val="000000"/>
                <w:sz w:val="18"/>
                <w:szCs w:val="18"/>
              </w:rPr>
            </w:pPr>
            <w:r w:rsidRPr="00925BB3">
              <w:rPr>
                <w:rFonts w:cs="Arial CE"/>
                <w:bCs w:val="0"/>
                <w:color w:val="000000"/>
                <w:sz w:val="18"/>
                <w:szCs w:val="18"/>
              </w:rPr>
              <w:t>32 - KS OSEK VITOVLJE</w:t>
            </w:r>
          </w:p>
        </w:tc>
        <w:tc>
          <w:tcPr>
            <w:tcW w:w="3079" w:type="dxa"/>
            <w:tcBorders>
              <w:top w:val="nil"/>
              <w:left w:val="single" w:sz="4" w:space="0" w:color="000000"/>
              <w:bottom w:val="single" w:sz="4" w:space="0" w:color="000000"/>
              <w:right w:val="single" w:sz="4" w:space="0" w:color="000000"/>
            </w:tcBorders>
            <w:noWrap/>
            <w:vAlign w:val="bottom"/>
            <w:hideMark/>
          </w:tcPr>
          <w:p w14:paraId="189B4CD7" w14:textId="77777777" w:rsidR="00925BB3" w:rsidRPr="00925BB3" w:rsidRDefault="00925BB3" w:rsidP="00925BB3">
            <w:pPr>
              <w:spacing w:after="0" w:line="240" w:lineRule="auto"/>
              <w:ind w:left="0" w:right="0"/>
              <w:jc w:val="right"/>
              <w:rPr>
                <w:rFonts w:cs="Calibri"/>
                <w:bCs w:val="0"/>
                <w:color w:val="000000"/>
                <w:sz w:val="18"/>
                <w:szCs w:val="18"/>
              </w:rPr>
            </w:pPr>
            <w:r w:rsidRPr="00925BB3">
              <w:rPr>
                <w:rFonts w:cs="Calibri"/>
                <w:bCs w:val="0"/>
                <w:color w:val="000000"/>
                <w:sz w:val="18"/>
                <w:szCs w:val="18"/>
              </w:rPr>
              <w:t>6.212,81</w:t>
            </w:r>
          </w:p>
        </w:tc>
      </w:tr>
      <w:tr w:rsidR="00925BB3" w:rsidRPr="00925BB3" w14:paraId="20DDEFA7" w14:textId="77777777" w:rsidTr="00D50FA0">
        <w:trPr>
          <w:trHeight w:val="315"/>
        </w:trPr>
        <w:tc>
          <w:tcPr>
            <w:tcW w:w="3300" w:type="dxa"/>
            <w:tcBorders>
              <w:top w:val="nil"/>
              <w:left w:val="single" w:sz="4" w:space="0" w:color="000000"/>
              <w:bottom w:val="single" w:sz="4" w:space="0" w:color="000000"/>
              <w:right w:val="single" w:sz="4" w:space="0" w:color="000000"/>
            </w:tcBorders>
            <w:noWrap/>
            <w:vAlign w:val="bottom"/>
            <w:hideMark/>
          </w:tcPr>
          <w:p w14:paraId="5560AE45" w14:textId="77777777" w:rsidR="00925BB3" w:rsidRPr="00925BB3" w:rsidRDefault="00925BB3" w:rsidP="00925BB3">
            <w:pPr>
              <w:spacing w:after="0" w:line="240" w:lineRule="auto"/>
              <w:ind w:left="0" w:right="0"/>
              <w:jc w:val="left"/>
              <w:rPr>
                <w:rFonts w:cs="Arial CE"/>
                <w:bCs w:val="0"/>
                <w:color w:val="000000"/>
                <w:sz w:val="18"/>
                <w:szCs w:val="18"/>
              </w:rPr>
            </w:pPr>
            <w:r w:rsidRPr="00925BB3">
              <w:rPr>
                <w:rFonts w:cs="Arial CE"/>
                <w:bCs w:val="0"/>
                <w:color w:val="000000"/>
                <w:sz w:val="18"/>
                <w:szCs w:val="18"/>
              </w:rPr>
              <w:t>33 - KS OZELJAN</w:t>
            </w:r>
          </w:p>
        </w:tc>
        <w:tc>
          <w:tcPr>
            <w:tcW w:w="3079" w:type="dxa"/>
            <w:tcBorders>
              <w:top w:val="nil"/>
              <w:left w:val="single" w:sz="4" w:space="0" w:color="000000"/>
              <w:bottom w:val="single" w:sz="4" w:space="0" w:color="000000"/>
              <w:right w:val="single" w:sz="4" w:space="0" w:color="000000"/>
            </w:tcBorders>
            <w:noWrap/>
            <w:vAlign w:val="bottom"/>
            <w:hideMark/>
          </w:tcPr>
          <w:p w14:paraId="790A72AA" w14:textId="77777777" w:rsidR="00925BB3" w:rsidRPr="00925BB3" w:rsidRDefault="00925BB3" w:rsidP="00925BB3">
            <w:pPr>
              <w:spacing w:after="0" w:line="240" w:lineRule="auto"/>
              <w:ind w:left="0" w:right="0"/>
              <w:jc w:val="right"/>
              <w:rPr>
                <w:rFonts w:cs="Calibri"/>
                <w:bCs w:val="0"/>
                <w:color w:val="000000"/>
                <w:sz w:val="18"/>
                <w:szCs w:val="18"/>
              </w:rPr>
            </w:pPr>
            <w:r w:rsidRPr="00925BB3">
              <w:rPr>
                <w:rFonts w:cs="Calibri"/>
                <w:bCs w:val="0"/>
                <w:color w:val="000000"/>
                <w:sz w:val="18"/>
                <w:szCs w:val="18"/>
              </w:rPr>
              <w:t>115.056,39</w:t>
            </w:r>
          </w:p>
        </w:tc>
      </w:tr>
      <w:tr w:rsidR="00925BB3" w:rsidRPr="00925BB3" w14:paraId="31242914" w14:textId="77777777" w:rsidTr="00D50FA0">
        <w:trPr>
          <w:trHeight w:val="315"/>
        </w:trPr>
        <w:tc>
          <w:tcPr>
            <w:tcW w:w="3300" w:type="dxa"/>
            <w:tcBorders>
              <w:top w:val="nil"/>
              <w:left w:val="single" w:sz="4" w:space="0" w:color="000000"/>
              <w:bottom w:val="single" w:sz="4" w:space="0" w:color="000000"/>
              <w:right w:val="single" w:sz="4" w:space="0" w:color="000000"/>
            </w:tcBorders>
            <w:noWrap/>
            <w:vAlign w:val="bottom"/>
            <w:hideMark/>
          </w:tcPr>
          <w:p w14:paraId="7D3F91F0" w14:textId="77777777" w:rsidR="00925BB3" w:rsidRPr="00925BB3" w:rsidRDefault="00925BB3" w:rsidP="00925BB3">
            <w:pPr>
              <w:spacing w:after="0" w:line="240" w:lineRule="auto"/>
              <w:ind w:left="0" w:right="0"/>
              <w:jc w:val="left"/>
              <w:rPr>
                <w:rFonts w:cs="Arial CE"/>
                <w:bCs w:val="0"/>
                <w:color w:val="000000"/>
                <w:sz w:val="18"/>
                <w:szCs w:val="18"/>
              </w:rPr>
            </w:pPr>
            <w:r w:rsidRPr="00925BB3">
              <w:rPr>
                <w:rFonts w:cs="Arial CE"/>
                <w:bCs w:val="0"/>
                <w:color w:val="000000"/>
                <w:sz w:val="18"/>
                <w:szCs w:val="18"/>
              </w:rPr>
              <w:t>34 - KS PRVAČINA</w:t>
            </w:r>
          </w:p>
        </w:tc>
        <w:tc>
          <w:tcPr>
            <w:tcW w:w="3079" w:type="dxa"/>
            <w:tcBorders>
              <w:top w:val="nil"/>
              <w:left w:val="single" w:sz="4" w:space="0" w:color="000000"/>
              <w:bottom w:val="single" w:sz="4" w:space="0" w:color="000000"/>
              <w:right w:val="single" w:sz="4" w:space="0" w:color="000000"/>
            </w:tcBorders>
            <w:noWrap/>
            <w:vAlign w:val="bottom"/>
            <w:hideMark/>
          </w:tcPr>
          <w:p w14:paraId="0ACE8DD7" w14:textId="77777777" w:rsidR="00925BB3" w:rsidRPr="00925BB3" w:rsidRDefault="00925BB3" w:rsidP="00925BB3">
            <w:pPr>
              <w:spacing w:after="0" w:line="240" w:lineRule="auto"/>
              <w:ind w:left="0" w:right="0"/>
              <w:jc w:val="right"/>
              <w:rPr>
                <w:rFonts w:cs="Calibri"/>
                <w:bCs w:val="0"/>
                <w:color w:val="000000"/>
                <w:sz w:val="18"/>
                <w:szCs w:val="18"/>
              </w:rPr>
            </w:pPr>
            <w:r w:rsidRPr="00925BB3">
              <w:rPr>
                <w:rFonts w:cs="Calibri"/>
                <w:bCs w:val="0"/>
                <w:color w:val="000000"/>
                <w:sz w:val="18"/>
                <w:szCs w:val="18"/>
              </w:rPr>
              <w:t>52.986,22</w:t>
            </w:r>
          </w:p>
        </w:tc>
      </w:tr>
      <w:tr w:rsidR="00925BB3" w:rsidRPr="00925BB3" w14:paraId="712826AC" w14:textId="77777777" w:rsidTr="00D50FA0">
        <w:trPr>
          <w:trHeight w:val="315"/>
        </w:trPr>
        <w:tc>
          <w:tcPr>
            <w:tcW w:w="3300" w:type="dxa"/>
            <w:tcBorders>
              <w:top w:val="nil"/>
              <w:left w:val="single" w:sz="4" w:space="0" w:color="000000"/>
              <w:bottom w:val="single" w:sz="4" w:space="0" w:color="000000"/>
              <w:right w:val="single" w:sz="4" w:space="0" w:color="000000"/>
            </w:tcBorders>
            <w:noWrap/>
            <w:vAlign w:val="bottom"/>
            <w:hideMark/>
          </w:tcPr>
          <w:p w14:paraId="5348B20A" w14:textId="77777777" w:rsidR="00925BB3" w:rsidRPr="00925BB3" w:rsidRDefault="00925BB3" w:rsidP="00925BB3">
            <w:pPr>
              <w:spacing w:after="0" w:line="240" w:lineRule="auto"/>
              <w:ind w:left="0" w:right="0"/>
              <w:jc w:val="left"/>
              <w:rPr>
                <w:rFonts w:cs="Arial CE"/>
                <w:bCs w:val="0"/>
                <w:color w:val="000000"/>
                <w:sz w:val="18"/>
                <w:szCs w:val="18"/>
              </w:rPr>
            </w:pPr>
            <w:r w:rsidRPr="00925BB3">
              <w:rPr>
                <w:rFonts w:cs="Arial CE"/>
                <w:bCs w:val="0"/>
                <w:color w:val="000000"/>
                <w:sz w:val="18"/>
                <w:szCs w:val="18"/>
              </w:rPr>
              <w:t>35 - KS RAVNICA</w:t>
            </w:r>
          </w:p>
        </w:tc>
        <w:tc>
          <w:tcPr>
            <w:tcW w:w="3079" w:type="dxa"/>
            <w:tcBorders>
              <w:top w:val="nil"/>
              <w:left w:val="single" w:sz="4" w:space="0" w:color="000000"/>
              <w:bottom w:val="single" w:sz="4" w:space="0" w:color="000000"/>
              <w:right w:val="single" w:sz="4" w:space="0" w:color="000000"/>
            </w:tcBorders>
            <w:noWrap/>
            <w:vAlign w:val="bottom"/>
            <w:hideMark/>
          </w:tcPr>
          <w:p w14:paraId="26E3184E" w14:textId="77777777" w:rsidR="00925BB3" w:rsidRPr="00925BB3" w:rsidRDefault="00925BB3" w:rsidP="00925BB3">
            <w:pPr>
              <w:spacing w:after="0" w:line="240" w:lineRule="auto"/>
              <w:ind w:left="0" w:right="0"/>
              <w:jc w:val="right"/>
              <w:rPr>
                <w:rFonts w:cs="Calibri"/>
                <w:bCs w:val="0"/>
                <w:color w:val="000000"/>
                <w:sz w:val="18"/>
                <w:szCs w:val="18"/>
              </w:rPr>
            </w:pPr>
            <w:r w:rsidRPr="00925BB3">
              <w:rPr>
                <w:rFonts w:cs="Calibri"/>
                <w:bCs w:val="0"/>
                <w:color w:val="000000"/>
                <w:sz w:val="18"/>
                <w:szCs w:val="18"/>
              </w:rPr>
              <w:t>16.950,13</w:t>
            </w:r>
          </w:p>
        </w:tc>
      </w:tr>
      <w:tr w:rsidR="00925BB3" w:rsidRPr="00925BB3" w14:paraId="6C5C93EF" w14:textId="77777777" w:rsidTr="00D50FA0">
        <w:trPr>
          <w:trHeight w:val="315"/>
        </w:trPr>
        <w:tc>
          <w:tcPr>
            <w:tcW w:w="3300" w:type="dxa"/>
            <w:tcBorders>
              <w:top w:val="nil"/>
              <w:left w:val="single" w:sz="4" w:space="0" w:color="000000"/>
              <w:bottom w:val="single" w:sz="4" w:space="0" w:color="000000"/>
              <w:right w:val="single" w:sz="4" w:space="0" w:color="000000"/>
            </w:tcBorders>
            <w:noWrap/>
            <w:vAlign w:val="bottom"/>
            <w:hideMark/>
          </w:tcPr>
          <w:p w14:paraId="2C60997C" w14:textId="77777777" w:rsidR="00925BB3" w:rsidRPr="00925BB3" w:rsidRDefault="00925BB3" w:rsidP="00925BB3">
            <w:pPr>
              <w:spacing w:after="0" w:line="240" w:lineRule="auto"/>
              <w:ind w:left="0" w:right="0"/>
              <w:jc w:val="left"/>
              <w:rPr>
                <w:rFonts w:cs="Arial CE"/>
                <w:bCs w:val="0"/>
                <w:color w:val="000000"/>
                <w:sz w:val="18"/>
                <w:szCs w:val="18"/>
              </w:rPr>
            </w:pPr>
            <w:r w:rsidRPr="00925BB3">
              <w:rPr>
                <w:rFonts w:cs="Arial CE"/>
                <w:bCs w:val="0"/>
                <w:color w:val="000000"/>
                <w:sz w:val="18"/>
                <w:szCs w:val="18"/>
              </w:rPr>
              <w:t>36 - KS ROŽNA DOLINA</w:t>
            </w:r>
          </w:p>
        </w:tc>
        <w:tc>
          <w:tcPr>
            <w:tcW w:w="3079" w:type="dxa"/>
            <w:tcBorders>
              <w:top w:val="nil"/>
              <w:left w:val="single" w:sz="4" w:space="0" w:color="000000"/>
              <w:bottom w:val="single" w:sz="4" w:space="0" w:color="000000"/>
              <w:right w:val="single" w:sz="4" w:space="0" w:color="000000"/>
            </w:tcBorders>
            <w:noWrap/>
            <w:vAlign w:val="bottom"/>
            <w:hideMark/>
          </w:tcPr>
          <w:p w14:paraId="10ECED69" w14:textId="77777777" w:rsidR="00925BB3" w:rsidRPr="00925BB3" w:rsidRDefault="00925BB3" w:rsidP="00925BB3">
            <w:pPr>
              <w:spacing w:after="0" w:line="240" w:lineRule="auto"/>
              <w:ind w:left="0" w:right="0"/>
              <w:jc w:val="right"/>
              <w:rPr>
                <w:rFonts w:cs="Calibri"/>
                <w:bCs w:val="0"/>
                <w:color w:val="000000"/>
                <w:sz w:val="18"/>
                <w:szCs w:val="18"/>
              </w:rPr>
            </w:pPr>
            <w:r w:rsidRPr="00925BB3">
              <w:rPr>
                <w:rFonts w:cs="Calibri"/>
                <w:bCs w:val="0"/>
                <w:color w:val="000000"/>
                <w:sz w:val="18"/>
                <w:szCs w:val="18"/>
              </w:rPr>
              <w:t>26.834,82</w:t>
            </w:r>
          </w:p>
        </w:tc>
      </w:tr>
      <w:tr w:rsidR="00925BB3" w:rsidRPr="00925BB3" w14:paraId="3FCB4D32" w14:textId="77777777" w:rsidTr="00D50FA0">
        <w:trPr>
          <w:trHeight w:val="315"/>
        </w:trPr>
        <w:tc>
          <w:tcPr>
            <w:tcW w:w="3300" w:type="dxa"/>
            <w:tcBorders>
              <w:top w:val="nil"/>
              <w:left w:val="single" w:sz="4" w:space="0" w:color="000000"/>
              <w:bottom w:val="single" w:sz="4" w:space="0" w:color="000000"/>
              <w:right w:val="single" w:sz="4" w:space="0" w:color="000000"/>
            </w:tcBorders>
            <w:noWrap/>
            <w:vAlign w:val="bottom"/>
            <w:hideMark/>
          </w:tcPr>
          <w:p w14:paraId="36A419E8" w14:textId="77777777" w:rsidR="00925BB3" w:rsidRPr="00925BB3" w:rsidRDefault="00925BB3" w:rsidP="00925BB3">
            <w:pPr>
              <w:spacing w:after="0" w:line="240" w:lineRule="auto"/>
              <w:ind w:left="0" w:right="0"/>
              <w:jc w:val="left"/>
              <w:rPr>
                <w:rFonts w:cs="Arial CE"/>
                <w:bCs w:val="0"/>
                <w:color w:val="000000"/>
                <w:sz w:val="18"/>
                <w:szCs w:val="18"/>
              </w:rPr>
            </w:pPr>
            <w:r w:rsidRPr="00925BB3">
              <w:rPr>
                <w:rFonts w:cs="Arial CE"/>
                <w:bCs w:val="0"/>
                <w:color w:val="000000"/>
                <w:sz w:val="18"/>
                <w:szCs w:val="18"/>
              </w:rPr>
              <w:t>37 - KS SOLKAN</w:t>
            </w:r>
          </w:p>
        </w:tc>
        <w:tc>
          <w:tcPr>
            <w:tcW w:w="3079" w:type="dxa"/>
            <w:tcBorders>
              <w:top w:val="nil"/>
              <w:left w:val="single" w:sz="4" w:space="0" w:color="000000"/>
              <w:bottom w:val="single" w:sz="4" w:space="0" w:color="000000"/>
              <w:right w:val="single" w:sz="4" w:space="0" w:color="000000"/>
            </w:tcBorders>
            <w:noWrap/>
            <w:vAlign w:val="bottom"/>
            <w:hideMark/>
          </w:tcPr>
          <w:p w14:paraId="5082AA47" w14:textId="77777777" w:rsidR="00925BB3" w:rsidRPr="00925BB3" w:rsidRDefault="00925BB3" w:rsidP="00925BB3">
            <w:pPr>
              <w:spacing w:after="0" w:line="240" w:lineRule="auto"/>
              <w:ind w:left="0" w:right="0"/>
              <w:jc w:val="right"/>
              <w:rPr>
                <w:rFonts w:cs="Calibri"/>
                <w:bCs w:val="0"/>
                <w:color w:val="000000"/>
                <w:sz w:val="18"/>
                <w:szCs w:val="18"/>
              </w:rPr>
            </w:pPr>
            <w:r w:rsidRPr="00925BB3">
              <w:rPr>
                <w:rFonts w:cs="Calibri"/>
                <w:bCs w:val="0"/>
                <w:color w:val="000000"/>
                <w:sz w:val="18"/>
                <w:szCs w:val="18"/>
              </w:rPr>
              <w:t>103.823,09</w:t>
            </w:r>
          </w:p>
        </w:tc>
      </w:tr>
      <w:tr w:rsidR="00925BB3" w:rsidRPr="00925BB3" w14:paraId="3E56BE9D" w14:textId="77777777" w:rsidTr="00D50FA0">
        <w:trPr>
          <w:trHeight w:val="315"/>
        </w:trPr>
        <w:tc>
          <w:tcPr>
            <w:tcW w:w="3300" w:type="dxa"/>
            <w:tcBorders>
              <w:top w:val="nil"/>
              <w:left w:val="single" w:sz="4" w:space="0" w:color="000000"/>
              <w:bottom w:val="single" w:sz="4" w:space="0" w:color="000000"/>
              <w:right w:val="single" w:sz="4" w:space="0" w:color="000000"/>
            </w:tcBorders>
            <w:noWrap/>
            <w:vAlign w:val="bottom"/>
            <w:hideMark/>
          </w:tcPr>
          <w:p w14:paraId="755D441D" w14:textId="77777777" w:rsidR="00925BB3" w:rsidRPr="00925BB3" w:rsidRDefault="00925BB3" w:rsidP="00925BB3">
            <w:pPr>
              <w:spacing w:after="0" w:line="240" w:lineRule="auto"/>
              <w:ind w:left="0" w:right="0"/>
              <w:jc w:val="left"/>
              <w:rPr>
                <w:rFonts w:cs="Arial CE"/>
                <w:bCs w:val="0"/>
                <w:color w:val="000000"/>
                <w:sz w:val="18"/>
                <w:szCs w:val="18"/>
              </w:rPr>
            </w:pPr>
            <w:r w:rsidRPr="00925BB3">
              <w:rPr>
                <w:rFonts w:cs="Arial CE"/>
                <w:bCs w:val="0"/>
                <w:color w:val="000000"/>
                <w:sz w:val="18"/>
                <w:szCs w:val="18"/>
              </w:rPr>
              <w:t>38 - KS ŠEMPAS</w:t>
            </w:r>
          </w:p>
        </w:tc>
        <w:tc>
          <w:tcPr>
            <w:tcW w:w="3079" w:type="dxa"/>
            <w:tcBorders>
              <w:top w:val="nil"/>
              <w:left w:val="single" w:sz="4" w:space="0" w:color="000000"/>
              <w:bottom w:val="single" w:sz="4" w:space="0" w:color="000000"/>
              <w:right w:val="single" w:sz="4" w:space="0" w:color="000000"/>
            </w:tcBorders>
            <w:noWrap/>
            <w:vAlign w:val="bottom"/>
            <w:hideMark/>
          </w:tcPr>
          <w:p w14:paraId="160AFB48" w14:textId="77777777" w:rsidR="00925BB3" w:rsidRPr="00925BB3" w:rsidRDefault="00925BB3" w:rsidP="00925BB3">
            <w:pPr>
              <w:spacing w:after="0" w:line="240" w:lineRule="auto"/>
              <w:ind w:left="0" w:right="0"/>
              <w:jc w:val="right"/>
              <w:rPr>
                <w:rFonts w:cs="Calibri"/>
                <w:bCs w:val="0"/>
                <w:color w:val="000000"/>
                <w:sz w:val="18"/>
                <w:szCs w:val="18"/>
              </w:rPr>
            </w:pPr>
            <w:r w:rsidRPr="00925BB3">
              <w:rPr>
                <w:rFonts w:cs="Calibri"/>
                <w:bCs w:val="0"/>
                <w:color w:val="000000"/>
                <w:sz w:val="18"/>
                <w:szCs w:val="18"/>
              </w:rPr>
              <w:t>86.577,88</w:t>
            </w:r>
          </w:p>
        </w:tc>
      </w:tr>
      <w:tr w:rsidR="00925BB3" w:rsidRPr="00925BB3" w14:paraId="3DCE5B6E" w14:textId="77777777" w:rsidTr="00D50FA0">
        <w:trPr>
          <w:trHeight w:val="315"/>
        </w:trPr>
        <w:tc>
          <w:tcPr>
            <w:tcW w:w="3300" w:type="dxa"/>
            <w:tcBorders>
              <w:top w:val="nil"/>
              <w:left w:val="single" w:sz="4" w:space="0" w:color="000000"/>
              <w:bottom w:val="single" w:sz="4" w:space="0" w:color="000000"/>
              <w:right w:val="single" w:sz="4" w:space="0" w:color="000000"/>
            </w:tcBorders>
            <w:noWrap/>
            <w:vAlign w:val="bottom"/>
            <w:hideMark/>
          </w:tcPr>
          <w:p w14:paraId="20DB757D" w14:textId="77777777" w:rsidR="00925BB3" w:rsidRPr="00925BB3" w:rsidRDefault="00925BB3" w:rsidP="00925BB3">
            <w:pPr>
              <w:spacing w:after="0" w:line="240" w:lineRule="auto"/>
              <w:ind w:left="0" w:right="0"/>
              <w:jc w:val="left"/>
              <w:rPr>
                <w:rFonts w:cs="Arial CE"/>
                <w:bCs w:val="0"/>
                <w:color w:val="000000"/>
                <w:sz w:val="18"/>
                <w:szCs w:val="18"/>
              </w:rPr>
            </w:pPr>
            <w:r w:rsidRPr="00925BB3">
              <w:rPr>
                <w:rFonts w:cs="Arial CE"/>
                <w:bCs w:val="0"/>
                <w:color w:val="000000"/>
                <w:sz w:val="18"/>
                <w:szCs w:val="18"/>
              </w:rPr>
              <w:t>39 - KS TRNOVO</w:t>
            </w:r>
          </w:p>
        </w:tc>
        <w:tc>
          <w:tcPr>
            <w:tcW w:w="3079" w:type="dxa"/>
            <w:tcBorders>
              <w:top w:val="nil"/>
              <w:left w:val="single" w:sz="4" w:space="0" w:color="000000"/>
              <w:bottom w:val="single" w:sz="4" w:space="0" w:color="000000"/>
              <w:right w:val="single" w:sz="4" w:space="0" w:color="000000"/>
            </w:tcBorders>
            <w:noWrap/>
            <w:vAlign w:val="bottom"/>
            <w:hideMark/>
          </w:tcPr>
          <w:p w14:paraId="1E36F7D5" w14:textId="77777777" w:rsidR="00925BB3" w:rsidRPr="00925BB3" w:rsidRDefault="00925BB3" w:rsidP="00925BB3">
            <w:pPr>
              <w:spacing w:after="0" w:line="240" w:lineRule="auto"/>
              <w:ind w:left="0" w:right="0"/>
              <w:jc w:val="right"/>
              <w:rPr>
                <w:rFonts w:cs="Calibri"/>
                <w:bCs w:val="0"/>
                <w:color w:val="000000"/>
                <w:sz w:val="18"/>
                <w:szCs w:val="18"/>
              </w:rPr>
            </w:pPr>
            <w:r w:rsidRPr="00925BB3">
              <w:rPr>
                <w:rFonts w:cs="Calibri"/>
                <w:bCs w:val="0"/>
                <w:color w:val="000000"/>
                <w:sz w:val="18"/>
                <w:szCs w:val="18"/>
              </w:rPr>
              <w:t>55.845,29</w:t>
            </w:r>
          </w:p>
        </w:tc>
      </w:tr>
      <w:tr w:rsidR="00925BB3" w:rsidRPr="00925BB3" w14:paraId="5A2BA922" w14:textId="77777777" w:rsidTr="00D50FA0">
        <w:trPr>
          <w:trHeight w:val="315"/>
        </w:trPr>
        <w:tc>
          <w:tcPr>
            <w:tcW w:w="3300" w:type="dxa"/>
            <w:tcBorders>
              <w:top w:val="nil"/>
              <w:left w:val="single" w:sz="4" w:space="0" w:color="000000"/>
              <w:bottom w:val="single" w:sz="4" w:space="0" w:color="000000"/>
              <w:right w:val="single" w:sz="4" w:space="0" w:color="000000"/>
            </w:tcBorders>
            <w:noWrap/>
            <w:vAlign w:val="bottom"/>
            <w:hideMark/>
          </w:tcPr>
          <w:p w14:paraId="30965584" w14:textId="77777777" w:rsidR="00925BB3" w:rsidRPr="00925BB3" w:rsidRDefault="00925BB3" w:rsidP="00925BB3">
            <w:pPr>
              <w:spacing w:after="0" w:line="240" w:lineRule="auto"/>
              <w:ind w:left="0" w:right="0"/>
              <w:jc w:val="left"/>
              <w:rPr>
                <w:rFonts w:cs="Arial CE"/>
                <w:b/>
                <w:color w:val="000000"/>
                <w:sz w:val="18"/>
                <w:szCs w:val="18"/>
              </w:rPr>
            </w:pPr>
            <w:r w:rsidRPr="00925BB3">
              <w:rPr>
                <w:rFonts w:cs="Arial CE"/>
                <w:b/>
                <w:color w:val="000000"/>
                <w:sz w:val="18"/>
                <w:szCs w:val="18"/>
              </w:rPr>
              <w:t>Skupaj:</w:t>
            </w:r>
          </w:p>
        </w:tc>
        <w:tc>
          <w:tcPr>
            <w:tcW w:w="3079" w:type="dxa"/>
            <w:tcBorders>
              <w:top w:val="nil"/>
              <w:left w:val="single" w:sz="4" w:space="0" w:color="000000"/>
              <w:bottom w:val="single" w:sz="4" w:space="0" w:color="000000"/>
              <w:right w:val="single" w:sz="4" w:space="0" w:color="000000"/>
            </w:tcBorders>
            <w:noWrap/>
            <w:vAlign w:val="bottom"/>
            <w:hideMark/>
          </w:tcPr>
          <w:p w14:paraId="125B7888" w14:textId="77777777" w:rsidR="00925BB3" w:rsidRPr="00925BB3" w:rsidRDefault="00925BB3" w:rsidP="00925BB3">
            <w:pPr>
              <w:spacing w:after="0" w:line="240" w:lineRule="auto"/>
              <w:ind w:left="0" w:right="0"/>
              <w:jc w:val="right"/>
              <w:rPr>
                <w:rFonts w:cs="Calibri"/>
                <w:b/>
                <w:color w:val="000000"/>
                <w:sz w:val="18"/>
                <w:szCs w:val="18"/>
              </w:rPr>
            </w:pPr>
            <w:r w:rsidRPr="00925BB3">
              <w:rPr>
                <w:rFonts w:cs="Calibri"/>
                <w:b/>
                <w:color w:val="000000"/>
                <w:sz w:val="18"/>
                <w:szCs w:val="18"/>
              </w:rPr>
              <w:t>981.842,34</w:t>
            </w:r>
          </w:p>
        </w:tc>
      </w:tr>
    </w:tbl>
    <w:p w14:paraId="402A56B7" w14:textId="77777777" w:rsidR="00702C71" w:rsidRDefault="00702C71" w:rsidP="00F230C5">
      <w:pPr>
        <w:ind w:left="0"/>
        <w:rPr>
          <w:b/>
          <w:color w:val="2F5496" w:themeColor="accent1" w:themeShade="BF"/>
        </w:rPr>
      </w:pPr>
    </w:p>
    <w:p w14:paraId="1FB49985" w14:textId="77777777" w:rsidR="00204C4F" w:rsidRPr="00204C4F" w:rsidRDefault="00204C4F" w:rsidP="00204C4F">
      <w:r w:rsidRPr="00204C4F">
        <w:t>Zaključni račun je pripravljen v skladu z veljavno zakonodajo in prikazuje dejansko realizacijo proračuna v preteklem letu, zato njegove vsebinske spremembe niso mogoče.</w:t>
      </w:r>
    </w:p>
    <w:p w14:paraId="77B5361E" w14:textId="593C271A" w:rsidR="00106BC4" w:rsidRPr="00106BC4" w:rsidRDefault="00106BC4" w:rsidP="00106BC4">
      <w:pPr>
        <w:rPr>
          <w:b/>
        </w:rPr>
      </w:pPr>
      <w:r w:rsidRPr="00106BC4">
        <w:rPr>
          <w:b/>
        </w:rPr>
        <w:t>Mestnemu svetu Mestne občine Nova Gorica predlagamo, da obravnava predlog Zaključnega računa proračuna Mestne občine Nova Gorica za leto 202</w:t>
      </w:r>
      <w:r>
        <w:rPr>
          <w:b/>
        </w:rPr>
        <w:t>5</w:t>
      </w:r>
      <w:r w:rsidRPr="00106BC4">
        <w:rPr>
          <w:b/>
        </w:rPr>
        <w:t xml:space="preserve"> in ga po obravnavi sprejme.</w:t>
      </w:r>
    </w:p>
    <w:p w14:paraId="0B3F9A3D" w14:textId="0B6E4ED9" w:rsidR="00731380" w:rsidRDefault="00731380" w:rsidP="00380331">
      <w:pPr>
        <w:ind w:left="0"/>
      </w:pPr>
    </w:p>
    <w:p w14:paraId="17465817" w14:textId="77777777" w:rsidR="00A03315" w:rsidRDefault="00A03315" w:rsidP="00A03315">
      <w:pPr>
        <w:pStyle w:val="Podpisoseba"/>
        <w:spacing w:before="0" w:after="0"/>
        <w:ind w:left="709"/>
        <w:rPr>
          <w:bCs w:val="0"/>
        </w:rPr>
      </w:pPr>
      <w:r w:rsidRPr="00110838">
        <w:rPr>
          <w:bCs w:val="0"/>
        </w:rPr>
        <w:t>Pripravil</w:t>
      </w:r>
      <w:r>
        <w:rPr>
          <w:bCs w:val="0"/>
        </w:rPr>
        <w:t>(</w:t>
      </w:r>
      <w:r w:rsidRPr="00110838">
        <w:rPr>
          <w:bCs w:val="0"/>
        </w:rPr>
        <w:t>a</w:t>
      </w:r>
      <w:r>
        <w:rPr>
          <w:bCs w:val="0"/>
        </w:rPr>
        <w:t>)</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14:paraId="5EDE9153" w14:textId="77777777" w:rsidTr="00C818D4">
        <w:tc>
          <w:tcPr>
            <w:tcW w:w="4956" w:type="dxa"/>
          </w:tcPr>
          <w:p w14:paraId="00AE3031" w14:textId="77777777" w:rsidR="00A03315" w:rsidRPr="00E639CC" w:rsidRDefault="00A03315" w:rsidP="00C818D4">
            <w:pPr>
              <w:pStyle w:val="Podpisoseba"/>
              <w:spacing w:before="0" w:after="0"/>
              <w:rPr>
                <w:b/>
                <w:color w:val="FFFFFF" w:themeColor="background1"/>
              </w:rPr>
            </w:pPr>
            <w:r w:rsidRPr="00E639CC">
              <w:rPr>
                <w:b/>
                <w:color w:val="FFFFFF" w:themeColor="background1"/>
              </w:rPr>
              <w:t>Levi podpisnik</w:t>
            </w:r>
          </w:p>
        </w:tc>
        <w:tc>
          <w:tcPr>
            <w:tcW w:w="3549" w:type="dxa"/>
          </w:tcPr>
          <w:p w14:paraId="357B865E" w14:textId="77777777" w:rsidR="00A03315" w:rsidRPr="00E639CC" w:rsidRDefault="00A03315" w:rsidP="00C818D4">
            <w:pPr>
              <w:pStyle w:val="Podpisoseba"/>
              <w:spacing w:before="0" w:after="0"/>
              <w:rPr>
                <w:b/>
                <w:color w:val="FFFFFF" w:themeColor="background1"/>
              </w:rPr>
            </w:pPr>
            <w:r w:rsidRPr="00E639CC">
              <w:rPr>
                <w:b/>
                <w:color w:val="FFFFFF" w:themeColor="background1"/>
              </w:rPr>
              <w:t>Desnik podpisnik</w:t>
            </w:r>
          </w:p>
        </w:tc>
      </w:tr>
      <w:tr w:rsidR="00A03315" w14:paraId="6A2F508B" w14:textId="77777777" w:rsidTr="00C818D4">
        <w:tc>
          <w:tcPr>
            <w:tcW w:w="4956" w:type="dxa"/>
          </w:tcPr>
          <w:p w14:paraId="1B7A05E8" w14:textId="2691946B" w:rsidR="00A03315" w:rsidRPr="00D51EE1" w:rsidRDefault="00D8290A" w:rsidP="00C818D4">
            <w:pPr>
              <w:pStyle w:val="Podpisoseba"/>
              <w:spacing w:before="0" w:after="0"/>
              <w:rPr>
                <w:b/>
                <w:bCs w:val="0"/>
              </w:rPr>
            </w:pPr>
            <w:r>
              <w:rPr>
                <w:b/>
                <w:bCs w:val="0"/>
              </w:rPr>
              <w:t>Mateja Mislej</w:t>
            </w:r>
            <w:r w:rsidR="006B201F">
              <w:rPr>
                <w:b/>
                <w:bCs w:val="0"/>
              </w:rPr>
              <w:t xml:space="preserve"> </w:t>
            </w:r>
          </w:p>
        </w:tc>
        <w:tc>
          <w:tcPr>
            <w:tcW w:w="3549" w:type="dxa"/>
          </w:tcPr>
          <w:p w14:paraId="33414636" w14:textId="64290111" w:rsidR="00A03315" w:rsidRPr="00D51EE1" w:rsidRDefault="00737529" w:rsidP="00C818D4">
            <w:pPr>
              <w:pStyle w:val="Podpisoseba"/>
              <w:spacing w:before="0" w:after="0"/>
              <w:rPr>
                <w:b/>
                <w:bCs w:val="0"/>
              </w:rPr>
            </w:pPr>
            <w:r>
              <w:rPr>
                <w:b/>
                <w:bCs w:val="0"/>
              </w:rPr>
              <w:t>Aleš Markočič</w:t>
            </w:r>
          </w:p>
        </w:tc>
      </w:tr>
      <w:tr w:rsidR="00A03315" w14:paraId="04CA288A" w14:textId="77777777" w:rsidTr="00C818D4">
        <w:tc>
          <w:tcPr>
            <w:tcW w:w="4956" w:type="dxa"/>
          </w:tcPr>
          <w:p w14:paraId="3431D6EA" w14:textId="4446A7B1" w:rsidR="00A03315" w:rsidRPr="00D8290A" w:rsidRDefault="00D8290A" w:rsidP="00C818D4">
            <w:pPr>
              <w:pStyle w:val="Podpisoseba"/>
              <w:spacing w:before="0" w:after="0"/>
              <w:ind w:right="459"/>
            </w:pPr>
            <w:r>
              <w:t>vodja finančno računovodske službe</w:t>
            </w:r>
          </w:p>
        </w:tc>
        <w:tc>
          <w:tcPr>
            <w:tcW w:w="3549" w:type="dxa"/>
          </w:tcPr>
          <w:p w14:paraId="770E907E" w14:textId="65C0AAC5" w:rsidR="00A03315" w:rsidRPr="00E639CC" w:rsidRDefault="00737529" w:rsidP="00C818D4">
            <w:pPr>
              <w:pStyle w:val="Podpisoseba"/>
              <w:spacing w:before="0" w:after="0"/>
              <w:rPr>
                <w:bCs w:val="0"/>
              </w:rPr>
            </w:pPr>
            <w:r>
              <w:rPr>
                <w:bCs w:val="0"/>
              </w:rPr>
              <w:t>direktor občinske uprave</w:t>
            </w:r>
          </w:p>
        </w:tc>
      </w:tr>
    </w:tbl>
    <w:p w14:paraId="3383A950" w14:textId="77777777" w:rsidR="00731380" w:rsidRDefault="00731380" w:rsidP="00352A82"/>
    <w:p w14:paraId="2AB7AAB9" w14:textId="77777777" w:rsidR="00384385" w:rsidRDefault="00384385" w:rsidP="00352A82"/>
    <w:p w14:paraId="77C499FC" w14:textId="77777777" w:rsidR="00384385" w:rsidRDefault="00384385" w:rsidP="00352A82"/>
    <w:p w14:paraId="75B97757" w14:textId="395B0CA5" w:rsidR="00167093" w:rsidRPr="00774DD1" w:rsidRDefault="00167093" w:rsidP="00167093">
      <w:pPr>
        <w:pStyle w:val="gradivo"/>
      </w:pPr>
      <w:r>
        <w:t>Priloga(e)</w:t>
      </w:r>
      <w:r w:rsidRPr="00774DD1">
        <w:t>:</w:t>
      </w:r>
    </w:p>
    <w:p w14:paraId="65D7477A" w14:textId="5A8F5DA5" w:rsidR="00714788" w:rsidRPr="0066085E" w:rsidRDefault="00167093" w:rsidP="00384385">
      <w:pPr>
        <w:pStyle w:val="gradivo"/>
        <w:numPr>
          <w:ilvl w:val="0"/>
          <w:numId w:val="10"/>
        </w:numPr>
      </w:pPr>
      <w:r>
        <w:t>Priloga</w:t>
      </w:r>
      <w:r w:rsidRPr="00774DD1">
        <w:t xml:space="preserve"> 1: </w:t>
      </w:r>
      <w:r w:rsidR="009256DF">
        <w:t>Zaključni račun proračuna Mestne občine Nova Gorica za leto 2025</w:t>
      </w:r>
    </w:p>
    <w:sectPr w:rsidR="00714788" w:rsidRPr="0066085E"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37508" w14:textId="77777777" w:rsidR="00D205A9" w:rsidRDefault="00D205A9" w:rsidP="00352A82">
      <w:r>
        <w:separator/>
      </w:r>
    </w:p>
  </w:endnote>
  <w:endnote w:type="continuationSeparator" w:id="0">
    <w:p w14:paraId="7C9CA0B0" w14:textId="77777777" w:rsidR="00D205A9" w:rsidRDefault="00D205A9"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rPr>
        <w:noProof/>
      </w:rPr>
      <w:drawing>
        <wp:anchor distT="0" distB="0" distL="114300" distR="114300" simplePos="0" relativeHeight="251658243"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rPr>
        <w:noProof/>
      </w:rPr>
      <w:drawing>
        <wp:anchor distT="0" distB="0" distL="114300" distR="114300" simplePos="0" relativeHeight="251658241"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B4BDA" w14:textId="77777777" w:rsidR="00D205A9" w:rsidRDefault="00D205A9" w:rsidP="00352A82">
      <w:r>
        <w:separator/>
      </w:r>
    </w:p>
  </w:footnote>
  <w:footnote w:type="continuationSeparator" w:id="0">
    <w:p w14:paraId="35E98DAB" w14:textId="77777777" w:rsidR="00D205A9" w:rsidRDefault="00D205A9"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rPr>
        <w:noProof/>
      </w:rPr>
      <w:drawing>
        <wp:anchor distT="0" distB="0" distL="114300" distR="114300" simplePos="0" relativeHeight="251658242"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rPr>
        <w:noProof/>
      </w:rPr>
      <w:drawing>
        <wp:anchor distT="0" distB="0" distL="114300" distR="114300" simplePos="0" relativeHeight="251658240" behindDoc="1" locked="0" layoutInCell="1" allowOverlap="1" wp14:anchorId="61A8A9BC" wp14:editId="103535B2">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0990C8E"/>
    <w:multiLevelType w:val="hybridMultilevel"/>
    <w:tmpl w:val="574C53CE"/>
    <w:lvl w:ilvl="0" w:tplc="FECC9E2A">
      <w:numFmt w:val="bullet"/>
      <w:lvlText w:val="-"/>
      <w:lvlJc w:val="left"/>
      <w:pPr>
        <w:ind w:left="420" w:hanging="360"/>
      </w:pPr>
      <w:rPr>
        <w:rFonts w:ascii="Arial" w:eastAsia="Times New Roman" w:hAnsi="Arial" w:cs="Arial" w:hint="default"/>
      </w:rPr>
    </w:lvl>
    <w:lvl w:ilvl="1" w:tplc="04240003">
      <w:start w:val="1"/>
      <w:numFmt w:val="bullet"/>
      <w:lvlText w:val="o"/>
      <w:lvlJc w:val="left"/>
      <w:pPr>
        <w:ind w:left="1140" w:hanging="360"/>
      </w:pPr>
      <w:rPr>
        <w:rFonts w:ascii="Courier New" w:hAnsi="Courier New" w:cs="Courier New" w:hint="default"/>
      </w:rPr>
    </w:lvl>
    <w:lvl w:ilvl="2" w:tplc="04240005">
      <w:start w:val="1"/>
      <w:numFmt w:val="bullet"/>
      <w:lvlText w:val=""/>
      <w:lvlJc w:val="left"/>
      <w:pPr>
        <w:ind w:left="1860" w:hanging="360"/>
      </w:pPr>
      <w:rPr>
        <w:rFonts w:ascii="Wingdings" w:hAnsi="Wingdings" w:hint="default"/>
      </w:rPr>
    </w:lvl>
    <w:lvl w:ilvl="3" w:tplc="04240001">
      <w:start w:val="1"/>
      <w:numFmt w:val="bullet"/>
      <w:lvlText w:val=""/>
      <w:lvlJc w:val="left"/>
      <w:pPr>
        <w:ind w:left="2580" w:hanging="360"/>
      </w:pPr>
      <w:rPr>
        <w:rFonts w:ascii="Symbol" w:hAnsi="Symbol" w:hint="default"/>
      </w:rPr>
    </w:lvl>
    <w:lvl w:ilvl="4" w:tplc="04240003">
      <w:start w:val="1"/>
      <w:numFmt w:val="bullet"/>
      <w:lvlText w:val="o"/>
      <w:lvlJc w:val="left"/>
      <w:pPr>
        <w:ind w:left="3300" w:hanging="360"/>
      </w:pPr>
      <w:rPr>
        <w:rFonts w:ascii="Courier New" w:hAnsi="Courier New" w:cs="Courier New" w:hint="default"/>
      </w:rPr>
    </w:lvl>
    <w:lvl w:ilvl="5" w:tplc="04240005">
      <w:start w:val="1"/>
      <w:numFmt w:val="bullet"/>
      <w:lvlText w:val=""/>
      <w:lvlJc w:val="left"/>
      <w:pPr>
        <w:ind w:left="4020" w:hanging="360"/>
      </w:pPr>
      <w:rPr>
        <w:rFonts w:ascii="Wingdings" w:hAnsi="Wingdings" w:hint="default"/>
      </w:rPr>
    </w:lvl>
    <w:lvl w:ilvl="6" w:tplc="04240001">
      <w:start w:val="1"/>
      <w:numFmt w:val="bullet"/>
      <w:lvlText w:val=""/>
      <w:lvlJc w:val="left"/>
      <w:pPr>
        <w:ind w:left="4740" w:hanging="360"/>
      </w:pPr>
      <w:rPr>
        <w:rFonts w:ascii="Symbol" w:hAnsi="Symbol" w:hint="default"/>
      </w:rPr>
    </w:lvl>
    <w:lvl w:ilvl="7" w:tplc="04240003">
      <w:start w:val="1"/>
      <w:numFmt w:val="bullet"/>
      <w:lvlText w:val="o"/>
      <w:lvlJc w:val="left"/>
      <w:pPr>
        <w:ind w:left="5460" w:hanging="360"/>
      </w:pPr>
      <w:rPr>
        <w:rFonts w:ascii="Courier New" w:hAnsi="Courier New" w:cs="Courier New" w:hint="default"/>
      </w:rPr>
    </w:lvl>
    <w:lvl w:ilvl="8" w:tplc="04240005">
      <w:start w:val="1"/>
      <w:numFmt w:val="bullet"/>
      <w:lvlText w:val=""/>
      <w:lvlJc w:val="left"/>
      <w:pPr>
        <w:ind w:left="6180" w:hanging="360"/>
      </w:pPr>
      <w:rPr>
        <w:rFonts w:ascii="Wingdings" w:hAnsi="Wingdings" w:hint="default"/>
      </w:rPr>
    </w:lvl>
  </w:abstractNum>
  <w:abstractNum w:abstractNumId="2"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6"/>
  </w:num>
  <w:num w:numId="2" w16cid:durableId="1164929981">
    <w:abstractNumId w:val="9"/>
  </w:num>
  <w:num w:numId="3" w16cid:durableId="1314213452">
    <w:abstractNumId w:val="0"/>
  </w:num>
  <w:num w:numId="4" w16cid:durableId="629288842">
    <w:abstractNumId w:val="4"/>
  </w:num>
  <w:num w:numId="5" w16cid:durableId="738939049">
    <w:abstractNumId w:val="8"/>
  </w:num>
  <w:num w:numId="6" w16cid:durableId="1657220828">
    <w:abstractNumId w:val="10"/>
  </w:num>
  <w:num w:numId="7" w16cid:durableId="1256210005">
    <w:abstractNumId w:val="2"/>
  </w:num>
  <w:num w:numId="8" w16cid:durableId="620721476">
    <w:abstractNumId w:val="3"/>
  </w:num>
  <w:num w:numId="9" w16cid:durableId="1223718357">
    <w:abstractNumId w:val="5"/>
  </w:num>
  <w:num w:numId="10" w16cid:durableId="767116328">
    <w:abstractNumId w:val="7"/>
  </w:num>
  <w:num w:numId="11" w16cid:durableId="1999846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47DB"/>
    <w:rsid w:val="000276AB"/>
    <w:rsid w:val="00053B54"/>
    <w:rsid w:val="0005678C"/>
    <w:rsid w:val="00072C8B"/>
    <w:rsid w:val="000807CE"/>
    <w:rsid w:val="0008390E"/>
    <w:rsid w:val="00083CA2"/>
    <w:rsid w:val="000903BA"/>
    <w:rsid w:val="00091678"/>
    <w:rsid w:val="000A4ACD"/>
    <w:rsid w:val="000A7129"/>
    <w:rsid w:val="000B1BF0"/>
    <w:rsid w:val="000B4A5C"/>
    <w:rsid w:val="000B6707"/>
    <w:rsid w:val="000C0FAA"/>
    <w:rsid w:val="000C7BE6"/>
    <w:rsid w:val="000D6C77"/>
    <w:rsid w:val="000E5815"/>
    <w:rsid w:val="000F1357"/>
    <w:rsid w:val="00101B99"/>
    <w:rsid w:val="00103467"/>
    <w:rsid w:val="00106BC4"/>
    <w:rsid w:val="00110838"/>
    <w:rsid w:val="001137D1"/>
    <w:rsid w:val="001268E6"/>
    <w:rsid w:val="00142893"/>
    <w:rsid w:val="00145A3D"/>
    <w:rsid w:val="00147984"/>
    <w:rsid w:val="00167093"/>
    <w:rsid w:val="001732D3"/>
    <w:rsid w:val="00180175"/>
    <w:rsid w:val="0018582A"/>
    <w:rsid w:val="00192B9A"/>
    <w:rsid w:val="001B2389"/>
    <w:rsid w:val="001C491B"/>
    <w:rsid w:val="001C6438"/>
    <w:rsid w:val="001D20DD"/>
    <w:rsid w:val="001D7013"/>
    <w:rsid w:val="001F3B23"/>
    <w:rsid w:val="00204C4F"/>
    <w:rsid w:val="0021416C"/>
    <w:rsid w:val="0022510F"/>
    <w:rsid w:val="00226E0E"/>
    <w:rsid w:val="002349BE"/>
    <w:rsid w:val="002473C7"/>
    <w:rsid w:val="002579A6"/>
    <w:rsid w:val="00283E83"/>
    <w:rsid w:val="0028430E"/>
    <w:rsid w:val="0028622D"/>
    <w:rsid w:val="002B08B0"/>
    <w:rsid w:val="002C428B"/>
    <w:rsid w:val="002E0CE4"/>
    <w:rsid w:val="002E2A31"/>
    <w:rsid w:val="00314A27"/>
    <w:rsid w:val="00316FED"/>
    <w:rsid w:val="00336539"/>
    <w:rsid w:val="00352A82"/>
    <w:rsid w:val="00355F3A"/>
    <w:rsid w:val="0035700F"/>
    <w:rsid w:val="00366240"/>
    <w:rsid w:val="00380331"/>
    <w:rsid w:val="003815F8"/>
    <w:rsid w:val="00384385"/>
    <w:rsid w:val="00393E6F"/>
    <w:rsid w:val="0039457F"/>
    <w:rsid w:val="003A0AE4"/>
    <w:rsid w:val="003A4CDF"/>
    <w:rsid w:val="003B11F7"/>
    <w:rsid w:val="003E2C39"/>
    <w:rsid w:val="003F3284"/>
    <w:rsid w:val="00404A94"/>
    <w:rsid w:val="004055BC"/>
    <w:rsid w:val="004129EE"/>
    <w:rsid w:val="0043510D"/>
    <w:rsid w:val="004415C2"/>
    <w:rsid w:val="00442758"/>
    <w:rsid w:val="00445A64"/>
    <w:rsid w:val="00446EFF"/>
    <w:rsid w:val="00463FA4"/>
    <w:rsid w:val="00484ECE"/>
    <w:rsid w:val="00486063"/>
    <w:rsid w:val="004953C5"/>
    <w:rsid w:val="004A1D8F"/>
    <w:rsid w:val="004B0652"/>
    <w:rsid w:val="004B53C7"/>
    <w:rsid w:val="004C37A8"/>
    <w:rsid w:val="004D28B2"/>
    <w:rsid w:val="004E242E"/>
    <w:rsid w:val="00512AAF"/>
    <w:rsid w:val="005210F0"/>
    <w:rsid w:val="00530051"/>
    <w:rsid w:val="00533BD8"/>
    <w:rsid w:val="005659AC"/>
    <w:rsid w:val="005772B5"/>
    <w:rsid w:val="00581BE7"/>
    <w:rsid w:val="005848C2"/>
    <w:rsid w:val="005D78B5"/>
    <w:rsid w:val="006024A4"/>
    <w:rsid w:val="00616F80"/>
    <w:rsid w:val="0066085E"/>
    <w:rsid w:val="006609E5"/>
    <w:rsid w:val="006620F0"/>
    <w:rsid w:val="00690DFF"/>
    <w:rsid w:val="006B201F"/>
    <w:rsid w:val="006C04B5"/>
    <w:rsid w:val="006D2F20"/>
    <w:rsid w:val="006D4E9E"/>
    <w:rsid w:val="00702C71"/>
    <w:rsid w:val="00710ACE"/>
    <w:rsid w:val="00714788"/>
    <w:rsid w:val="00722FAC"/>
    <w:rsid w:val="00726C21"/>
    <w:rsid w:val="00731380"/>
    <w:rsid w:val="00731D92"/>
    <w:rsid w:val="00734A18"/>
    <w:rsid w:val="00737529"/>
    <w:rsid w:val="007430E2"/>
    <w:rsid w:val="00765478"/>
    <w:rsid w:val="00771B46"/>
    <w:rsid w:val="00774DD1"/>
    <w:rsid w:val="007843A7"/>
    <w:rsid w:val="0079172C"/>
    <w:rsid w:val="00791DB2"/>
    <w:rsid w:val="00793022"/>
    <w:rsid w:val="00793081"/>
    <w:rsid w:val="00796028"/>
    <w:rsid w:val="007A081D"/>
    <w:rsid w:val="007A53C1"/>
    <w:rsid w:val="007D08E7"/>
    <w:rsid w:val="007F1CB9"/>
    <w:rsid w:val="00801320"/>
    <w:rsid w:val="00810854"/>
    <w:rsid w:val="0085162D"/>
    <w:rsid w:val="008702DD"/>
    <w:rsid w:val="00873CAB"/>
    <w:rsid w:val="008759F5"/>
    <w:rsid w:val="00876FA4"/>
    <w:rsid w:val="008802E3"/>
    <w:rsid w:val="008821D4"/>
    <w:rsid w:val="00882400"/>
    <w:rsid w:val="00885A16"/>
    <w:rsid w:val="008A02C1"/>
    <w:rsid w:val="008B4232"/>
    <w:rsid w:val="008B4895"/>
    <w:rsid w:val="008D3181"/>
    <w:rsid w:val="008F0EA0"/>
    <w:rsid w:val="008F21D2"/>
    <w:rsid w:val="008F4D03"/>
    <w:rsid w:val="008F5DCA"/>
    <w:rsid w:val="00903F75"/>
    <w:rsid w:val="009060A3"/>
    <w:rsid w:val="00923A6E"/>
    <w:rsid w:val="009256DF"/>
    <w:rsid w:val="00925BB3"/>
    <w:rsid w:val="009378A6"/>
    <w:rsid w:val="00964AD4"/>
    <w:rsid w:val="009914DB"/>
    <w:rsid w:val="009B0B9A"/>
    <w:rsid w:val="009B227A"/>
    <w:rsid w:val="009F0BC5"/>
    <w:rsid w:val="009F558B"/>
    <w:rsid w:val="00A00E06"/>
    <w:rsid w:val="00A03315"/>
    <w:rsid w:val="00A047D0"/>
    <w:rsid w:val="00A44DFE"/>
    <w:rsid w:val="00A7398A"/>
    <w:rsid w:val="00A77254"/>
    <w:rsid w:val="00A83C92"/>
    <w:rsid w:val="00A854E3"/>
    <w:rsid w:val="00A9127C"/>
    <w:rsid w:val="00A9136F"/>
    <w:rsid w:val="00A95A58"/>
    <w:rsid w:val="00AA4BFD"/>
    <w:rsid w:val="00AC71BC"/>
    <w:rsid w:val="00AE30B1"/>
    <w:rsid w:val="00AF1399"/>
    <w:rsid w:val="00B31435"/>
    <w:rsid w:val="00B56F03"/>
    <w:rsid w:val="00B735F3"/>
    <w:rsid w:val="00B82ACB"/>
    <w:rsid w:val="00B92E80"/>
    <w:rsid w:val="00BA11F1"/>
    <w:rsid w:val="00BC04B3"/>
    <w:rsid w:val="00BD68A1"/>
    <w:rsid w:val="00BE3E50"/>
    <w:rsid w:val="00BE5B70"/>
    <w:rsid w:val="00BE6048"/>
    <w:rsid w:val="00C10614"/>
    <w:rsid w:val="00C2552D"/>
    <w:rsid w:val="00C33EEB"/>
    <w:rsid w:val="00C556CD"/>
    <w:rsid w:val="00C7627D"/>
    <w:rsid w:val="00C83630"/>
    <w:rsid w:val="00C84353"/>
    <w:rsid w:val="00C973E8"/>
    <w:rsid w:val="00CB1EB6"/>
    <w:rsid w:val="00CC3F17"/>
    <w:rsid w:val="00CD0869"/>
    <w:rsid w:val="00CF0B4F"/>
    <w:rsid w:val="00CF2AFF"/>
    <w:rsid w:val="00D15483"/>
    <w:rsid w:val="00D205A9"/>
    <w:rsid w:val="00D36305"/>
    <w:rsid w:val="00D41534"/>
    <w:rsid w:val="00D50FA0"/>
    <w:rsid w:val="00D51EE1"/>
    <w:rsid w:val="00D61713"/>
    <w:rsid w:val="00D620EA"/>
    <w:rsid w:val="00D62DA1"/>
    <w:rsid w:val="00D67D64"/>
    <w:rsid w:val="00D81991"/>
    <w:rsid w:val="00D8290A"/>
    <w:rsid w:val="00D829D0"/>
    <w:rsid w:val="00DA69BC"/>
    <w:rsid w:val="00DD550C"/>
    <w:rsid w:val="00DE7B81"/>
    <w:rsid w:val="00DF4CDD"/>
    <w:rsid w:val="00E000ED"/>
    <w:rsid w:val="00E16371"/>
    <w:rsid w:val="00E217AD"/>
    <w:rsid w:val="00E40748"/>
    <w:rsid w:val="00E40EAA"/>
    <w:rsid w:val="00E418AB"/>
    <w:rsid w:val="00E47D34"/>
    <w:rsid w:val="00E57102"/>
    <w:rsid w:val="00E639CC"/>
    <w:rsid w:val="00E72368"/>
    <w:rsid w:val="00E742A3"/>
    <w:rsid w:val="00E876FD"/>
    <w:rsid w:val="00E90FBB"/>
    <w:rsid w:val="00EB64A2"/>
    <w:rsid w:val="00ED7977"/>
    <w:rsid w:val="00EE5DDF"/>
    <w:rsid w:val="00EE6DE4"/>
    <w:rsid w:val="00EF3FD5"/>
    <w:rsid w:val="00F00FC5"/>
    <w:rsid w:val="00F12361"/>
    <w:rsid w:val="00F21916"/>
    <w:rsid w:val="00F230C5"/>
    <w:rsid w:val="00F24C66"/>
    <w:rsid w:val="00F27F42"/>
    <w:rsid w:val="00F358AC"/>
    <w:rsid w:val="00F40810"/>
    <w:rsid w:val="00F4231E"/>
    <w:rsid w:val="00F811AF"/>
    <w:rsid w:val="00F85E9E"/>
    <w:rsid w:val="00FB7287"/>
    <w:rsid w:val="00FE2173"/>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Telobesedila">
    <w:name w:val="Body Text"/>
    <w:basedOn w:val="Navaden"/>
    <w:link w:val="TelobesedilaZnak"/>
    <w:uiPriority w:val="99"/>
    <w:semiHidden/>
    <w:unhideWhenUsed/>
    <w:rsid w:val="00404A94"/>
    <w:pPr>
      <w:spacing w:after="120"/>
    </w:pPr>
  </w:style>
  <w:style w:type="character" w:customStyle="1" w:styleId="TelobesedilaZnak">
    <w:name w:val="Telo besedila Znak"/>
    <w:basedOn w:val="Privzetapisavaodstavka"/>
    <w:link w:val="Telobesedila"/>
    <w:uiPriority w:val="99"/>
    <w:semiHidden/>
    <w:rsid w:val="00404A94"/>
    <w:rPr>
      <w:rFonts w:ascii="Verdana" w:eastAsia="Times New Roman" w:hAnsi="Verdana" w:cs="Arial"/>
      <w:bCs/>
      <w:sz w:val="20"/>
      <w:szCs w:val="20"/>
      <w:lang w:eastAsia="sl-SI"/>
    </w:rPr>
  </w:style>
  <w:style w:type="paragraph" w:styleId="Revizija">
    <w:name w:val="Revision"/>
    <w:hidden/>
    <w:uiPriority w:val="99"/>
    <w:semiHidden/>
    <w:rsid w:val="00801320"/>
    <w:pPr>
      <w:spacing w:after="0" w:line="240" w:lineRule="auto"/>
    </w:pPr>
    <w:rPr>
      <w:rFonts w:ascii="Verdana" w:eastAsia="Times New Roman" w:hAnsi="Verdana" w:cs="Arial"/>
      <w:bCs/>
      <w:sz w:val="20"/>
      <w:szCs w:val="20"/>
      <w:lang w:eastAsia="sl-SI"/>
    </w:rPr>
  </w:style>
  <w:style w:type="character" w:styleId="Pripombasklic">
    <w:name w:val="annotation reference"/>
    <w:basedOn w:val="Privzetapisavaodstavka"/>
    <w:uiPriority w:val="99"/>
    <w:semiHidden/>
    <w:unhideWhenUsed/>
    <w:rsid w:val="004D28B2"/>
    <w:rPr>
      <w:sz w:val="16"/>
      <w:szCs w:val="16"/>
    </w:rPr>
  </w:style>
  <w:style w:type="paragraph" w:styleId="Pripombabesedilo">
    <w:name w:val="annotation text"/>
    <w:basedOn w:val="Navaden"/>
    <w:link w:val="PripombabesediloZnak"/>
    <w:uiPriority w:val="99"/>
    <w:unhideWhenUsed/>
    <w:rsid w:val="004D28B2"/>
    <w:pPr>
      <w:spacing w:line="240" w:lineRule="auto"/>
    </w:pPr>
  </w:style>
  <w:style w:type="character" w:customStyle="1" w:styleId="PripombabesediloZnak">
    <w:name w:val="Pripomba – besedilo Znak"/>
    <w:basedOn w:val="Privzetapisavaodstavka"/>
    <w:link w:val="Pripombabesedilo"/>
    <w:uiPriority w:val="99"/>
    <w:rsid w:val="004D28B2"/>
    <w:rPr>
      <w:rFonts w:ascii="Verdana" w:eastAsia="Times New Roman" w:hAnsi="Verdana" w:cs="Arial"/>
      <w:bCs/>
      <w:sz w:val="20"/>
      <w:szCs w:val="20"/>
      <w:lang w:eastAsia="sl-SI"/>
    </w:rPr>
  </w:style>
  <w:style w:type="paragraph" w:styleId="Zadevapripombe">
    <w:name w:val="annotation subject"/>
    <w:basedOn w:val="Pripombabesedilo"/>
    <w:next w:val="Pripombabesedilo"/>
    <w:link w:val="ZadevapripombeZnak"/>
    <w:uiPriority w:val="99"/>
    <w:semiHidden/>
    <w:unhideWhenUsed/>
    <w:rsid w:val="004D28B2"/>
    <w:rPr>
      <w:b/>
    </w:rPr>
  </w:style>
  <w:style w:type="character" w:customStyle="1" w:styleId="ZadevapripombeZnak">
    <w:name w:val="Zadeva pripombe Znak"/>
    <w:basedOn w:val="PripombabesediloZnak"/>
    <w:link w:val="Zadevapripombe"/>
    <w:uiPriority w:val="99"/>
    <w:semiHidden/>
    <w:rsid w:val="004D28B2"/>
    <w:rPr>
      <w:rFonts w:ascii="Verdana" w:eastAsia="Times New Roman" w:hAnsi="Verdana" w:cs="Arial"/>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uradni-list.si/glasilo-uradni-list-rs/vsebina/2013-21-0433" TargetMode="External"/><Relationship Id="rId26" Type="http://schemas.openxmlformats.org/officeDocument/2006/relationships/hyperlink" Target="https://www.uradni-list.si/glasilo-uradni-list-rs/vsebina/2025-01-0860" TargetMode="External"/><Relationship Id="rId3" Type="http://schemas.openxmlformats.org/officeDocument/2006/relationships/customXml" Target="../customXml/item3.xml"/><Relationship Id="rId21" Type="http://schemas.openxmlformats.org/officeDocument/2006/relationships/hyperlink" Target="https://www.uradni-list.si/glasilo-uradni-list-rs/vsebina/2015-01-3772"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uradni-list.si/glasilo-uradni-list-rs/vsebina/2011-01-0449" TargetMode="External"/><Relationship Id="rId25" Type="http://schemas.openxmlformats.org/officeDocument/2006/relationships/hyperlink" Target="https://www.uradni-list.si/glasilo-uradni-list-rs/vsebina/2023-01-2386"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uradni-list.si/glasilo-uradni-list-rs/vsebina/2015-01-2277" TargetMode="External"/><Relationship Id="rId29" Type="http://schemas.openxmlformats.org/officeDocument/2006/relationships/hyperlink" Target="https://www.uradni-list.si/glasilo-uradni-list-rs/vsebina/2025-01-398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uradni-list.si/glasilo-uradni-list-rs/vsebina/2023-01-0348"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uradni-list.si/glasilo-uradni-list-rs/vsebina/2020-01-3501" TargetMode="External"/><Relationship Id="rId28" Type="http://schemas.openxmlformats.org/officeDocument/2006/relationships/hyperlink" Target="https://www.uradni-list.si/glasilo-uradni-list-rs/vsebina/2025-01-3030" TargetMode="External"/><Relationship Id="rId10" Type="http://schemas.openxmlformats.org/officeDocument/2006/relationships/endnotes" Target="endnotes.xml"/><Relationship Id="rId19" Type="http://schemas.openxmlformats.org/officeDocument/2006/relationships/hyperlink" Target="https://www.uradni-list.si/glasilo-uradni-list-rs/vsebina/2013-01-3677" TargetMode="External"/><Relationship Id="rId31"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uradni-list.si/glasilo-uradni-list-rs/vsebina/2018-01-0544" TargetMode="External"/><Relationship Id="rId27" Type="http://schemas.openxmlformats.org/officeDocument/2006/relationships/hyperlink" Target="https://www.uradni-list.si/glasilo-uradni-list-rs/vsebina/2025-01-1479" TargetMode="External"/><Relationship Id="rId30" Type="http://schemas.openxmlformats.org/officeDocument/2006/relationships/chart" Target="charts/chart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cat>
            <c:strRef>
              <c:f>'[proračun_predloga_tmp1]Proračun spl. del'!$F$9:$F$46</c:f>
              <c:strCache>
                <c:ptCount val="6"/>
                <c:pt idx="0">
                  <c:v>DAVČNI PRIHODKI  (700+703+704+706)     </c:v>
                </c:pt>
                <c:pt idx="1">
                  <c:v>NEDAVČNI  PRIHODKI  (710+711+712+713+714)</c:v>
                </c:pt>
                <c:pt idx="2">
                  <c:v>KAPITALSKI PRIHODKI  (720+721+722)</c:v>
                </c:pt>
                <c:pt idx="3">
                  <c:v>PREJETE DONACIJE  (730+731)</c:v>
                </c:pt>
                <c:pt idx="4">
                  <c:v>TRANSFERNI PRIHODKI  (740+741)   </c:v>
                </c:pt>
                <c:pt idx="5">
                  <c:v>PREJETA SREDSTVA IZ EVROPSKE UNIJE  (786+787)</c:v>
                </c:pt>
              </c:strCache>
            </c:strRef>
          </c:cat>
          <c:val>
            <c:numRef>
              <c:f>'[proračun_predloga_tmp1]Proračun spl. del'!$G$9:$G$46</c:f>
            </c:numRef>
          </c:val>
          <c:extLst>
            <c:ext xmlns:c16="http://schemas.microsoft.com/office/drawing/2014/chart" uri="{C3380CC4-5D6E-409C-BE32-E72D297353CC}">
              <c16:uniqueId val="{00000000-8396-40FF-A654-3092BDF33A5E}"/>
            </c:ext>
          </c:extLst>
        </c:ser>
        <c:ser>
          <c:idx val="1"/>
          <c:order val="1"/>
          <c:dPt>
            <c:idx val="0"/>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2-8396-40FF-A654-3092BDF33A5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4-8396-40FF-A654-3092BDF33A5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6-8396-40FF-A654-3092BDF33A5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8-8396-40FF-A654-3092BDF33A5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A-8396-40FF-A654-3092BDF33A5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C-8396-40FF-A654-3092BDF33A5E}"/>
              </c:ext>
            </c:extLst>
          </c:dPt>
          <c:dLbls>
            <c:spPr>
              <a:noFill/>
              <a:ln>
                <a:noFill/>
              </a:ln>
              <a:effectLst/>
            </c:spPr>
            <c:txPr>
              <a:bodyPr rot="0" spcFirstLastPara="1" vertOverflow="ellipsis" vert="horz" wrap="square" anchor="ctr" anchorCtr="1"/>
              <a:lstStyle/>
              <a:p>
                <a:pPr>
                  <a:defRPr sz="700" b="1"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mn-cs"/>
                  </a:defRPr>
                </a:pPr>
                <a:endParaRPr lang="sl-SI"/>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'[proračun_predloga_tmp1]Proračun spl. del'!$F$9:$F$46</c:f>
              <c:strCache>
                <c:ptCount val="6"/>
                <c:pt idx="0">
                  <c:v>DAVČNI PRIHODKI  (700+703+704+706)     </c:v>
                </c:pt>
                <c:pt idx="1">
                  <c:v>NEDAVČNI  PRIHODKI  (710+711+712+713+714)</c:v>
                </c:pt>
                <c:pt idx="2">
                  <c:v>KAPITALSKI PRIHODKI  (720+721+722)</c:v>
                </c:pt>
                <c:pt idx="3">
                  <c:v>PREJETE DONACIJE  (730+731)</c:v>
                </c:pt>
                <c:pt idx="4">
                  <c:v>TRANSFERNI PRIHODKI  (740+741)   </c:v>
                </c:pt>
                <c:pt idx="5">
                  <c:v>PREJETA SREDSTVA IZ EVROPSKE UNIJE  (786+787)</c:v>
                </c:pt>
              </c:strCache>
            </c:strRef>
          </c:cat>
          <c:val>
            <c:numRef>
              <c:f>'[proračun_predloga_tmp1]Proračun spl. del'!$H$9:$H$46</c:f>
              <c:numCache>
                <c:formatCode>0.00%</c:formatCode>
                <c:ptCount val="6"/>
                <c:pt idx="0">
                  <c:v>0.52480038902826176</c:v>
                </c:pt>
                <c:pt idx="1">
                  <c:v>0.20599149092317529</c:v>
                </c:pt>
                <c:pt idx="2">
                  <c:v>2.2729653638472964E-2</c:v>
                </c:pt>
                <c:pt idx="3">
                  <c:v>4.710980766089691E-4</c:v>
                </c:pt>
                <c:pt idx="4">
                  <c:v>0.24249485601211587</c:v>
                </c:pt>
                <c:pt idx="5">
                  <c:v>3.5125123213651946E-3</c:v>
                </c:pt>
              </c:numCache>
            </c:numRef>
          </c:val>
          <c:extLst>
            <c:ext xmlns:c16="http://schemas.microsoft.com/office/drawing/2014/chart" uri="{C3380CC4-5D6E-409C-BE32-E72D297353CC}">
              <c16:uniqueId val="{0000000D-8396-40FF-A654-3092BDF33A5E}"/>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2.2002454471348076E-2"/>
          <c:y val="0.7501991662806855"/>
          <c:w val="0.9241407110800568"/>
          <c:h val="0.21842828469970665"/>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sl-S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a:latin typeface="Verdana" panose="020B0604030504040204" pitchFamily="34" charset="0"/>
          <a:ea typeface="Verdana" panose="020B0604030504040204" pitchFamily="34" charset="0"/>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cat>
            <c:strRef>
              <c:f>'[proračun_predloga_tmp1]Proračun spl. del'!$C$52:$C$77</c:f>
              <c:strCache>
                <c:ptCount val="4"/>
                <c:pt idx="0">
                  <c:v>TEKOČI ODHODKI  (400+401+402+403+409)</c:v>
                </c:pt>
                <c:pt idx="1">
                  <c:v>TEKOČI TRANSFERI  (410+411+412+413+414)</c:v>
                </c:pt>
                <c:pt idx="2">
                  <c:v>INVESTICIJSKI ODHODKI  (420)</c:v>
                </c:pt>
                <c:pt idx="3">
                  <c:v>INVESTICIJSKI TRANSFERI  (431+432)</c:v>
                </c:pt>
              </c:strCache>
            </c:strRef>
          </c:cat>
          <c:val>
            <c:numRef>
              <c:f>'[proračun_predloga_tmp1]Proračun spl. del'!$D$52:$D$77</c:f>
            </c:numRef>
          </c:val>
          <c:extLst>
            <c:ext xmlns:c16="http://schemas.microsoft.com/office/drawing/2014/chart" uri="{C3380CC4-5D6E-409C-BE32-E72D297353CC}">
              <c16:uniqueId val="{00000000-3134-4EE8-AF4A-86427AA17349}"/>
            </c:ext>
          </c:extLst>
        </c:ser>
        <c:ser>
          <c:idx val="1"/>
          <c:order val="1"/>
          <c:spPr>
            <a:ln>
              <a:solidFill>
                <a:srgbClr val="4472C4">
                  <a:lumMod val="40000"/>
                  <a:lumOff val="60000"/>
                </a:srgbClr>
              </a:solidFill>
            </a:ln>
          </c:spPr>
          <c:dPt>
            <c:idx val="0"/>
            <c:bubble3D val="0"/>
            <c:spPr>
              <a:solidFill>
                <a:srgbClr val="FFC000">
                  <a:lumMod val="60000"/>
                  <a:lumOff val="40000"/>
                </a:srgbClr>
              </a:solidFill>
              <a:ln w="19050">
                <a:solidFill>
                  <a:srgbClr val="4472C4">
                    <a:lumMod val="40000"/>
                    <a:lumOff val="60000"/>
                  </a:srgbClr>
                </a:solidFill>
              </a:ln>
              <a:effectLst/>
            </c:spPr>
            <c:extLst>
              <c:ext xmlns:c16="http://schemas.microsoft.com/office/drawing/2014/chart" uri="{C3380CC4-5D6E-409C-BE32-E72D297353CC}">
                <c16:uniqueId val="{00000002-3134-4EE8-AF4A-86427AA17349}"/>
              </c:ext>
            </c:extLst>
          </c:dPt>
          <c:dPt>
            <c:idx val="1"/>
            <c:bubble3D val="0"/>
            <c:spPr>
              <a:solidFill>
                <a:schemeClr val="accent2"/>
              </a:solidFill>
              <a:ln w="19050">
                <a:solidFill>
                  <a:srgbClr val="4472C4">
                    <a:lumMod val="40000"/>
                    <a:lumOff val="60000"/>
                  </a:srgbClr>
                </a:solidFill>
              </a:ln>
              <a:effectLst/>
            </c:spPr>
            <c:extLst>
              <c:ext xmlns:c16="http://schemas.microsoft.com/office/drawing/2014/chart" uri="{C3380CC4-5D6E-409C-BE32-E72D297353CC}">
                <c16:uniqueId val="{00000004-3134-4EE8-AF4A-86427AA17349}"/>
              </c:ext>
            </c:extLst>
          </c:dPt>
          <c:dPt>
            <c:idx val="2"/>
            <c:bubble3D val="0"/>
            <c:spPr>
              <a:solidFill>
                <a:srgbClr val="70AD47">
                  <a:lumMod val="60000"/>
                  <a:lumOff val="40000"/>
                </a:srgbClr>
              </a:solidFill>
              <a:ln w="19050">
                <a:solidFill>
                  <a:srgbClr val="4472C4">
                    <a:lumMod val="40000"/>
                    <a:lumOff val="60000"/>
                  </a:srgbClr>
                </a:solidFill>
              </a:ln>
              <a:effectLst/>
            </c:spPr>
            <c:extLst>
              <c:ext xmlns:c16="http://schemas.microsoft.com/office/drawing/2014/chart" uri="{C3380CC4-5D6E-409C-BE32-E72D297353CC}">
                <c16:uniqueId val="{00000006-3134-4EE8-AF4A-86427AA17349}"/>
              </c:ext>
            </c:extLst>
          </c:dPt>
          <c:dPt>
            <c:idx val="3"/>
            <c:bubble3D val="0"/>
            <c:spPr>
              <a:solidFill>
                <a:schemeClr val="accent4"/>
              </a:solidFill>
              <a:ln w="19050">
                <a:solidFill>
                  <a:srgbClr val="4472C4">
                    <a:lumMod val="40000"/>
                    <a:lumOff val="60000"/>
                  </a:srgbClr>
                </a:solidFill>
              </a:ln>
              <a:effectLst/>
            </c:spPr>
            <c:extLst>
              <c:ext xmlns:c16="http://schemas.microsoft.com/office/drawing/2014/chart" uri="{C3380CC4-5D6E-409C-BE32-E72D297353CC}">
                <c16:uniqueId val="{00000008-3134-4EE8-AF4A-86427AA1734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'[proračun_predloga_tmp1]Proračun spl. del'!$C$52:$C$77</c:f>
              <c:strCache>
                <c:ptCount val="4"/>
                <c:pt idx="0">
                  <c:v>TEKOČI ODHODKI  (400+401+402+403+409)</c:v>
                </c:pt>
                <c:pt idx="1">
                  <c:v>TEKOČI TRANSFERI  (410+411+412+413+414)</c:v>
                </c:pt>
                <c:pt idx="2">
                  <c:v>INVESTICIJSKI ODHODKI  (420)</c:v>
                </c:pt>
                <c:pt idx="3">
                  <c:v>INVESTICIJSKI TRANSFERI  (431+432)</c:v>
                </c:pt>
              </c:strCache>
            </c:strRef>
          </c:cat>
          <c:val>
            <c:numRef>
              <c:f>'[proračun_predloga_tmp1]Proračun spl. del'!$E$52:$E$77</c:f>
              <c:numCache>
                <c:formatCode>0.00%</c:formatCode>
                <c:ptCount val="4"/>
                <c:pt idx="0">
                  <c:v>0.25499803010611921</c:v>
                </c:pt>
                <c:pt idx="1">
                  <c:v>0.35154965998327919</c:v>
                </c:pt>
                <c:pt idx="2">
                  <c:v>0.3637221366432638</c:v>
                </c:pt>
                <c:pt idx="3">
                  <c:v>2.9730173267337734E-2</c:v>
                </c:pt>
              </c:numCache>
            </c:numRef>
          </c:val>
          <c:extLst>
            <c:ext xmlns:c16="http://schemas.microsoft.com/office/drawing/2014/chart" uri="{C3380CC4-5D6E-409C-BE32-E72D297353CC}">
              <c16:uniqueId val="{00000009-3134-4EE8-AF4A-86427AA1734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8" ma:contentTypeDescription="Ustvari nov dokument." ma:contentTypeScope="" ma:versionID="3f4f3ef45558fb0369b5287551c948d9">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11d2a4f0c4003dd1c7bc1faa9241204c"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2025-07-11T10:55:49+00:00</Veljaod_x003a_>
    <Veljado xmlns="971fd287-4551-411b-a694-38c9be1b8a3f" xsi:nil="true"/>
    <TaxCatchAll xmlns="151e2135-251a-4a54-bb3f-b4383bb78d32" xsi:nil="true"/>
    <Datumobjave xmlns="971fd287-4551-411b-a694-38c9be1b8a3f">2025-07-11T10:55:49+00:00</Datumobjav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9D885C-C4A0-424F-A921-94E8D385D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2FDF1-2696-4A1B-BBB4-245EA059BB0B}">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D0BA964E-07AC-4547-A80B-FF838BE92380}">
  <ds:schemaRefs>
    <ds:schemaRef ds:uri="http://schemas.openxmlformats.org/officeDocument/2006/bibliography"/>
  </ds:schemaRefs>
</ds:datastoreItem>
</file>

<file path=customXml/itemProps4.xml><?xml version="1.0" encoding="utf-8"?>
<ds:datastoreItem xmlns:ds="http://schemas.openxmlformats.org/officeDocument/2006/customXml" ds:itemID="{BC1F8B14-C8A0-4C1D-AD4E-014B71361D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3311</Words>
  <Characters>18879</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3</cp:revision>
  <cp:lastPrinted>2025-02-19T07:16:00Z</cp:lastPrinted>
  <dcterms:created xsi:type="dcterms:W3CDTF">2026-04-09T07:03:00Z</dcterms:created>
  <dcterms:modified xsi:type="dcterms:W3CDTF">2026-04-09T13:48:00Z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y fmtid="{D5CDD505-2E9C-101B-9397-08002B2CF9AE}" pid="4" name="docLang">
    <vt:lpwstr>sl</vt:lpwstr>
  </property>
</Properties>
</file>