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7B35" w14:textId="39B678C5" w:rsidR="00322671" w:rsidRPr="00E24064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E24064">
        <w:rPr>
          <w:rFonts w:ascii="Arial" w:hAnsi="Arial" w:cs="Arial"/>
          <w:sz w:val="22"/>
          <w:szCs w:val="22"/>
        </w:rPr>
        <w:t>Na podlagi</w:t>
      </w:r>
      <w:r w:rsidR="008F0931">
        <w:rPr>
          <w:rFonts w:ascii="Arial" w:hAnsi="Arial" w:cs="Arial"/>
          <w:sz w:val="22"/>
          <w:szCs w:val="22"/>
        </w:rPr>
        <w:t xml:space="preserve"> </w:t>
      </w:r>
      <w:r w:rsidR="008F0931" w:rsidRPr="00E24064">
        <w:rPr>
          <w:rFonts w:ascii="Arial" w:hAnsi="Arial" w:cs="Arial"/>
          <w:sz w:val="22"/>
          <w:szCs w:val="22"/>
        </w:rPr>
        <w:t xml:space="preserve">13. člena Zakona o javnih skladih (Uradni list RS, št. 77/08, 8/10 </w:t>
      </w:r>
      <w:r w:rsidR="00B145D2">
        <w:rPr>
          <w:rFonts w:ascii="Arial" w:hAnsi="Arial" w:cs="Arial"/>
          <w:sz w:val="22"/>
          <w:szCs w:val="22"/>
        </w:rPr>
        <w:t xml:space="preserve">– ZSKZ-B, </w:t>
      </w:r>
      <w:r w:rsidR="008F0931" w:rsidRPr="00E24064">
        <w:rPr>
          <w:rFonts w:ascii="Arial" w:hAnsi="Arial" w:cs="Arial"/>
          <w:sz w:val="22"/>
          <w:szCs w:val="22"/>
        </w:rPr>
        <w:t xml:space="preserve"> </w:t>
      </w:r>
      <w:hyperlink r:id="rId7" w:tooltip="Zakon o zagotovitvi dodatne likvidnosti gospodarstvu za omilitev posledic epidemije COVID-19 (ZDLGPE) (Uradni list RS, št. 61-897/2020)" w:history="1">
        <w:r w:rsidR="008F0931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</w:t>
      </w:r>
      <w:r w:rsidR="008F0931" w:rsidRPr="00E24064">
        <w:rPr>
          <w:rFonts w:ascii="Arial" w:hAnsi="Arial" w:cs="Arial"/>
          <w:sz w:val="22"/>
          <w:szCs w:val="22"/>
        </w:rPr>
        <w:t>)</w:t>
      </w:r>
      <w:r w:rsidR="008F0931">
        <w:rPr>
          <w:rFonts w:ascii="Arial" w:hAnsi="Arial" w:cs="Arial"/>
          <w:sz w:val="22"/>
          <w:szCs w:val="22"/>
        </w:rPr>
        <w:t>,</w:t>
      </w:r>
      <w:r w:rsidRPr="00E24064">
        <w:rPr>
          <w:rFonts w:ascii="Arial" w:hAnsi="Arial" w:cs="Arial"/>
          <w:sz w:val="22"/>
          <w:szCs w:val="22"/>
        </w:rPr>
        <w:t xml:space="preserve"> 8. člena Odloka o ustanovitvi Javnega sklada malega gospodarstva Goriške (Uradne objave</w:t>
      </w:r>
      <w:r w:rsidR="0077241F" w:rsidRPr="00E24064">
        <w:rPr>
          <w:rFonts w:ascii="Arial" w:hAnsi="Arial" w:cs="Arial"/>
          <w:sz w:val="22"/>
          <w:szCs w:val="22"/>
        </w:rPr>
        <w:t xml:space="preserve"> – časopis OKO</w:t>
      </w:r>
      <w:r w:rsidRPr="00E24064">
        <w:rPr>
          <w:rFonts w:ascii="Arial" w:hAnsi="Arial" w:cs="Arial"/>
          <w:sz w:val="22"/>
          <w:szCs w:val="22"/>
        </w:rPr>
        <w:t>, št. 14/03 in Uradni list RS, št. 21/16)</w:t>
      </w:r>
      <w:r w:rsidR="008D0486">
        <w:rPr>
          <w:rFonts w:ascii="Arial" w:hAnsi="Arial" w:cs="Arial"/>
          <w:sz w:val="22"/>
          <w:szCs w:val="22"/>
        </w:rPr>
        <w:t xml:space="preserve"> in </w:t>
      </w:r>
      <w:r w:rsidR="008D0486" w:rsidRPr="00E24064">
        <w:rPr>
          <w:rFonts w:ascii="Arial" w:hAnsi="Arial" w:cs="Arial"/>
          <w:sz w:val="22"/>
          <w:szCs w:val="22"/>
        </w:rPr>
        <w:t>19. člena Statuta Mestne občine Nova Gorica (Uradni list RS, št. 13/12, 18/17 in 18/19)</w:t>
      </w:r>
      <w:r w:rsidRPr="00E24064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F645CE">
        <w:rPr>
          <w:rFonts w:ascii="Arial" w:hAnsi="Arial" w:cs="Arial"/>
          <w:sz w:val="22"/>
          <w:szCs w:val="22"/>
        </w:rPr>
        <w:t>24. aprila 2025</w:t>
      </w:r>
      <w:r w:rsidRPr="00E24064">
        <w:rPr>
          <w:rFonts w:ascii="Arial" w:hAnsi="Arial" w:cs="Arial"/>
          <w:sz w:val="22"/>
          <w:szCs w:val="22"/>
        </w:rPr>
        <w:t xml:space="preserve"> sprejel naslednji</w:t>
      </w:r>
    </w:p>
    <w:p w14:paraId="39E85DC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2622D4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606D34FE" w14:textId="77777777" w:rsidR="00F86266" w:rsidRPr="005E3BFC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2B6FC70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A33F16C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S K L E P</w:t>
      </w:r>
    </w:p>
    <w:p w14:paraId="35C1A2D0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608FD2A9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08919A14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54D0AE55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1.</w:t>
      </w:r>
    </w:p>
    <w:p w14:paraId="64BCCE24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3A3D1E0F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stališča Nadzornega sveta Javnega sklada malega gospodarstva Goriške, </w:t>
      </w:r>
      <w:r w:rsidR="000A2453" w:rsidRPr="000A2453">
        <w:rPr>
          <w:rFonts w:ascii="Arial" w:hAnsi="Arial" w:cs="Arial"/>
          <w:sz w:val="22"/>
          <w:szCs w:val="22"/>
        </w:rPr>
        <w:t xml:space="preserve">sprejetega na njegovi </w:t>
      </w:r>
      <w:r w:rsidR="001912C1">
        <w:rPr>
          <w:rFonts w:ascii="Arial" w:hAnsi="Arial" w:cs="Arial"/>
          <w:sz w:val="22"/>
          <w:szCs w:val="22"/>
        </w:rPr>
        <w:t>11</w:t>
      </w:r>
      <w:r w:rsidR="000A2453" w:rsidRPr="000A2453">
        <w:rPr>
          <w:rFonts w:ascii="Arial" w:hAnsi="Arial" w:cs="Arial"/>
          <w:sz w:val="22"/>
          <w:szCs w:val="22"/>
        </w:rPr>
        <w:t xml:space="preserve">. redni seji dne </w:t>
      </w:r>
      <w:r w:rsidR="000B6CD3">
        <w:rPr>
          <w:rFonts w:ascii="Arial" w:hAnsi="Arial" w:cs="Arial"/>
          <w:sz w:val="22"/>
          <w:szCs w:val="22"/>
        </w:rPr>
        <w:t>11. 3. 2025</w:t>
      </w:r>
      <w:r w:rsidR="000A2453" w:rsidRPr="000A2453">
        <w:rPr>
          <w:rFonts w:ascii="Arial" w:hAnsi="Arial" w:cs="Arial"/>
          <w:sz w:val="22"/>
          <w:szCs w:val="22"/>
        </w:rPr>
        <w:t>, sprejme »Letno poročilo Javnega sklada malega gospodarstva Goriške za leto 202</w:t>
      </w:r>
      <w:r w:rsidR="000B6CD3">
        <w:rPr>
          <w:rFonts w:ascii="Arial" w:hAnsi="Arial" w:cs="Arial"/>
          <w:sz w:val="22"/>
          <w:szCs w:val="22"/>
        </w:rPr>
        <w:t>4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55B6FD44" w14:textId="77777777" w:rsidR="00162B61" w:rsidRPr="000A2453" w:rsidRDefault="00162B61" w:rsidP="00322671">
      <w:pPr>
        <w:jc w:val="both"/>
        <w:rPr>
          <w:rFonts w:ascii="Arial" w:hAnsi="Arial" w:cs="Arial"/>
          <w:sz w:val="22"/>
          <w:szCs w:val="22"/>
        </w:rPr>
      </w:pPr>
    </w:p>
    <w:p w14:paraId="681EEF0B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2.</w:t>
      </w:r>
    </w:p>
    <w:p w14:paraId="05C574E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3239293" w14:textId="77777777" w:rsidR="000A2453" w:rsidRPr="000A2453" w:rsidRDefault="000A2453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Presežek </w:t>
      </w:r>
      <w:r w:rsidR="000B6CD3">
        <w:rPr>
          <w:rFonts w:ascii="Arial" w:hAnsi="Arial" w:cs="Arial"/>
          <w:sz w:val="22"/>
          <w:szCs w:val="22"/>
        </w:rPr>
        <w:t xml:space="preserve">prihodkov nad </w:t>
      </w:r>
      <w:r w:rsidRPr="000A2453">
        <w:rPr>
          <w:rFonts w:ascii="Arial" w:hAnsi="Arial" w:cs="Arial"/>
          <w:sz w:val="22"/>
          <w:szCs w:val="22"/>
        </w:rPr>
        <w:t>odhodk</w:t>
      </w:r>
      <w:r w:rsidR="000B6CD3">
        <w:rPr>
          <w:rFonts w:ascii="Arial" w:hAnsi="Arial" w:cs="Arial"/>
          <w:sz w:val="22"/>
          <w:szCs w:val="22"/>
        </w:rPr>
        <w:t>i</w:t>
      </w:r>
      <w:r w:rsidRPr="000A2453">
        <w:rPr>
          <w:rFonts w:ascii="Arial" w:hAnsi="Arial" w:cs="Arial"/>
          <w:sz w:val="22"/>
          <w:szCs w:val="22"/>
        </w:rPr>
        <w:t xml:space="preserve"> v letu 202</w:t>
      </w:r>
      <w:r w:rsidR="000B6CD3">
        <w:rPr>
          <w:rFonts w:ascii="Arial" w:hAnsi="Arial" w:cs="Arial"/>
          <w:sz w:val="22"/>
          <w:szCs w:val="22"/>
        </w:rPr>
        <w:t>4</w:t>
      </w:r>
      <w:r w:rsidRPr="000A2453">
        <w:rPr>
          <w:rFonts w:ascii="Arial" w:hAnsi="Arial" w:cs="Arial"/>
          <w:sz w:val="22"/>
          <w:szCs w:val="22"/>
        </w:rPr>
        <w:t xml:space="preserve"> v višini </w:t>
      </w:r>
      <w:r w:rsidR="000B6CD3">
        <w:rPr>
          <w:rFonts w:ascii="Arial" w:hAnsi="Arial" w:cs="Arial"/>
          <w:sz w:val="22"/>
          <w:szCs w:val="22"/>
        </w:rPr>
        <w:t>406.654,22</w:t>
      </w:r>
      <w:r w:rsidRPr="000A2453">
        <w:rPr>
          <w:rFonts w:ascii="Arial" w:hAnsi="Arial" w:cs="Arial"/>
          <w:sz w:val="22"/>
          <w:szCs w:val="22"/>
        </w:rPr>
        <w:t xml:space="preserve"> EUR se na predlog Nadzornega sveta Javnega sklada malega gospodarstva Goriške </w:t>
      </w:r>
      <w:r w:rsidR="000B6CD3">
        <w:rPr>
          <w:rFonts w:ascii="Arial" w:hAnsi="Arial" w:cs="Arial"/>
          <w:sz w:val="22"/>
          <w:szCs w:val="22"/>
        </w:rPr>
        <w:t xml:space="preserve">porabi za </w:t>
      </w:r>
      <w:r w:rsidRPr="000A2453">
        <w:rPr>
          <w:rFonts w:ascii="Arial" w:hAnsi="Arial" w:cs="Arial"/>
          <w:sz w:val="22"/>
          <w:szCs w:val="22"/>
        </w:rPr>
        <w:t>pokri</w:t>
      </w:r>
      <w:r w:rsidR="000B6CD3">
        <w:rPr>
          <w:rFonts w:ascii="Arial" w:hAnsi="Arial" w:cs="Arial"/>
          <w:sz w:val="22"/>
          <w:szCs w:val="22"/>
        </w:rPr>
        <w:t>tje presežka odhodkov nad prihodki iz preteklih let.</w:t>
      </w:r>
    </w:p>
    <w:p w14:paraId="06BAC92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6C3960A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3.</w:t>
      </w:r>
    </w:p>
    <w:p w14:paraId="585FE94B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285D3D6" w14:textId="77777777" w:rsidR="000A2453" w:rsidRPr="000A2453" w:rsidRDefault="00322671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</w:t>
      </w:r>
      <w:r w:rsidR="000A2453" w:rsidRPr="000A2453">
        <w:rPr>
          <w:rFonts w:ascii="Arial" w:hAnsi="Arial" w:cs="Arial"/>
          <w:sz w:val="22"/>
          <w:szCs w:val="22"/>
        </w:rPr>
        <w:t xml:space="preserve">na podlagi stališča Nadzornega sveta Javnega sklada malega gospodarstva Goriške, sprejetega na njegovi </w:t>
      </w:r>
      <w:r w:rsidR="000B6CD3">
        <w:rPr>
          <w:rFonts w:ascii="Arial" w:hAnsi="Arial" w:cs="Arial"/>
          <w:sz w:val="22"/>
          <w:szCs w:val="22"/>
        </w:rPr>
        <w:t>11</w:t>
      </w:r>
      <w:r w:rsidR="000A2453" w:rsidRPr="000A2453">
        <w:rPr>
          <w:rFonts w:ascii="Arial" w:hAnsi="Arial" w:cs="Arial"/>
          <w:sz w:val="22"/>
          <w:szCs w:val="22"/>
        </w:rPr>
        <w:t xml:space="preserve">. redni seji dne </w:t>
      </w:r>
      <w:r w:rsidR="000B6CD3">
        <w:rPr>
          <w:rFonts w:ascii="Arial" w:hAnsi="Arial" w:cs="Arial"/>
          <w:sz w:val="22"/>
          <w:szCs w:val="22"/>
        </w:rPr>
        <w:t>11. 3. 2025</w:t>
      </w:r>
      <w:r w:rsidR="000A2453" w:rsidRPr="000A2453">
        <w:rPr>
          <w:rFonts w:ascii="Arial" w:hAnsi="Arial" w:cs="Arial"/>
          <w:sz w:val="22"/>
          <w:szCs w:val="22"/>
        </w:rPr>
        <w:t>, sprejme »Poslovni in finančni načrt Javnega sklada malega gospodarstva Goriške za leto 202</w:t>
      </w:r>
      <w:r w:rsidR="000B6CD3">
        <w:rPr>
          <w:rFonts w:ascii="Arial" w:hAnsi="Arial" w:cs="Arial"/>
          <w:sz w:val="22"/>
          <w:szCs w:val="22"/>
        </w:rPr>
        <w:t>5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131CA0AC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C4C9790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4.</w:t>
      </w:r>
    </w:p>
    <w:p w14:paraId="315F482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F60D086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Mestni svet Mestne občine Nova Gorica </w:t>
      </w:r>
      <w:r w:rsidRPr="00322671">
        <w:rPr>
          <w:rFonts w:ascii="Arial" w:hAnsi="Arial" w:cs="Arial"/>
          <w:sz w:val="22"/>
          <w:szCs w:val="22"/>
        </w:rPr>
        <w:t xml:space="preserve">potrjuje vplačila sredstev za delovanje Javnega sklada malega gospodarstva v višini </w:t>
      </w:r>
      <w:r w:rsidR="00093CCB">
        <w:rPr>
          <w:rFonts w:ascii="Arial" w:hAnsi="Arial" w:cs="Arial"/>
          <w:sz w:val="22"/>
          <w:szCs w:val="22"/>
        </w:rPr>
        <w:t>22</w:t>
      </w:r>
      <w:r w:rsidR="000B6CD3">
        <w:rPr>
          <w:rFonts w:ascii="Arial" w:hAnsi="Arial" w:cs="Arial"/>
          <w:sz w:val="22"/>
          <w:szCs w:val="22"/>
        </w:rPr>
        <w:t>8.7</w:t>
      </w:r>
      <w:r w:rsidR="005D0D1A">
        <w:rPr>
          <w:rFonts w:ascii="Arial" w:hAnsi="Arial" w:cs="Arial"/>
          <w:sz w:val="22"/>
          <w:szCs w:val="22"/>
        </w:rPr>
        <w:t>00</w:t>
      </w:r>
      <w:r w:rsidR="009B73CF">
        <w:rPr>
          <w:rFonts w:ascii="Arial" w:hAnsi="Arial" w:cs="Arial"/>
          <w:sz w:val="22"/>
          <w:szCs w:val="22"/>
        </w:rPr>
        <w:t>,00</w:t>
      </w:r>
      <w:r w:rsidRPr="00322671">
        <w:rPr>
          <w:rFonts w:ascii="Arial" w:hAnsi="Arial" w:cs="Arial"/>
          <w:sz w:val="22"/>
          <w:szCs w:val="22"/>
        </w:rPr>
        <w:t xml:space="preserve"> EUR</w:t>
      </w:r>
      <w:r w:rsidR="0098541B">
        <w:rPr>
          <w:rFonts w:ascii="Arial" w:hAnsi="Arial" w:cs="Arial"/>
          <w:sz w:val="22"/>
          <w:szCs w:val="22"/>
        </w:rPr>
        <w:t xml:space="preserve"> v letu 202</w:t>
      </w:r>
      <w:r w:rsidR="000B6CD3">
        <w:rPr>
          <w:rFonts w:ascii="Arial" w:hAnsi="Arial" w:cs="Arial"/>
          <w:sz w:val="22"/>
          <w:szCs w:val="22"/>
        </w:rPr>
        <w:t>5</w:t>
      </w:r>
      <w:r w:rsidRPr="00322671">
        <w:rPr>
          <w:rFonts w:ascii="Arial" w:hAnsi="Arial" w:cs="Arial"/>
          <w:sz w:val="22"/>
          <w:szCs w:val="22"/>
        </w:rPr>
        <w:t>, sorazmerno z namenskim premoženjem, vpisanim v sodni register, pri čemer znesek za posamezno občino znaša:</w:t>
      </w:r>
    </w:p>
    <w:p w14:paraId="302C66EB" w14:textId="77777777" w:rsidR="00322671" w:rsidRPr="00CB6494" w:rsidRDefault="00322671" w:rsidP="00322671">
      <w:pPr>
        <w:spacing w:line="235" w:lineRule="auto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3512" w:type="pct"/>
        <w:tblInd w:w="7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1739"/>
      </w:tblGrid>
      <w:tr w:rsidR="005D0D1A" w:rsidRPr="00093CCB" w14:paraId="7E9BEC53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2750EBA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Mestna občina Nova Gorica</w:t>
            </w:r>
          </w:p>
        </w:tc>
        <w:tc>
          <w:tcPr>
            <w:tcW w:w="1418" w:type="pct"/>
          </w:tcPr>
          <w:p w14:paraId="4FC2C8BD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12</w:t>
            </w:r>
            <w:r w:rsidR="000B6CD3">
              <w:rPr>
                <w:rFonts w:ascii="Arial" w:hAnsi="Arial" w:cs="Arial"/>
                <w:sz w:val="22"/>
                <w:szCs w:val="22"/>
              </w:rPr>
              <w:t>2.082,03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4B880294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EC61B0C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Brda</w:t>
            </w:r>
          </w:p>
        </w:tc>
        <w:tc>
          <w:tcPr>
            <w:tcW w:w="1418" w:type="pct"/>
          </w:tcPr>
          <w:p w14:paraId="51086E9B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21.</w:t>
            </w:r>
            <w:r w:rsidR="000B6CD3">
              <w:rPr>
                <w:rFonts w:ascii="Arial" w:hAnsi="Arial" w:cs="Arial"/>
                <w:sz w:val="22"/>
                <w:szCs w:val="22"/>
              </w:rPr>
              <w:t>341,90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6FF979DC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BD7D28A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Kanal ob Soči</w:t>
            </w:r>
          </w:p>
        </w:tc>
        <w:tc>
          <w:tcPr>
            <w:tcW w:w="1418" w:type="pct"/>
          </w:tcPr>
          <w:p w14:paraId="61B4CBC0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</w:t>
            </w:r>
            <w:r w:rsidR="000B6CD3">
              <w:rPr>
                <w:rFonts w:ascii="Arial" w:hAnsi="Arial" w:cs="Arial"/>
                <w:sz w:val="22"/>
                <w:szCs w:val="22"/>
              </w:rPr>
              <w:t>3.034,04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12EED61A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50C4E974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Miren-Kostanjevica</w:t>
            </w:r>
          </w:p>
        </w:tc>
        <w:tc>
          <w:tcPr>
            <w:tcW w:w="1418" w:type="pct"/>
          </w:tcPr>
          <w:p w14:paraId="2D3CDCC9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19.</w:t>
            </w:r>
            <w:r w:rsidR="000B6CD3">
              <w:rPr>
                <w:rFonts w:ascii="Arial" w:hAnsi="Arial" w:cs="Arial"/>
                <w:sz w:val="22"/>
                <w:szCs w:val="22"/>
              </w:rPr>
              <w:t>216,61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3F3DDBF4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6F985711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Šempeter-Vrtojba</w:t>
            </w:r>
          </w:p>
        </w:tc>
        <w:tc>
          <w:tcPr>
            <w:tcW w:w="1418" w:type="pct"/>
          </w:tcPr>
          <w:p w14:paraId="42512D26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26.</w:t>
            </w:r>
            <w:r w:rsidR="000B6CD3">
              <w:rPr>
                <w:rFonts w:ascii="Arial" w:hAnsi="Arial" w:cs="Arial"/>
                <w:sz w:val="22"/>
                <w:szCs w:val="22"/>
              </w:rPr>
              <w:t>502,61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1E6E434E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432BEE9D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Renče-Vogrsko</w:t>
            </w:r>
          </w:p>
        </w:tc>
        <w:tc>
          <w:tcPr>
            <w:tcW w:w="1418" w:type="pct"/>
          </w:tcPr>
          <w:p w14:paraId="076DE81D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16.</w:t>
            </w:r>
            <w:r w:rsidR="000B6CD3">
              <w:rPr>
                <w:rFonts w:ascii="Arial" w:hAnsi="Arial" w:cs="Arial"/>
                <w:sz w:val="22"/>
                <w:szCs w:val="22"/>
              </w:rPr>
              <w:t>522,81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</w:tbl>
    <w:p w14:paraId="5C617C9C" w14:textId="77777777" w:rsidR="000A2453" w:rsidRPr="005E3BFC" w:rsidRDefault="00E746AD" w:rsidP="00E746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B6CD3">
        <w:rPr>
          <w:rFonts w:ascii="Arial" w:hAnsi="Arial" w:cs="Arial"/>
          <w:sz w:val="22"/>
          <w:szCs w:val="22"/>
        </w:rPr>
        <w:lastRenderedPageBreak/>
        <w:t>5</w:t>
      </w:r>
      <w:r w:rsidR="000A2453">
        <w:rPr>
          <w:rFonts w:ascii="Arial" w:hAnsi="Arial" w:cs="Arial"/>
          <w:sz w:val="22"/>
          <w:szCs w:val="22"/>
        </w:rPr>
        <w:t>.</w:t>
      </w:r>
    </w:p>
    <w:p w14:paraId="22F65A72" w14:textId="77777777" w:rsidR="000A2453" w:rsidRDefault="000A2453" w:rsidP="00322671">
      <w:pPr>
        <w:jc w:val="both"/>
        <w:rPr>
          <w:rFonts w:ascii="Arial" w:hAnsi="Arial" w:cs="Arial"/>
          <w:sz w:val="22"/>
          <w:szCs w:val="22"/>
        </w:rPr>
      </w:pPr>
    </w:p>
    <w:p w14:paraId="5FF87ED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Ta sklep velja takoj. </w:t>
      </w:r>
    </w:p>
    <w:p w14:paraId="5B27A7A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1B574A19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D3E2AFB" w14:textId="77777777" w:rsidR="00F86266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36A51D7B" w14:textId="77777777" w:rsidR="00F86266" w:rsidRPr="005E3BFC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70556DDE" w14:textId="3CC954A9" w:rsidR="00C25521" w:rsidRDefault="00322671" w:rsidP="00C25521">
      <w:pPr>
        <w:rPr>
          <w:color w:val="000000"/>
        </w:rPr>
      </w:pPr>
      <w:r w:rsidRPr="005E3BFC">
        <w:rPr>
          <w:rFonts w:ascii="Arial" w:hAnsi="Arial" w:cs="Arial"/>
          <w:sz w:val="22"/>
          <w:szCs w:val="22"/>
        </w:rPr>
        <w:t>Številka</w:t>
      </w:r>
      <w:r w:rsidRPr="00C25521">
        <w:rPr>
          <w:rFonts w:ascii="Arial" w:hAnsi="Arial" w:cs="Arial"/>
          <w:sz w:val="22"/>
          <w:szCs w:val="22"/>
        </w:rPr>
        <w:t>:</w:t>
      </w:r>
      <w:r w:rsidR="00C25521" w:rsidRPr="00C25521">
        <w:rPr>
          <w:rFonts w:ascii="Arial" w:hAnsi="Arial" w:cs="Arial"/>
          <w:sz w:val="22"/>
          <w:szCs w:val="22"/>
        </w:rPr>
        <w:t xml:space="preserve"> </w:t>
      </w:r>
      <w:r w:rsidR="00C25521" w:rsidRPr="00C25521">
        <w:rPr>
          <w:rFonts w:ascii="Arial" w:hAnsi="Arial" w:cs="Arial"/>
          <w:color w:val="000000"/>
          <w:sz w:val="22"/>
          <w:szCs w:val="22"/>
        </w:rPr>
        <w:t>410-0007/2023</w:t>
      </w:r>
      <w:r w:rsidR="001E0DCB">
        <w:rPr>
          <w:rFonts w:ascii="Arial" w:hAnsi="Arial" w:cs="Arial"/>
          <w:color w:val="000000"/>
          <w:sz w:val="22"/>
          <w:szCs w:val="22"/>
        </w:rPr>
        <w:t>-25</w:t>
      </w:r>
    </w:p>
    <w:p w14:paraId="016EF566" w14:textId="1EC7A09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Nova Gorica,</w:t>
      </w:r>
      <w:r w:rsidR="00F86266">
        <w:rPr>
          <w:rFonts w:ascii="Arial" w:hAnsi="Arial" w:cs="Arial"/>
          <w:sz w:val="22"/>
          <w:szCs w:val="22"/>
        </w:rPr>
        <w:t xml:space="preserve"> dne</w:t>
      </w:r>
      <w:r w:rsidR="00F645CE">
        <w:rPr>
          <w:rFonts w:ascii="Arial" w:hAnsi="Arial" w:cs="Arial"/>
          <w:sz w:val="22"/>
          <w:szCs w:val="22"/>
        </w:rPr>
        <w:t xml:space="preserve"> 24. aprila 2025</w:t>
      </w:r>
    </w:p>
    <w:p w14:paraId="72B010B2" w14:textId="2AA296D3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3CCB">
        <w:rPr>
          <w:rFonts w:ascii="Arial" w:hAnsi="Arial" w:cs="Arial"/>
          <w:sz w:val="22"/>
          <w:szCs w:val="22"/>
        </w:rPr>
        <w:t xml:space="preserve">         </w:t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93CCB">
        <w:rPr>
          <w:rFonts w:ascii="Arial" w:hAnsi="Arial" w:cs="Arial"/>
          <w:sz w:val="22"/>
          <w:szCs w:val="22"/>
        </w:rPr>
        <w:t>Samo Turel</w:t>
      </w:r>
    </w:p>
    <w:p w14:paraId="677D7688" w14:textId="393E818E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  <w:t xml:space="preserve">    </w:t>
      </w:r>
      <w:r w:rsidR="00322671">
        <w:rPr>
          <w:rFonts w:ascii="Arial" w:hAnsi="Arial" w:cs="Arial"/>
          <w:sz w:val="22"/>
          <w:szCs w:val="22"/>
        </w:rPr>
        <w:t xml:space="preserve"> </w:t>
      </w:r>
      <w:r w:rsidR="00322671" w:rsidRPr="005E3BFC">
        <w:rPr>
          <w:rFonts w:ascii="Arial" w:hAnsi="Arial" w:cs="Arial"/>
          <w:sz w:val="22"/>
          <w:szCs w:val="22"/>
        </w:rPr>
        <w:t>ŽUPAN</w:t>
      </w:r>
    </w:p>
    <w:p w14:paraId="53393D5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55F3D939" w14:textId="77777777" w:rsidR="00C276C7" w:rsidRDefault="00C276C7" w:rsidP="007C73A5"/>
    <w:p w14:paraId="06E141A4" w14:textId="77777777" w:rsidR="00C276C7" w:rsidRDefault="00C276C7" w:rsidP="007C73A5"/>
    <w:p w14:paraId="0A9FF391" w14:textId="77777777" w:rsidR="00C276C7" w:rsidRDefault="00C276C7" w:rsidP="007C73A5"/>
    <w:p w14:paraId="354FC3FD" w14:textId="77777777" w:rsidR="00C276C7" w:rsidRDefault="00C276C7" w:rsidP="007C73A5"/>
    <w:p w14:paraId="501E913C" w14:textId="77777777" w:rsidR="00C276C7" w:rsidRDefault="00C276C7" w:rsidP="007C73A5"/>
    <w:p w14:paraId="3FB679D9" w14:textId="77777777" w:rsidR="00C276C7" w:rsidRDefault="00C276C7" w:rsidP="007C73A5"/>
    <w:p w14:paraId="566D4582" w14:textId="77777777" w:rsidR="00C276C7" w:rsidRDefault="00C276C7" w:rsidP="007C73A5"/>
    <w:p w14:paraId="39107799" w14:textId="77777777" w:rsidR="00C276C7" w:rsidRDefault="00C276C7" w:rsidP="007C73A5"/>
    <w:p w14:paraId="47C90D96" w14:textId="77777777" w:rsidR="00C276C7" w:rsidRDefault="00C276C7" w:rsidP="007C73A5"/>
    <w:p w14:paraId="071B07A4" w14:textId="77777777" w:rsidR="00C276C7" w:rsidRDefault="00C276C7" w:rsidP="007C73A5"/>
    <w:p w14:paraId="3300D161" w14:textId="77777777" w:rsidR="00C276C7" w:rsidRDefault="00C276C7" w:rsidP="007C73A5"/>
    <w:p w14:paraId="416D55EC" w14:textId="77777777" w:rsidR="00C276C7" w:rsidRDefault="00C276C7" w:rsidP="007C73A5"/>
    <w:p w14:paraId="1A8616DA" w14:textId="77777777" w:rsidR="00C276C7" w:rsidRDefault="00C276C7" w:rsidP="007C73A5"/>
    <w:p w14:paraId="2527740D" w14:textId="77777777" w:rsidR="00C276C7" w:rsidRDefault="00C276C7" w:rsidP="007C73A5"/>
    <w:p w14:paraId="759BDBCE" w14:textId="77777777" w:rsidR="00D71F52" w:rsidRDefault="00D71F52" w:rsidP="007C73A5"/>
    <w:p w14:paraId="774C59CE" w14:textId="77777777" w:rsidR="00D71F52" w:rsidRDefault="00D71F52" w:rsidP="007C73A5"/>
    <w:p w14:paraId="471E2A4C" w14:textId="77777777" w:rsidR="00D71F52" w:rsidRDefault="00D71F52" w:rsidP="007C73A5"/>
    <w:p w14:paraId="6B498631" w14:textId="77777777" w:rsidR="00D71F52" w:rsidRDefault="00D71F52" w:rsidP="007C73A5"/>
    <w:sectPr w:rsidR="00D71F52" w:rsidSect="003535B2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6E16" w14:textId="77777777" w:rsidR="00D85142" w:rsidRDefault="00D85142">
      <w:r>
        <w:separator/>
      </w:r>
    </w:p>
  </w:endnote>
  <w:endnote w:type="continuationSeparator" w:id="0">
    <w:p w14:paraId="67337109" w14:textId="77777777" w:rsidR="00D85142" w:rsidRDefault="00D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4FFC" w14:textId="7454083B" w:rsidR="0041720E" w:rsidRDefault="00481E4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463758" wp14:editId="54E1C51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42A9" w14:textId="2876260F" w:rsidR="004C63EA" w:rsidRDefault="00481E4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8595568" wp14:editId="22B22D0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2D6F" w14:textId="77777777" w:rsidR="00D85142" w:rsidRDefault="00D85142">
      <w:r>
        <w:separator/>
      </w:r>
    </w:p>
  </w:footnote>
  <w:footnote w:type="continuationSeparator" w:id="0">
    <w:p w14:paraId="172AD706" w14:textId="77777777" w:rsidR="00D85142" w:rsidRDefault="00D8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4DE2" w14:textId="08F85B5C" w:rsidR="004C63EA" w:rsidRDefault="00481E4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C623D4" wp14:editId="494220F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713F"/>
    <w:multiLevelType w:val="hybridMultilevel"/>
    <w:tmpl w:val="9E06E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5218">
    <w:abstractNumId w:val="3"/>
  </w:num>
  <w:num w:numId="2" w16cid:durableId="1184325607">
    <w:abstractNumId w:val="1"/>
  </w:num>
  <w:num w:numId="3" w16cid:durableId="1815557871">
    <w:abstractNumId w:val="5"/>
  </w:num>
  <w:num w:numId="4" w16cid:durableId="1014726129">
    <w:abstractNumId w:val="0"/>
  </w:num>
  <w:num w:numId="5" w16cid:durableId="1229462377">
    <w:abstractNumId w:val="4"/>
  </w:num>
  <w:num w:numId="6" w16cid:durableId="127725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52C"/>
    <w:rsid w:val="0000787C"/>
    <w:rsid w:val="0001100F"/>
    <w:rsid w:val="00015C65"/>
    <w:rsid w:val="00017927"/>
    <w:rsid w:val="0002674B"/>
    <w:rsid w:val="00044B80"/>
    <w:rsid w:val="00045FB2"/>
    <w:rsid w:val="0007509D"/>
    <w:rsid w:val="00075B0A"/>
    <w:rsid w:val="00093CCB"/>
    <w:rsid w:val="000A2453"/>
    <w:rsid w:val="000B6CD3"/>
    <w:rsid w:val="000C0511"/>
    <w:rsid w:val="000D1670"/>
    <w:rsid w:val="00101850"/>
    <w:rsid w:val="00162B61"/>
    <w:rsid w:val="00164798"/>
    <w:rsid w:val="00183092"/>
    <w:rsid w:val="001912C1"/>
    <w:rsid w:val="001A5D84"/>
    <w:rsid w:val="001B4F9A"/>
    <w:rsid w:val="001B6F92"/>
    <w:rsid w:val="001D50B3"/>
    <w:rsid w:val="001E0DCB"/>
    <w:rsid w:val="001F723F"/>
    <w:rsid w:val="0020740C"/>
    <w:rsid w:val="002A48FE"/>
    <w:rsid w:val="002C6930"/>
    <w:rsid w:val="002D1A54"/>
    <w:rsid w:val="002E0F55"/>
    <w:rsid w:val="00322671"/>
    <w:rsid w:val="003535B2"/>
    <w:rsid w:val="00381C8F"/>
    <w:rsid w:val="003902EA"/>
    <w:rsid w:val="003D53BA"/>
    <w:rsid w:val="0040363B"/>
    <w:rsid w:val="00413F0D"/>
    <w:rsid w:val="0041720E"/>
    <w:rsid w:val="00421A66"/>
    <w:rsid w:val="004270C1"/>
    <w:rsid w:val="00481E40"/>
    <w:rsid w:val="004C63EA"/>
    <w:rsid w:val="00502BAC"/>
    <w:rsid w:val="00522D64"/>
    <w:rsid w:val="00527504"/>
    <w:rsid w:val="00577F30"/>
    <w:rsid w:val="0058248E"/>
    <w:rsid w:val="005831B5"/>
    <w:rsid w:val="005A3DF9"/>
    <w:rsid w:val="005A6690"/>
    <w:rsid w:val="005D0D1A"/>
    <w:rsid w:val="006020FA"/>
    <w:rsid w:val="00602C72"/>
    <w:rsid w:val="00632831"/>
    <w:rsid w:val="00633FAF"/>
    <w:rsid w:val="0066037F"/>
    <w:rsid w:val="0068060D"/>
    <w:rsid w:val="0068536A"/>
    <w:rsid w:val="00697B27"/>
    <w:rsid w:val="006B6CB2"/>
    <w:rsid w:val="006C19DE"/>
    <w:rsid w:val="00740D7B"/>
    <w:rsid w:val="0077241F"/>
    <w:rsid w:val="00772719"/>
    <w:rsid w:val="007807C8"/>
    <w:rsid w:val="0079484C"/>
    <w:rsid w:val="007C73A5"/>
    <w:rsid w:val="00831DF5"/>
    <w:rsid w:val="00840267"/>
    <w:rsid w:val="0084409C"/>
    <w:rsid w:val="0087004C"/>
    <w:rsid w:val="00873F08"/>
    <w:rsid w:val="008D0486"/>
    <w:rsid w:val="008F0931"/>
    <w:rsid w:val="008F7147"/>
    <w:rsid w:val="009239C3"/>
    <w:rsid w:val="009708D1"/>
    <w:rsid w:val="00982DD9"/>
    <w:rsid w:val="0098541B"/>
    <w:rsid w:val="009B6E22"/>
    <w:rsid w:val="009B73CF"/>
    <w:rsid w:val="009E46D0"/>
    <w:rsid w:val="00A10E17"/>
    <w:rsid w:val="00A4699B"/>
    <w:rsid w:val="00A5489E"/>
    <w:rsid w:val="00A7097F"/>
    <w:rsid w:val="00AA0766"/>
    <w:rsid w:val="00AB15C4"/>
    <w:rsid w:val="00AB4046"/>
    <w:rsid w:val="00AC121F"/>
    <w:rsid w:val="00AF09BF"/>
    <w:rsid w:val="00AF7563"/>
    <w:rsid w:val="00AF762D"/>
    <w:rsid w:val="00B01236"/>
    <w:rsid w:val="00B145D2"/>
    <w:rsid w:val="00B226C4"/>
    <w:rsid w:val="00B307A0"/>
    <w:rsid w:val="00B35355"/>
    <w:rsid w:val="00B46374"/>
    <w:rsid w:val="00BB0DE8"/>
    <w:rsid w:val="00BD511B"/>
    <w:rsid w:val="00BE5579"/>
    <w:rsid w:val="00BF5E40"/>
    <w:rsid w:val="00C25521"/>
    <w:rsid w:val="00C276C7"/>
    <w:rsid w:val="00C63E80"/>
    <w:rsid w:val="00C73B28"/>
    <w:rsid w:val="00D22925"/>
    <w:rsid w:val="00D2571E"/>
    <w:rsid w:val="00D2776A"/>
    <w:rsid w:val="00D71F52"/>
    <w:rsid w:val="00D805DE"/>
    <w:rsid w:val="00D85142"/>
    <w:rsid w:val="00DA2879"/>
    <w:rsid w:val="00DA79A1"/>
    <w:rsid w:val="00DB42BC"/>
    <w:rsid w:val="00DC3106"/>
    <w:rsid w:val="00E24064"/>
    <w:rsid w:val="00E627E5"/>
    <w:rsid w:val="00E746AD"/>
    <w:rsid w:val="00E90B06"/>
    <w:rsid w:val="00EA303B"/>
    <w:rsid w:val="00EC1522"/>
    <w:rsid w:val="00F030D0"/>
    <w:rsid w:val="00F04D16"/>
    <w:rsid w:val="00F3268D"/>
    <w:rsid w:val="00F645CE"/>
    <w:rsid w:val="00F86266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97748"/>
  <w15:chartTrackingRefBased/>
  <w15:docId w15:val="{1F995A94-98B1-4A45-99C6-8643D17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2101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14</cp:revision>
  <cp:lastPrinted>2025-02-19T09:03:00Z</cp:lastPrinted>
  <dcterms:created xsi:type="dcterms:W3CDTF">2025-04-01T12:48:00Z</dcterms:created>
  <dcterms:modified xsi:type="dcterms:W3CDTF">2025-04-24T12:45:00Z</dcterms:modified>
</cp:coreProperties>
</file>