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52A9C1" w14:textId="59C6FECE" w:rsidR="0066085E" w:rsidRPr="00F15FA4" w:rsidRDefault="008C0B0D" w:rsidP="0066085E">
      <w:pPr>
        <w:pStyle w:val="Nazivenote"/>
        <w:rPr>
          <w:b w:val="0"/>
          <w:bCs/>
          <w:noProof w:val="0"/>
        </w:rPr>
      </w:pPr>
      <w:r w:rsidRPr="00F15FA4">
        <w:rPr>
          <w:noProof w:val="0"/>
        </w:rPr>
        <mc:AlternateContent>
          <mc:Choice Requires="wps">
            <w:drawing>
              <wp:anchor distT="45720" distB="45720" distL="114300" distR="114300" simplePos="0" relativeHeight="251658241" behindDoc="1" locked="0" layoutInCell="1" allowOverlap="1" wp14:anchorId="18D38E96" wp14:editId="0FC23543">
                <wp:simplePos x="0" y="0"/>
                <wp:positionH relativeFrom="column">
                  <wp:posOffset>4719320</wp:posOffset>
                </wp:positionH>
                <wp:positionV relativeFrom="paragraph">
                  <wp:posOffset>5715</wp:posOffset>
                </wp:positionV>
                <wp:extent cx="882650" cy="704850"/>
                <wp:effectExtent l="0" t="0" r="0" b="0"/>
                <wp:wrapTight wrapText="bothSides">
                  <wp:wrapPolygon edited="0">
                    <wp:start x="0" y="0"/>
                    <wp:lineTo x="0" y="21016"/>
                    <wp:lineTo x="20978" y="21016"/>
                    <wp:lineTo x="20978" y="0"/>
                    <wp:lineTo x="0" y="0"/>
                  </wp:wrapPolygon>
                </wp:wrapTight>
                <wp:docPr id="217"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2650" cy="704850"/>
                        </a:xfrm>
                        <a:prstGeom prst="rect">
                          <a:avLst/>
                        </a:prstGeom>
                        <a:solidFill>
                          <a:srgbClr val="FFFFFF"/>
                        </a:solidFill>
                        <a:ln w="9525">
                          <a:noFill/>
                          <a:miter lim="800000"/>
                          <a:headEnd/>
                          <a:tailEnd/>
                        </a:ln>
                      </wps:spPr>
                      <wps:txbx>
                        <w:txbxContent>
                          <w:p w14:paraId="79C32D9A" w14:textId="793DAF69" w:rsidR="00445A64" w:rsidRPr="00F15FA4" w:rsidRDefault="008C0B0D" w:rsidP="00445A64">
                            <w:pPr>
                              <w:pStyle w:val="tevilka"/>
                              <w:rPr>
                                <w:noProof w:val="0"/>
                                <w:sz w:val="80"/>
                                <w:szCs w:val="80"/>
                              </w:rPr>
                            </w:pPr>
                            <w:r w:rsidRPr="00F15FA4">
                              <w:rPr>
                                <w:noProof w:val="0"/>
                                <w:sz w:val="80"/>
                                <w:szCs w:val="80"/>
                              </w:rPr>
                              <w:t>1</w:t>
                            </w:r>
                            <w:r w:rsidR="003A3E34" w:rsidRPr="00F15FA4">
                              <w:rPr>
                                <w:noProof w:val="0"/>
                                <w:sz w:val="80"/>
                                <w:szCs w:val="80"/>
                              </w:rPr>
                              <w:t>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8D38E96" id="_x0000_t202" coordsize="21600,21600" o:spt="202" path="m,l,21600r21600,l21600,xe">
                <v:stroke joinstyle="miter"/>
                <v:path gradientshapeok="t" o:connecttype="rect"/>
              </v:shapetype>
              <v:shape id="Polje z besedilom 2" o:spid="_x0000_s1026" type="#_x0000_t202" style="position:absolute;left:0;text-align:left;margin-left:371.6pt;margin-top:.45pt;width:69.5pt;height:55.5pt;z-index:-25165823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" stroked="f">
                <v:textbox>
                  <w:txbxContent>
                    <w:p w14:paraId="79C32D9A" w14:textId="793DAF69" w:rsidR="00445A64" w:rsidRPr="00F15FA4" w:rsidRDefault="008C0B0D" w:rsidP="00445A64">
                      <w:pPr>
                        <w:pStyle w:val="tevilka"/>
                        <w:rPr>
                          <w:noProof w:val="0"/>
                          <w:sz w:val="80"/>
                          <w:szCs w:val="80"/>
                        </w:rPr>
                      </w:pPr>
                      <w:r w:rsidRPr="00F15FA4">
                        <w:rPr>
                          <w:noProof w:val="0"/>
                          <w:sz w:val="80"/>
                          <w:szCs w:val="80"/>
                        </w:rPr>
                        <w:t>1</w:t>
                      </w:r>
                      <w:r w:rsidR="003A3E34" w:rsidRPr="00F15FA4">
                        <w:rPr>
                          <w:noProof w:val="0"/>
                          <w:sz w:val="80"/>
                          <w:szCs w:val="80"/>
                        </w:rPr>
                        <w:t>2</w:t>
                      </w:r>
                    </w:p>
                  </w:txbxContent>
                </v:textbox>
                <w10:wrap type="tight"/>
              </v:shape>
            </w:pict>
          </mc:Fallback>
        </mc:AlternateContent>
      </w:r>
      <w:r w:rsidR="009060A3" w:rsidRPr="00F15FA4">
        <w:rPr>
          <w:noProof w:val="0"/>
        </w:rPr>
        <mc:AlternateContent>
          <mc:Choice Requires="wps">
            <w:drawing>
              <wp:anchor distT="0" distB="0" distL="114300" distR="114300" simplePos="0" relativeHeight="251658240" behindDoc="0" locked="0" layoutInCell="1" allowOverlap="1" wp14:anchorId="4A5FC2D6" wp14:editId="664A7122">
                <wp:simplePos x="0" y="0"/>
                <wp:positionH relativeFrom="page">
                  <wp:posOffset>5613400</wp:posOffset>
                </wp:positionH>
                <wp:positionV relativeFrom="page">
                  <wp:posOffset>1079500</wp:posOffset>
                </wp:positionV>
                <wp:extent cx="914400" cy="914400"/>
                <wp:effectExtent l="0" t="0" r="19050" b="19050"/>
                <wp:wrapNone/>
                <wp:docPr id="18" name="Pravokotnik 1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A34802" id="Pravokotnik 18" o:spid="_x0000_s1026" alt="&quot;&quot;" style="position:absolute;margin-left:442pt;margin-top:85pt;width:1in;height:1in;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" filled="f" strokecolor="black [3213]" strokeweight="1pt">
                <w10:wrap anchorx="page" anchory="page"/>
              </v:rect>
            </w:pict>
          </mc:Fallback>
        </mc:AlternateContent>
      </w:r>
      <w:r w:rsidR="008F5DCA" w:rsidRPr="00F15FA4">
        <w:rPr>
          <w:noProof w:val="0"/>
        </w:rPr>
        <w:t>Župan</w:t>
      </w:r>
      <w:r w:rsidR="00A7398A" w:rsidRPr="00F15FA4">
        <w:rPr>
          <w:noProof w:val="0"/>
        </w:rPr>
        <w:t xml:space="preserve"> </w:t>
      </w:r>
      <w:r w:rsidR="00722FAC" w:rsidRPr="00F15FA4">
        <w:rPr>
          <w:noProof w:val="0"/>
        </w:rPr>
        <w:br/>
      </w:r>
      <w:r w:rsidR="002B08B0" w:rsidRPr="00F15FA4">
        <w:rPr>
          <w:b w:val="0"/>
          <w:bCs/>
          <w:noProof w:val="0"/>
        </w:rPr>
        <w:t>Trg Edvarda Kardelja 1, 5000 Nova Gorica</w:t>
      </w:r>
    </w:p>
    <w:p w14:paraId="77EDCABD" w14:textId="77777777" w:rsidR="0066085E" w:rsidRPr="00F15FA4" w:rsidRDefault="0066085E" w:rsidP="0066085E">
      <w:pPr>
        <w:pStyle w:val="Nazivenote"/>
        <w:rPr>
          <w:noProof w:val="0"/>
        </w:rPr>
      </w:pPr>
    </w:p>
    <w:p w14:paraId="5B6C62D8" w14:textId="242B80DC" w:rsidR="0066085E" w:rsidRPr="00F15FA4" w:rsidRDefault="0066085E" w:rsidP="00BE5B70">
      <w:pPr>
        <w:pStyle w:val="stevilkadokumenta"/>
        <w:rPr>
          <w:noProof w:val="0"/>
        </w:rPr>
      </w:pPr>
      <w:r w:rsidRPr="00F15FA4">
        <w:rPr>
          <w:rStyle w:val="ZvezaZnak"/>
          <w:bCs/>
          <w:noProof w:val="0"/>
          <w:sz w:val="20"/>
          <w:u w:val="none"/>
        </w:rPr>
        <w:t xml:space="preserve">Številka: </w:t>
      </w:r>
      <w:r w:rsidR="008C0B0D" w:rsidRPr="00F15FA4">
        <w:rPr>
          <w:rStyle w:val="ZvezaZnak"/>
          <w:bCs/>
          <w:noProof w:val="0"/>
          <w:sz w:val="20"/>
          <w:u w:val="none"/>
        </w:rPr>
        <w:t>410-5/2023-87</w:t>
      </w:r>
      <w:r w:rsidR="00352A82" w:rsidRPr="00F15FA4">
        <w:rPr>
          <w:rStyle w:val="ZvezaZnak"/>
          <w:bCs/>
          <w:noProof w:val="0"/>
          <w:sz w:val="20"/>
          <w:u w:val="none"/>
        </w:rPr>
        <w:br/>
      </w:r>
      <w:r w:rsidRPr="00F15FA4">
        <w:rPr>
          <w:noProof w:val="0"/>
        </w:rPr>
        <w:t xml:space="preserve">Nova Gorica, dne </w:t>
      </w:r>
      <w:r w:rsidR="00D94AF8" w:rsidRPr="00F15FA4">
        <w:rPr>
          <w:noProof w:val="0"/>
        </w:rPr>
        <w:t>6. maj</w:t>
      </w:r>
      <w:r w:rsidR="008C0B0D" w:rsidRPr="00F15FA4">
        <w:rPr>
          <w:noProof w:val="0"/>
        </w:rPr>
        <w:t>a</w:t>
      </w:r>
      <w:r w:rsidR="00D94AF8" w:rsidRPr="00F15FA4">
        <w:rPr>
          <w:noProof w:val="0"/>
        </w:rPr>
        <w:t xml:space="preserve"> 2026</w:t>
      </w:r>
    </w:p>
    <w:p w14:paraId="7731015D" w14:textId="77777777" w:rsidR="000807CE" w:rsidRPr="00F15FA4" w:rsidRDefault="000807CE" w:rsidP="00BE5B70">
      <w:pPr>
        <w:pStyle w:val="stevilkadokumenta"/>
        <w:rPr>
          <w:rStyle w:val="ZvezaZnak"/>
          <w:bCs/>
          <w:noProof w:val="0"/>
          <w:sz w:val="20"/>
          <w:u w:val="none"/>
        </w:rPr>
      </w:pPr>
    </w:p>
    <w:p w14:paraId="2D9E2EAD" w14:textId="28716D67" w:rsidR="000807CE" w:rsidRPr="00F15FA4" w:rsidRDefault="000807CE" w:rsidP="009B227A">
      <w:pPr>
        <w:pStyle w:val="gradivo"/>
        <w:spacing w:before="480" w:after="480"/>
        <w:rPr>
          <w:b/>
          <w:bCs w:val="0"/>
          <w:noProof w:val="0"/>
        </w:rPr>
      </w:pPr>
      <w:r w:rsidRPr="00F15FA4">
        <w:rPr>
          <w:b/>
          <w:bCs w:val="0"/>
          <w:noProof w:val="0"/>
        </w:rPr>
        <w:t>MESTNI SVET MESTNE OBČINE NOVA GORICA</w:t>
      </w:r>
    </w:p>
    <w:p w14:paraId="42663E32" w14:textId="598C01A2" w:rsidR="008802E3" w:rsidRPr="00F15FA4" w:rsidRDefault="0066085E" w:rsidP="00FB7287">
      <w:pPr>
        <w:ind w:left="4395" w:hanging="3686"/>
      </w:pPr>
      <w:r w:rsidRPr="00F15FA4">
        <w:rPr>
          <w:b/>
          <w:bCs w:val="0"/>
        </w:rPr>
        <w:t>ZADEVA</w:t>
      </w:r>
      <w:r w:rsidRPr="00F15FA4">
        <w:t>:</w:t>
      </w:r>
      <w:r w:rsidRPr="00F15FA4">
        <w:tab/>
        <w:t>PREDLOG ZA OBRAVNAVO NA SEJI MESTNEGA SVETA MESTNE OBČINE NOVA GORICA</w:t>
      </w:r>
    </w:p>
    <w:p w14:paraId="1D7223B1" w14:textId="6F21FCB2" w:rsidR="0066085E" w:rsidRPr="00F15FA4" w:rsidRDefault="0066085E" w:rsidP="009B227A">
      <w:pPr>
        <w:pStyle w:val="Naslov1"/>
        <w:spacing w:before="240" w:after="240"/>
        <w:ind w:left="4395" w:hanging="3686"/>
        <w:rPr>
          <w:noProof w:val="0"/>
        </w:rPr>
      </w:pPr>
      <w:r w:rsidRPr="00F15FA4">
        <w:rPr>
          <w:noProof w:val="0"/>
          <w:sz w:val="20"/>
          <w:szCs w:val="20"/>
        </w:rPr>
        <w:t>NASLOV:</w:t>
      </w:r>
      <w:r w:rsidRPr="00F15FA4">
        <w:rPr>
          <w:noProof w:val="0"/>
        </w:rPr>
        <w:tab/>
      </w:r>
      <w:r w:rsidR="00D94AF8" w:rsidRPr="00F15FA4">
        <w:rPr>
          <w:noProof w:val="0"/>
          <w:sz w:val="20"/>
          <w:szCs w:val="20"/>
        </w:rPr>
        <w:t xml:space="preserve">Predlog </w:t>
      </w:r>
      <w:r w:rsidR="005E0B3C" w:rsidRPr="00F15FA4">
        <w:rPr>
          <w:noProof w:val="0"/>
          <w:sz w:val="20"/>
          <w:szCs w:val="20"/>
        </w:rPr>
        <w:t xml:space="preserve">Sklepa o določitvi dela plače </w:t>
      </w:r>
      <w:r w:rsidR="00D94AF8" w:rsidRPr="00F15FA4">
        <w:rPr>
          <w:noProof w:val="0"/>
          <w:sz w:val="20"/>
          <w:szCs w:val="20"/>
        </w:rPr>
        <w:t>za redno delovno uspešnost direk</w:t>
      </w:r>
      <w:r w:rsidR="00F15FA4">
        <w:rPr>
          <w:noProof w:val="0"/>
          <w:sz w:val="20"/>
          <w:szCs w:val="20"/>
        </w:rPr>
        <w:t>t</w:t>
      </w:r>
      <w:r w:rsidR="00D94AF8" w:rsidRPr="00F15FA4">
        <w:rPr>
          <w:noProof w:val="0"/>
          <w:sz w:val="20"/>
          <w:szCs w:val="20"/>
        </w:rPr>
        <w:t>orja Stanovanjskega sklada Mestne občine Nova Gorica</w:t>
      </w:r>
    </w:p>
    <w:p w14:paraId="4EB48263" w14:textId="118CE1D1" w:rsidR="0066085E" w:rsidRPr="00F15FA4" w:rsidRDefault="0066085E" w:rsidP="000E5815">
      <w:pPr>
        <w:ind w:left="4395" w:hanging="3686"/>
        <w:jc w:val="left"/>
      </w:pPr>
      <w:r w:rsidRPr="00F15FA4">
        <w:rPr>
          <w:b/>
          <w:bCs w:val="0"/>
        </w:rPr>
        <w:t>GRADIVO PRIPRAVIL</w:t>
      </w:r>
      <w:r w:rsidRPr="00F15FA4">
        <w:t>:</w:t>
      </w:r>
      <w:r w:rsidRPr="00F15FA4">
        <w:tab/>
      </w:r>
      <w:r w:rsidRPr="00F15FA4">
        <w:rPr>
          <w:rStyle w:val="gradivoZnak"/>
          <w:noProof w:val="0"/>
        </w:rPr>
        <w:t xml:space="preserve">Mestna občina Nova Gorica, </w:t>
      </w:r>
      <w:r w:rsidR="003E2C39" w:rsidRPr="00F15FA4">
        <w:rPr>
          <w:rStyle w:val="gradivoZnak"/>
          <w:noProof w:val="0"/>
        </w:rPr>
        <w:t>Urad direktorja</w:t>
      </w:r>
    </w:p>
    <w:p w14:paraId="2589E91B" w14:textId="5FDA0A61" w:rsidR="0066085E" w:rsidRPr="00F15FA4" w:rsidRDefault="0066085E" w:rsidP="00FB7287">
      <w:pPr>
        <w:ind w:left="4395" w:hanging="3686"/>
      </w:pPr>
      <w:r w:rsidRPr="00F15FA4">
        <w:rPr>
          <w:b/>
          <w:bCs w:val="0"/>
        </w:rPr>
        <w:t>IZDELOVALEC GRADIVA:</w:t>
      </w:r>
      <w:r w:rsidR="00FB7287" w:rsidRPr="00F15FA4">
        <w:tab/>
      </w:r>
      <w:r w:rsidR="00D94AF8" w:rsidRPr="00F15FA4">
        <w:t>/</w:t>
      </w:r>
    </w:p>
    <w:p w14:paraId="11F58982" w14:textId="652024A7" w:rsidR="0066085E" w:rsidRPr="00F15FA4" w:rsidRDefault="0066085E" w:rsidP="00FB7287">
      <w:pPr>
        <w:ind w:left="4395" w:hanging="3686"/>
        <w:rPr>
          <w:b/>
          <w:bCs w:val="0"/>
        </w:rPr>
      </w:pPr>
      <w:r w:rsidRPr="00F15FA4">
        <w:rPr>
          <w:b/>
          <w:bCs w:val="0"/>
        </w:rPr>
        <w:t>POROČEVALEC:</w:t>
      </w:r>
      <w:r w:rsidR="00FB7287" w:rsidRPr="00F15FA4">
        <w:t xml:space="preserve"> </w:t>
      </w:r>
      <w:r w:rsidR="00FB7287" w:rsidRPr="00F15FA4">
        <w:tab/>
      </w:r>
      <w:r w:rsidR="00D94AF8" w:rsidRPr="00F15FA4">
        <w:t>Tjaša Harej Pavlica, vodja Službe za premoženjske zadeve</w:t>
      </w:r>
    </w:p>
    <w:p w14:paraId="75A8D632" w14:textId="23BBC3B3" w:rsidR="0066085E" w:rsidRPr="00F15FA4" w:rsidRDefault="0066085E" w:rsidP="00FB7287">
      <w:pPr>
        <w:ind w:left="4395" w:hanging="3686"/>
      </w:pPr>
      <w:r w:rsidRPr="00F15FA4">
        <w:rPr>
          <w:b/>
          <w:bCs w:val="0"/>
        </w:rPr>
        <w:t xml:space="preserve">PRISTOJNO DELOVNO </w:t>
      </w:r>
      <w:r w:rsidR="002579A6" w:rsidRPr="00F15FA4">
        <w:rPr>
          <w:b/>
          <w:bCs w:val="0"/>
        </w:rPr>
        <w:t>TELO</w:t>
      </w:r>
      <w:r w:rsidRPr="00F15FA4">
        <w:t xml:space="preserve">: </w:t>
      </w:r>
      <w:r w:rsidRPr="00F15FA4">
        <w:tab/>
      </w:r>
      <w:r w:rsidR="00D94AF8" w:rsidRPr="00F15FA4">
        <w:t>Odbor za prostor</w:t>
      </w:r>
    </w:p>
    <w:p w14:paraId="4C9319DA" w14:textId="7B5A35DC" w:rsidR="0066085E" w:rsidRPr="00F15FA4" w:rsidRDefault="0066085E" w:rsidP="00352A82">
      <w:pPr>
        <w:rPr>
          <w:b/>
          <w:bCs w:val="0"/>
        </w:rPr>
      </w:pPr>
      <w:r w:rsidRPr="00F15FA4">
        <w:rPr>
          <w:b/>
          <w:bCs w:val="0"/>
        </w:rPr>
        <w:t xml:space="preserve">PREDLOG SKLEPA: </w:t>
      </w:r>
    </w:p>
    <w:p w14:paraId="67B3757E" w14:textId="6B6FC99A" w:rsidR="000E5815" w:rsidRPr="00F15FA4" w:rsidRDefault="00D94AF8" w:rsidP="00F15FA4">
      <w:pPr>
        <w:jc w:val="left"/>
      </w:pPr>
      <w:bookmarkStart w:id="0" w:name="_Hlk195615944"/>
      <w:r w:rsidRPr="00F15FA4">
        <w:t xml:space="preserve">Mestni svet Mestne občine Nova Gorica sprejme Sklep o </w:t>
      </w:r>
      <w:r w:rsidR="005E0B3C" w:rsidRPr="00F15FA4">
        <w:t>določitvi</w:t>
      </w:r>
      <w:r w:rsidRPr="00F15FA4">
        <w:t xml:space="preserve"> dela plače za redno delovno uspešnost direktorja Stanovanjskega sklada Mestne občine Nova Gorica za leto 2025.</w:t>
      </w:r>
    </w:p>
    <w:p w14:paraId="7AA05322" w14:textId="77777777" w:rsidR="000E5815" w:rsidRPr="00F15FA4" w:rsidRDefault="000E5815" w:rsidP="00FB7287"/>
    <w:tbl>
      <w:tblPr>
        <w:tblStyle w:val="Tabelamrea"/>
        <w:tblW w:w="3549" w:type="dxa"/>
        <w:tblInd w:w="55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A0" w:firstRow="1" w:lastRow="0" w:firstColumn="1" w:lastColumn="0" w:noHBand="1" w:noVBand="1"/>
      </w:tblPr>
      <w:tblGrid>
        <w:gridCol w:w="3549"/>
      </w:tblGrid>
      <w:tr w:rsidR="00FB7287" w:rsidRPr="00F15FA4" w14:paraId="0FF38549" w14:textId="77777777" w:rsidTr="00FB7287">
        <w:tc>
          <w:tcPr>
            <w:tcW w:w="3549" w:type="dxa"/>
          </w:tcPr>
          <w:p w14:paraId="1D1D813B" w14:textId="77777777" w:rsidR="00FB7287" w:rsidRPr="00F15FA4" w:rsidRDefault="00FB7287" w:rsidP="00C818D4">
            <w:pPr>
              <w:pStyle w:val="Podpisoseba"/>
              <w:spacing w:before="0" w:after="0"/>
              <w:rPr>
                <w:b/>
                <w:noProof w:val="0"/>
                <w:color w:val="FFFFFF" w:themeColor="background1"/>
              </w:rPr>
            </w:pPr>
            <w:r w:rsidRPr="00F15FA4">
              <w:rPr>
                <w:b/>
                <w:noProof w:val="0"/>
                <w:color w:val="FFFFFF" w:themeColor="background1"/>
              </w:rPr>
              <w:t>Desnik podpisnik</w:t>
            </w:r>
          </w:p>
        </w:tc>
      </w:tr>
      <w:tr w:rsidR="00FB7287" w:rsidRPr="00F15FA4" w14:paraId="6D021AA2" w14:textId="77777777" w:rsidTr="00FB7287">
        <w:tc>
          <w:tcPr>
            <w:tcW w:w="3549" w:type="dxa"/>
          </w:tcPr>
          <w:p w14:paraId="7F514CF4" w14:textId="77777777" w:rsidR="00FB7287" w:rsidRPr="00F15FA4" w:rsidRDefault="00FB7287" w:rsidP="00C818D4">
            <w:pPr>
              <w:pStyle w:val="Podpisoseba"/>
              <w:spacing w:before="0" w:after="0"/>
              <w:rPr>
                <w:bCs w:val="0"/>
                <w:noProof w:val="0"/>
              </w:rPr>
            </w:pPr>
            <w:r w:rsidRPr="00F15FA4">
              <w:rPr>
                <w:b/>
                <w:noProof w:val="0"/>
              </w:rPr>
              <w:t>Samo Turel</w:t>
            </w:r>
          </w:p>
        </w:tc>
      </w:tr>
      <w:tr w:rsidR="00FB7287" w:rsidRPr="00F15FA4" w14:paraId="1EDB9A6B" w14:textId="77777777" w:rsidTr="00FB7287">
        <w:trPr>
          <w:trHeight w:val="530"/>
        </w:trPr>
        <w:tc>
          <w:tcPr>
            <w:tcW w:w="3549" w:type="dxa"/>
          </w:tcPr>
          <w:p w14:paraId="07F6B71D" w14:textId="2A2A65BF" w:rsidR="00FB7287" w:rsidRPr="00F15FA4" w:rsidRDefault="008C0B0D" w:rsidP="00C818D4">
            <w:pPr>
              <w:pStyle w:val="Podpisoseba"/>
              <w:spacing w:before="0" w:after="0"/>
              <w:rPr>
                <w:bCs w:val="0"/>
                <w:noProof w:val="0"/>
              </w:rPr>
            </w:pPr>
            <w:r w:rsidRPr="00F15FA4">
              <w:rPr>
                <w:noProof w:val="0"/>
              </w:rPr>
              <w:t>Ž</w:t>
            </w:r>
            <w:r w:rsidR="00FB7287" w:rsidRPr="00F15FA4">
              <w:rPr>
                <w:noProof w:val="0"/>
              </w:rPr>
              <w:t>upan</w:t>
            </w:r>
          </w:p>
        </w:tc>
      </w:tr>
      <w:bookmarkEnd w:id="0"/>
    </w:tbl>
    <w:p w14:paraId="44177559" w14:textId="77777777" w:rsidR="00FB7287" w:rsidRPr="00F15FA4" w:rsidRDefault="00FB7287" w:rsidP="00BE5B70">
      <w:pPr>
        <w:rPr>
          <w:rStyle w:val="ZvezaZnak"/>
          <w:bCs/>
          <w:noProof w:val="0"/>
          <w:sz w:val="20"/>
          <w:u w:val="none"/>
        </w:rPr>
      </w:pPr>
    </w:p>
    <w:p w14:paraId="407F5419" w14:textId="77777777" w:rsidR="008C0B0D" w:rsidRPr="00F15FA4" w:rsidRDefault="008C0B0D" w:rsidP="00BE5B70">
      <w:pPr>
        <w:rPr>
          <w:rStyle w:val="ZvezaZnak"/>
          <w:bCs/>
          <w:noProof w:val="0"/>
          <w:sz w:val="20"/>
          <w:u w:val="none"/>
        </w:rPr>
      </w:pPr>
    </w:p>
    <w:p w14:paraId="1C6841A1" w14:textId="0A7158D1" w:rsidR="0005678C" w:rsidRPr="00F15FA4" w:rsidRDefault="0066085E" w:rsidP="00774DD1">
      <w:pPr>
        <w:pStyle w:val="gradivo"/>
        <w:rPr>
          <w:noProof w:val="0"/>
        </w:rPr>
      </w:pPr>
      <w:r w:rsidRPr="00F15FA4">
        <w:rPr>
          <w:noProof w:val="0"/>
        </w:rPr>
        <w:t>Gradivo</w:t>
      </w:r>
      <w:r w:rsidR="00F12361" w:rsidRPr="00F15FA4">
        <w:rPr>
          <w:noProof w:val="0"/>
        </w:rPr>
        <w:t>:</w:t>
      </w:r>
    </w:p>
    <w:p w14:paraId="08ABD712" w14:textId="2F03685C" w:rsidR="00774DD1" w:rsidRPr="00F15FA4" w:rsidRDefault="0066085E" w:rsidP="00774DD1">
      <w:pPr>
        <w:pStyle w:val="gradivo"/>
        <w:numPr>
          <w:ilvl w:val="0"/>
          <w:numId w:val="10"/>
        </w:numPr>
        <w:rPr>
          <w:noProof w:val="0"/>
        </w:rPr>
      </w:pPr>
      <w:r w:rsidRPr="00F15FA4">
        <w:rPr>
          <w:noProof w:val="0"/>
        </w:rPr>
        <w:t>Gradivo</w:t>
      </w:r>
      <w:r w:rsidR="00F12361" w:rsidRPr="00F15FA4">
        <w:rPr>
          <w:noProof w:val="0"/>
        </w:rPr>
        <w:t xml:space="preserve"> 1: </w:t>
      </w:r>
      <w:r w:rsidR="00D94AF8" w:rsidRPr="00F15FA4">
        <w:rPr>
          <w:noProof w:val="0"/>
        </w:rPr>
        <w:t>predlog sklepa z obrazložitvijo in prilogo</w:t>
      </w:r>
    </w:p>
    <w:p w14:paraId="35EBE53F" w14:textId="77777777" w:rsidR="001C491B" w:rsidRPr="00F15FA4" w:rsidRDefault="001C491B" w:rsidP="00352A82">
      <w:pPr>
        <w:pStyle w:val="Odstavekseznama"/>
      </w:pPr>
    </w:p>
    <w:p w14:paraId="29F8F0D4" w14:textId="77777777" w:rsidR="001C491B" w:rsidRPr="00F15FA4" w:rsidRDefault="001C491B" w:rsidP="00352A82">
      <w:pPr>
        <w:sectPr w:rsidR="001C491B" w:rsidRPr="00F15FA4" w:rsidSect="00E217AD">
          <w:headerReference w:type="default" r:id="rId10"/>
          <w:footerReference w:type="default" r:id="rId11"/>
          <w:headerReference w:type="first" r:id="rId12"/>
          <w:footerReference w:type="first" r:id="rId13"/>
          <w:pgSz w:w="11906" w:h="16838"/>
          <w:pgMar w:top="1418" w:right="1418" w:bottom="1418" w:left="1418" w:header="1304" w:footer="454" w:gutter="0"/>
          <w:cols w:space="708"/>
          <w:titlePg/>
          <w:docGrid w:linePitch="360"/>
        </w:sectPr>
      </w:pPr>
    </w:p>
    <w:p w14:paraId="68735223" w14:textId="544422C2" w:rsidR="0066085E" w:rsidRPr="00F15FA4" w:rsidRDefault="000E5815" w:rsidP="00355F3A">
      <w:pPr>
        <w:pStyle w:val="Nazivenote"/>
        <w:rPr>
          <w:b w:val="0"/>
          <w:bCs/>
          <w:noProof w:val="0"/>
        </w:rPr>
      </w:pPr>
      <w:r w:rsidRPr="00F15FA4">
        <w:rPr>
          <w:noProof w:val="0"/>
        </w:rPr>
        <w:lastRenderedPageBreak/>
        <mc:AlternateContent>
          <mc:Choice Requires="wps">
            <w:drawing>
              <wp:anchor distT="45720" distB="45720" distL="114300" distR="114300" simplePos="0" relativeHeight="251658243" behindDoc="1" locked="0" layoutInCell="1" allowOverlap="1" wp14:anchorId="368F71C2" wp14:editId="1D64AC6F">
                <wp:simplePos x="0" y="0"/>
                <wp:positionH relativeFrom="column">
                  <wp:posOffset>4217670</wp:posOffset>
                </wp:positionH>
                <wp:positionV relativeFrom="paragraph">
                  <wp:posOffset>2540</wp:posOffset>
                </wp:positionV>
                <wp:extent cx="1549400" cy="622300"/>
                <wp:effectExtent l="0" t="0" r="0" b="6350"/>
                <wp:wrapTight wrapText="bothSides">
                  <wp:wrapPolygon edited="0">
                    <wp:start x="0" y="0"/>
                    <wp:lineTo x="0" y="21159"/>
                    <wp:lineTo x="21246" y="21159"/>
                    <wp:lineTo x="21246" y="0"/>
                    <wp:lineTo x="0" y="0"/>
                  </wp:wrapPolygon>
                </wp:wrapTight>
                <wp:docPr id="22"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9400" cy="622300"/>
                        </a:xfrm>
                        <a:prstGeom prst="rect">
                          <a:avLst/>
                        </a:prstGeom>
                        <a:solidFill>
                          <a:srgbClr val="FFFFFF"/>
                        </a:solidFill>
                        <a:ln w="9525">
                          <a:noFill/>
                          <a:miter lim="800000"/>
                          <a:headEnd/>
                          <a:tailEnd/>
                        </a:ln>
                      </wps:spPr>
                      <wps:txbx>
                        <w:txbxContent>
                          <w:p w14:paraId="03F6F41E" w14:textId="57F50908" w:rsidR="000E5815" w:rsidRPr="00F15FA4" w:rsidRDefault="000E5815" w:rsidP="000E5815">
                            <w:pPr>
                              <w:pStyle w:val="tevilka"/>
                              <w:rPr>
                                <w:noProof w:val="0"/>
                                <w:sz w:val="50"/>
                                <w:szCs w:val="50"/>
                              </w:rPr>
                            </w:pPr>
                            <w:r w:rsidRPr="00F15FA4">
                              <w:rPr>
                                <w:noProof w:val="0"/>
                                <w:sz w:val="50"/>
                                <w:szCs w:val="50"/>
                              </w:rPr>
                              <w:t>Predlog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8F71C2" id="_x0000_s1027" type="#_x0000_t202" style="position:absolute;left:0;text-align:left;margin-left:332.1pt;margin-top:.2pt;width:122pt;height:49pt;z-index:-25165823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" stroked="f">
                <v:textbox>
                  <w:txbxContent>
                    <w:p w14:paraId="03F6F41E" w14:textId="57F50908" w:rsidR="000E5815" w:rsidRPr="00F15FA4" w:rsidRDefault="000E5815" w:rsidP="000E5815">
                      <w:pPr>
                        <w:pStyle w:val="tevilka"/>
                        <w:rPr>
                          <w:noProof w:val="0"/>
                          <w:sz w:val="50"/>
                          <w:szCs w:val="50"/>
                        </w:rPr>
                      </w:pPr>
                      <w:r w:rsidRPr="00F15FA4">
                        <w:rPr>
                          <w:noProof w:val="0"/>
                          <w:sz w:val="50"/>
                          <w:szCs w:val="50"/>
                        </w:rPr>
                        <w:t>Predlog</w:t>
                      </w:r>
                    </w:p>
                  </w:txbxContent>
                </v:textbox>
                <w10:wrap type="tight"/>
              </v:shape>
            </w:pict>
          </mc:Fallback>
        </mc:AlternateContent>
      </w:r>
      <w:r w:rsidRPr="00F15FA4">
        <w:rPr>
          <w:noProof w:val="0"/>
        </w:rPr>
        <mc:AlternateContent>
          <mc:Choice Requires="wps">
            <w:drawing>
              <wp:anchor distT="0" distB="0" distL="114300" distR="114300" simplePos="0" relativeHeight="251658242" behindDoc="0" locked="0" layoutInCell="1" allowOverlap="1" wp14:anchorId="1F923174" wp14:editId="5DA75253">
                <wp:simplePos x="0" y="0"/>
                <wp:positionH relativeFrom="page">
                  <wp:posOffset>5080000</wp:posOffset>
                </wp:positionH>
                <wp:positionV relativeFrom="page">
                  <wp:posOffset>965200</wp:posOffset>
                </wp:positionV>
                <wp:extent cx="1663700" cy="914400"/>
                <wp:effectExtent l="0" t="0" r="12700" b="19050"/>
                <wp:wrapNone/>
                <wp:docPr id="21" name="Pravokotnik 2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663700" cy="914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AE9CD0" id="Pravokotnik 21" o:spid="_x0000_s1026" alt="&quot;&quot;" style="position:absolute;margin-left:400pt;margin-top:76pt;width:131pt;height:1in;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" filled="f" strokecolor="black [3213]" strokeweight="1pt">
                <w10:wrap anchorx="page" anchory="page"/>
              </v:rect>
            </w:pict>
          </mc:Fallback>
        </mc:AlternateContent>
      </w:r>
      <w:r w:rsidR="00731380" w:rsidRPr="00F15FA4">
        <w:rPr>
          <w:noProof w:val="0"/>
        </w:rPr>
        <w:t xml:space="preserve">Mestni </w:t>
      </w:r>
      <w:r w:rsidR="00964AD4" w:rsidRPr="00F15FA4">
        <w:rPr>
          <w:noProof w:val="0"/>
        </w:rPr>
        <w:t>s</w:t>
      </w:r>
      <w:r w:rsidR="00731380" w:rsidRPr="00F15FA4">
        <w:rPr>
          <w:noProof w:val="0"/>
        </w:rPr>
        <w:t>vet</w:t>
      </w:r>
      <w:r w:rsidR="00731380" w:rsidRPr="00F15FA4">
        <w:rPr>
          <w:noProof w:val="0"/>
        </w:rPr>
        <w:br/>
      </w:r>
      <w:r w:rsidR="00731380" w:rsidRPr="00F15FA4">
        <w:rPr>
          <w:b w:val="0"/>
          <w:bCs/>
          <w:noProof w:val="0"/>
        </w:rPr>
        <w:t>Trg Edvarda Kardelja 1, 5000 Nova Gorica</w:t>
      </w:r>
    </w:p>
    <w:p w14:paraId="4DA58669" w14:textId="77777777" w:rsidR="000E5815" w:rsidRPr="00F15FA4" w:rsidRDefault="000E5815" w:rsidP="00BE5B70"/>
    <w:p w14:paraId="58D8DDBC" w14:textId="77777777" w:rsidR="000E5815" w:rsidRPr="00F15FA4" w:rsidRDefault="000E5815" w:rsidP="00BE5B70"/>
    <w:p w14:paraId="690B0B85" w14:textId="5AF36172" w:rsidR="00BE5B70" w:rsidRPr="00F15FA4" w:rsidRDefault="00D94AF8" w:rsidP="00D94AF8">
      <w:pPr>
        <w:jc w:val="left"/>
      </w:pPr>
      <w:r w:rsidRPr="00F15FA4">
        <w:t>Na podlagi 119. člena Zakona o skupnih temeljih sistema plač v javnem sektorju (Uradni list RS, št. 95/24 in 12/26 - ZPPJUFT), 6. člena Uredbe o plačah javnih uslužbencev plačne skupine B (Uradni list RS, št. 99/24, 109/24, 26/25, 29/25</w:t>
      </w:r>
      <w:r w:rsidR="005E0B3C" w:rsidRPr="00F15FA4">
        <w:rPr>
          <w:rFonts w:eastAsia="Arial"/>
        </w:rPr>
        <w:t xml:space="preserve"> in 135/26</w:t>
      </w:r>
      <w:r w:rsidRPr="00F15FA4">
        <w:t>)</w:t>
      </w:r>
      <w:r w:rsidR="005E0B3C" w:rsidRPr="00F15FA4">
        <w:t xml:space="preserve">, </w:t>
      </w:r>
      <w:r w:rsidR="003930FF" w:rsidRPr="00F15FA4">
        <w:t>Pravilnikom o merilih za ugotavljanje delovne uspešnosti z delovnega področja Ministrstva za solidarno prihodnost (Uradni list RS, št. 130/23 in 95/24 - ZSTSPJS)</w:t>
      </w:r>
      <w:r w:rsidRPr="00F15FA4">
        <w:t xml:space="preserve"> in 19. člena Statuta Mestne občine Nova Gorica (Uradni list RS, št. 13/12, 18/17 in 18/19) je Mestni svet Mestne občine Nova Gorica na seji dne_________ sprejel</w:t>
      </w:r>
    </w:p>
    <w:p w14:paraId="02E67766" w14:textId="77777777" w:rsidR="00D94AF8" w:rsidRPr="00F15FA4" w:rsidRDefault="00D94AF8" w:rsidP="00D94AF8">
      <w:pPr>
        <w:spacing w:after="0"/>
        <w:jc w:val="center"/>
        <w:rPr>
          <w:rFonts w:eastAsiaTheme="majorEastAsia" w:cstheme="majorBidi"/>
          <w:b/>
          <w:color w:val="2F5496" w:themeColor="accent1" w:themeShade="BF"/>
          <w:sz w:val="22"/>
          <w:szCs w:val="28"/>
        </w:rPr>
      </w:pPr>
      <w:r w:rsidRPr="00F15FA4">
        <w:rPr>
          <w:rFonts w:eastAsiaTheme="majorEastAsia" w:cstheme="majorBidi"/>
          <w:b/>
          <w:color w:val="2F5496" w:themeColor="accent1" w:themeShade="BF"/>
          <w:sz w:val="22"/>
          <w:szCs w:val="28"/>
        </w:rPr>
        <w:t>S K L E P</w:t>
      </w:r>
    </w:p>
    <w:p w14:paraId="5325DB33" w14:textId="09262857" w:rsidR="00D94AF8" w:rsidRPr="00F15FA4" w:rsidRDefault="005E0B3C" w:rsidP="00D94AF8">
      <w:pPr>
        <w:spacing w:after="0"/>
        <w:jc w:val="center"/>
        <w:rPr>
          <w:rFonts w:eastAsiaTheme="majorEastAsia" w:cstheme="majorBidi"/>
          <w:b/>
          <w:color w:val="2F5496" w:themeColor="accent1" w:themeShade="BF"/>
          <w:sz w:val="22"/>
          <w:szCs w:val="28"/>
        </w:rPr>
      </w:pPr>
      <w:r w:rsidRPr="00F15FA4">
        <w:rPr>
          <w:rFonts w:eastAsiaTheme="majorEastAsia" w:cstheme="majorBidi"/>
          <w:b/>
          <w:color w:val="2F5496" w:themeColor="accent1" w:themeShade="BF"/>
          <w:sz w:val="22"/>
          <w:szCs w:val="28"/>
        </w:rPr>
        <w:t xml:space="preserve">o določitvi </w:t>
      </w:r>
      <w:r w:rsidR="00D94AF8" w:rsidRPr="00F15FA4">
        <w:rPr>
          <w:rFonts w:eastAsiaTheme="majorEastAsia" w:cstheme="majorBidi"/>
          <w:b/>
          <w:color w:val="2F5496" w:themeColor="accent1" w:themeShade="BF"/>
          <w:sz w:val="22"/>
          <w:szCs w:val="28"/>
        </w:rPr>
        <w:t>dela plače za redno delovno uspešnost direktorja Stanovanjskega sklada Mestne občine Nova Gorica za leto 2025</w:t>
      </w:r>
    </w:p>
    <w:p w14:paraId="38ED640F" w14:textId="77777777" w:rsidR="00D94AF8" w:rsidRPr="00F15FA4" w:rsidRDefault="00D94AF8" w:rsidP="00D94AF8">
      <w:pPr>
        <w:spacing w:after="0"/>
        <w:jc w:val="center"/>
        <w:rPr>
          <w:rFonts w:eastAsiaTheme="majorEastAsia" w:cstheme="majorBidi"/>
          <w:b/>
          <w:color w:val="2F5496" w:themeColor="accent1" w:themeShade="BF"/>
          <w:sz w:val="22"/>
          <w:szCs w:val="28"/>
        </w:rPr>
      </w:pPr>
    </w:p>
    <w:p w14:paraId="705A2F6D" w14:textId="77777777" w:rsidR="000E5815" w:rsidRPr="00F15FA4" w:rsidRDefault="000E5815" w:rsidP="006E0F20">
      <w:pPr>
        <w:jc w:val="center"/>
      </w:pPr>
      <w:r w:rsidRPr="00F15FA4">
        <w:t>1.</w:t>
      </w:r>
    </w:p>
    <w:p w14:paraId="59D9EE1C" w14:textId="082090FF" w:rsidR="003930FF" w:rsidRPr="00F15FA4" w:rsidRDefault="003930FF" w:rsidP="00F15FA4">
      <w:pPr>
        <w:spacing w:after="0"/>
        <w:jc w:val="left"/>
      </w:pPr>
      <w:r w:rsidRPr="00F15FA4">
        <w:t xml:space="preserve">Direktorju Stanovanjskega sklada Mestne občine Nova Gorica se za leto </w:t>
      </w:r>
      <w:r w:rsidR="004A61C3" w:rsidRPr="00F15FA4">
        <w:t>2025</w:t>
      </w:r>
      <w:r w:rsidRPr="00F15FA4">
        <w:t xml:space="preserve"> določi del plače za redno delovno uspešnost v višini 2.013,96 EUR bruto.</w:t>
      </w:r>
    </w:p>
    <w:p w14:paraId="18907BCB" w14:textId="77777777" w:rsidR="003930FF" w:rsidRPr="00F15FA4" w:rsidRDefault="003930FF" w:rsidP="00F15FA4">
      <w:pPr>
        <w:spacing w:after="0"/>
        <w:jc w:val="left"/>
      </w:pPr>
    </w:p>
    <w:p w14:paraId="1E208892" w14:textId="4C89DA4F" w:rsidR="003930FF" w:rsidRPr="00F15FA4" w:rsidRDefault="003930FF" w:rsidP="00F15FA4">
      <w:pPr>
        <w:spacing w:after="0"/>
        <w:jc w:val="left"/>
      </w:pPr>
      <w:r w:rsidRPr="00F15FA4">
        <w:t>Redna delovna uspešnost se skladno s Pravilnikom o merilih za ugotavljanje delovne uspešnosti direktorjev z delovnega področja Ministrstva za solidarno prihodnost ovrednoti v skupni višini 80% vrednosti meril.</w:t>
      </w:r>
    </w:p>
    <w:p w14:paraId="08F1EE01" w14:textId="77777777" w:rsidR="003930FF" w:rsidRPr="00F15FA4" w:rsidRDefault="003930FF" w:rsidP="006E0F20">
      <w:pPr>
        <w:spacing w:after="0" w:line="240" w:lineRule="auto"/>
        <w:jc w:val="left"/>
      </w:pPr>
    </w:p>
    <w:p w14:paraId="7BF4CAEB" w14:textId="77777777" w:rsidR="00D94AF8" w:rsidRPr="00F15FA4" w:rsidRDefault="00D94AF8" w:rsidP="006E0F20">
      <w:pPr>
        <w:jc w:val="center"/>
      </w:pPr>
      <w:r w:rsidRPr="00F15FA4">
        <w:t>2.</w:t>
      </w:r>
    </w:p>
    <w:p w14:paraId="7919923A" w14:textId="6A22957B" w:rsidR="00D94AF8" w:rsidRPr="00F15FA4" w:rsidRDefault="00D94AF8" w:rsidP="006E0F20">
      <w:pPr>
        <w:jc w:val="left"/>
      </w:pPr>
      <w:r w:rsidRPr="00F15FA4">
        <w:t xml:space="preserve">Za plačilo redne delovne uspešnosti se nameni 5% letnih sredstev za osnovno plačo </w:t>
      </w:r>
      <w:r w:rsidR="00F963A0" w:rsidRPr="00F15FA4">
        <w:t>direktorja</w:t>
      </w:r>
      <w:r w:rsidRPr="00F15FA4">
        <w:t>.</w:t>
      </w:r>
    </w:p>
    <w:p w14:paraId="650BBAD2" w14:textId="77777777" w:rsidR="00D94AF8" w:rsidRPr="00F15FA4" w:rsidRDefault="00D94AF8" w:rsidP="006E0F20">
      <w:pPr>
        <w:jc w:val="center"/>
      </w:pPr>
      <w:r w:rsidRPr="00F15FA4">
        <w:t>3.</w:t>
      </w:r>
    </w:p>
    <w:p w14:paraId="0E0AFEF5" w14:textId="56F45CA8" w:rsidR="00D94AF8" w:rsidRPr="00F15FA4" w:rsidRDefault="004A61C3" w:rsidP="006E0F20">
      <w:pPr>
        <w:spacing w:after="0" w:line="240" w:lineRule="auto"/>
        <w:jc w:val="left"/>
      </w:pPr>
      <w:r w:rsidRPr="00F15FA4">
        <w:t>Direktorju se del plače za redno delovno uspešnost za leto 2025 izplača v letu 2026.</w:t>
      </w:r>
    </w:p>
    <w:p w14:paraId="71AA2427" w14:textId="77777777" w:rsidR="006E0F20" w:rsidRPr="00F15FA4" w:rsidRDefault="006E0F20" w:rsidP="006E0F20">
      <w:pPr>
        <w:spacing w:after="0" w:line="240" w:lineRule="auto"/>
        <w:jc w:val="left"/>
      </w:pPr>
    </w:p>
    <w:p w14:paraId="56E3A95C" w14:textId="77777777" w:rsidR="00D94AF8" w:rsidRPr="00F15FA4" w:rsidRDefault="00D94AF8" w:rsidP="00F963A0">
      <w:pPr>
        <w:jc w:val="center"/>
      </w:pPr>
      <w:r w:rsidRPr="00F15FA4">
        <w:t>4.</w:t>
      </w:r>
    </w:p>
    <w:p w14:paraId="76E51CA3" w14:textId="2EBC4925" w:rsidR="00D94AF8" w:rsidRPr="00F15FA4" w:rsidRDefault="00D94AF8" w:rsidP="00D94AF8">
      <w:pPr>
        <w:jc w:val="left"/>
      </w:pPr>
      <w:r w:rsidRPr="00F15FA4">
        <w:t>Ta sklep velja tako</w:t>
      </w:r>
      <w:r w:rsidR="00F963A0" w:rsidRPr="00F15FA4">
        <w:t>j</w:t>
      </w:r>
    </w:p>
    <w:p w14:paraId="4549E1F2" w14:textId="661E61B4" w:rsidR="00714788" w:rsidRPr="00F15FA4" w:rsidRDefault="00352A82" w:rsidP="00F963A0">
      <w:pPr>
        <w:pStyle w:val="stevilkadokumenta"/>
        <w:rPr>
          <w:noProof w:val="0"/>
        </w:rPr>
      </w:pPr>
      <w:r w:rsidRPr="00F15FA4">
        <w:rPr>
          <w:rStyle w:val="ZvezaZnak"/>
          <w:noProof w:val="0"/>
          <w:sz w:val="20"/>
          <w:u w:val="none"/>
        </w:rPr>
        <w:t xml:space="preserve">Številka: </w:t>
      </w:r>
      <w:r w:rsidR="008C0B0D" w:rsidRPr="00F15FA4">
        <w:rPr>
          <w:rStyle w:val="ZvezaZnak"/>
          <w:bCs/>
          <w:noProof w:val="0"/>
          <w:sz w:val="20"/>
          <w:u w:val="none"/>
        </w:rPr>
        <w:t>410-5/2023</w:t>
      </w:r>
      <w:r w:rsidRPr="00F15FA4">
        <w:rPr>
          <w:rStyle w:val="ZvezaZnak"/>
          <w:noProof w:val="0"/>
          <w:sz w:val="20"/>
          <w:u w:val="none"/>
        </w:rPr>
        <w:br/>
      </w:r>
      <w:r w:rsidRPr="00F15FA4">
        <w:rPr>
          <w:noProof w:val="0"/>
        </w:rPr>
        <w:t xml:space="preserve">Nova Gorica, dne </w:t>
      </w:r>
    </w:p>
    <w:tbl>
      <w:tblPr>
        <w:tblStyle w:val="Tabelamrea"/>
        <w:tblpPr w:leftFromText="141" w:rightFromText="141" w:vertAnchor="text" w:horzAnchor="margin" w:tblpXSpec="right" w:tblpY="-91"/>
        <w:tblW w:w="35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A0" w:firstRow="1" w:lastRow="0" w:firstColumn="1" w:lastColumn="0" w:noHBand="1" w:noVBand="1"/>
      </w:tblPr>
      <w:tblGrid>
        <w:gridCol w:w="3549"/>
      </w:tblGrid>
      <w:tr w:rsidR="009060A3" w:rsidRPr="00F15FA4" w14:paraId="3CD79ED9" w14:textId="77777777" w:rsidTr="009060A3">
        <w:tc>
          <w:tcPr>
            <w:tcW w:w="3549" w:type="dxa"/>
          </w:tcPr>
          <w:p w14:paraId="3281E915" w14:textId="77777777" w:rsidR="009060A3" w:rsidRPr="00F15FA4" w:rsidRDefault="009060A3" w:rsidP="009060A3">
            <w:pPr>
              <w:pStyle w:val="Podpisoseba"/>
              <w:spacing w:before="0" w:after="0"/>
              <w:rPr>
                <w:b/>
                <w:noProof w:val="0"/>
                <w:color w:val="FFFFFF" w:themeColor="background1"/>
              </w:rPr>
            </w:pPr>
            <w:r w:rsidRPr="00F15FA4">
              <w:rPr>
                <w:b/>
                <w:noProof w:val="0"/>
                <w:color w:val="FFFFFF" w:themeColor="background1"/>
              </w:rPr>
              <w:t>Desnik podpisnik</w:t>
            </w:r>
          </w:p>
        </w:tc>
      </w:tr>
      <w:tr w:rsidR="009060A3" w:rsidRPr="00F15FA4" w14:paraId="0E78414C" w14:textId="77777777" w:rsidTr="009060A3">
        <w:tc>
          <w:tcPr>
            <w:tcW w:w="3549" w:type="dxa"/>
          </w:tcPr>
          <w:p w14:paraId="36F5CAF7" w14:textId="77777777" w:rsidR="009060A3" w:rsidRPr="00F15FA4" w:rsidRDefault="009060A3" w:rsidP="009060A3">
            <w:pPr>
              <w:pStyle w:val="Podpisoseba"/>
              <w:spacing w:before="0" w:after="0"/>
              <w:rPr>
                <w:bCs w:val="0"/>
                <w:noProof w:val="0"/>
              </w:rPr>
            </w:pPr>
            <w:r w:rsidRPr="00F15FA4">
              <w:rPr>
                <w:b/>
                <w:noProof w:val="0"/>
              </w:rPr>
              <w:t>Samo Turel</w:t>
            </w:r>
          </w:p>
        </w:tc>
      </w:tr>
      <w:tr w:rsidR="009060A3" w:rsidRPr="00F15FA4" w14:paraId="296EC3FE" w14:textId="77777777" w:rsidTr="009060A3">
        <w:trPr>
          <w:trHeight w:val="530"/>
        </w:trPr>
        <w:tc>
          <w:tcPr>
            <w:tcW w:w="3549" w:type="dxa"/>
          </w:tcPr>
          <w:p w14:paraId="366DB2BD" w14:textId="5EF1DE8D" w:rsidR="009060A3" w:rsidRPr="00F15FA4" w:rsidRDefault="008C0B0D" w:rsidP="009060A3">
            <w:pPr>
              <w:pStyle w:val="Podpisoseba"/>
              <w:spacing w:before="0" w:after="0"/>
              <w:rPr>
                <w:bCs w:val="0"/>
                <w:noProof w:val="0"/>
              </w:rPr>
            </w:pPr>
            <w:r w:rsidRPr="00F15FA4">
              <w:rPr>
                <w:noProof w:val="0"/>
              </w:rPr>
              <w:t>Ž</w:t>
            </w:r>
            <w:r w:rsidR="009060A3" w:rsidRPr="00F15FA4">
              <w:rPr>
                <w:noProof w:val="0"/>
              </w:rPr>
              <w:t>upan</w:t>
            </w:r>
          </w:p>
        </w:tc>
      </w:tr>
    </w:tbl>
    <w:p w14:paraId="1600E036" w14:textId="3AA6434C" w:rsidR="00714788" w:rsidRPr="00F15FA4" w:rsidRDefault="00714788" w:rsidP="00352A82"/>
    <w:p w14:paraId="17707F9F" w14:textId="51DCB567" w:rsidR="00714788" w:rsidRPr="00F15FA4" w:rsidRDefault="00714788" w:rsidP="00352A82"/>
    <w:p w14:paraId="06BE4516" w14:textId="77777777" w:rsidR="00731380" w:rsidRPr="00F15FA4" w:rsidRDefault="00731380" w:rsidP="005D78B5">
      <w:pPr>
        <w:ind w:left="0"/>
        <w:sectPr w:rsidR="00731380" w:rsidRPr="00F15FA4" w:rsidSect="00E217AD">
          <w:pgSz w:w="11906" w:h="16838"/>
          <w:pgMar w:top="1418" w:right="1418" w:bottom="1418" w:left="1418" w:header="1304" w:footer="454" w:gutter="0"/>
          <w:cols w:space="708"/>
          <w:titlePg/>
          <w:docGrid w:linePitch="360"/>
        </w:sectPr>
      </w:pPr>
    </w:p>
    <w:p w14:paraId="603D3EF9" w14:textId="71EB502D" w:rsidR="00731380" w:rsidRPr="00F15FA4" w:rsidRDefault="006B201F" w:rsidP="008C0B0D">
      <w:pPr>
        <w:pStyle w:val="Nazivenote"/>
        <w:rPr>
          <w:b w:val="0"/>
          <w:bCs/>
          <w:noProof w:val="0"/>
        </w:rPr>
      </w:pPr>
      <w:r w:rsidRPr="00F15FA4">
        <w:rPr>
          <w:noProof w:val="0"/>
        </w:rPr>
        <w:lastRenderedPageBreak/>
        <w:t>Urad direktorja</w:t>
      </w:r>
      <w:r w:rsidR="00731380" w:rsidRPr="00F15FA4">
        <w:rPr>
          <w:noProof w:val="0"/>
        </w:rPr>
        <w:br/>
      </w:r>
      <w:r w:rsidR="00731380" w:rsidRPr="00F15FA4">
        <w:rPr>
          <w:b w:val="0"/>
          <w:bCs/>
          <w:noProof w:val="0"/>
        </w:rPr>
        <w:t>Trg Edvarda Kardelja 1, 5000 Nova Gorica</w:t>
      </w:r>
    </w:p>
    <w:p w14:paraId="31D67305" w14:textId="7607FE23" w:rsidR="00731380" w:rsidRPr="00F15FA4" w:rsidRDefault="00F963A0" w:rsidP="00731380">
      <w:pPr>
        <w:pStyle w:val="Naslov1"/>
        <w:rPr>
          <w:noProof w:val="0"/>
        </w:rPr>
      </w:pPr>
      <w:r w:rsidRPr="00F15FA4">
        <w:rPr>
          <w:noProof w:val="0"/>
        </w:rPr>
        <w:t>Obrazložitev</w:t>
      </w:r>
    </w:p>
    <w:p w14:paraId="3123048C" w14:textId="242CB33B" w:rsidR="00F963A0" w:rsidRPr="00F15FA4" w:rsidRDefault="00F963A0" w:rsidP="006E0F20">
      <w:pPr>
        <w:jc w:val="left"/>
      </w:pPr>
      <w:r w:rsidRPr="00F15FA4">
        <w:t xml:space="preserve">Pravni temelj za sprejem Sklepa o </w:t>
      </w:r>
      <w:r w:rsidR="005E0B3C" w:rsidRPr="00F15FA4">
        <w:t>določitvi</w:t>
      </w:r>
      <w:r w:rsidRPr="00F15FA4">
        <w:t xml:space="preserve"> dela plače za redno delovno uspešnost direktorja Stanovanjskega sklada Mestne občine Nova Gorica za leto 2025 je 119. člen Zakona o skupnih temeljih sistema plač v javnem sektorju (Uradni list RS, št. 95/24 in 12/26 - ZPPJUFT; v nadaljevanju: ZSTSPJS) in 6. člen Uredbe o plačah javnih uslužbencev plačne skupine B (Uradni list RS, št. 99/24, 109/24, 26/25, 29/25</w:t>
      </w:r>
      <w:r w:rsidR="005E0B3C" w:rsidRPr="00F15FA4">
        <w:t xml:space="preserve"> in 135/26</w:t>
      </w:r>
      <w:r w:rsidRPr="00F15FA4">
        <w:t>).</w:t>
      </w:r>
    </w:p>
    <w:p w14:paraId="27723764" w14:textId="77777777" w:rsidR="00F963A0" w:rsidRPr="00F15FA4" w:rsidRDefault="00F963A0" w:rsidP="006E0F20">
      <w:pPr>
        <w:jc w:val="left"/>
      </w:pPr>
      <w:r w:rsidRPr="00F15FA4">
        <w:t>119. člen ZSTSPJS določa, da se do 1. januarja 2026 za izplačevanje delovne uspešnosti za javne uslužbence v plačnih skupinah od B do K uporabljajo določbe prve in druge alineje 21. člena in od 22. do 22.e člena ZSPJS, določbe od 27. do 34. člena in Priloga 2 Kolektivne pogodbe za javni sektor (Uradni list RS, št. 57/08, 23/09, 91/09, 89/10, 89/10, 40/12, 46/13, 95/14, 91/15, 21/17, 46/17, 69/17, 80/18, 136/22 in 12/24), Uredba o delovni uspešnosti iz naslova povečanega obsega dela za javne uslužbence (Uradni list RS, št. 53/08, 89/08 in 175/20), 7. člen Uredbe o plačah direktorjev v javnem sektorju (Uradni list RS, št. 68/17, 4/18, 30/18, 116/21, 180/21, 29/22, 89/22, 112/22, 157/22, 25/23, 64/23 in 79/23) ter pravilniki, izdani na podlagi tretjega odstavka 22.a člena ZSPJS.</w:t>
      </w:r>
    </w:p>
    <w:p w14:paraId="63C3CA92" w14:textId="08F486C6" w:rsidR="00F963A0" w:rsidRPr="00F15FA4" w:rsidRDefault="00F963A0" w:rsidP="006E0F20">
      <w:pPr>
        <w:jc w:val="left"/>
      </w:pPr>
      <w:r w:rsidRPr="00F15FA4">
        <w:t xml:space="preserve">Direktorjem v javnih </w:t>
      </w:r>
      <w:r w:rsidR="005E0B3C" w:rsidRPr="00F15FA4">
        <w:t xml:space="preserve">skladih </w:t>
      </w:r>
      <w:r w:rsidRPr="00F15FA4">
        <w:t>se del plače za redno delovno uspešnost v okvirih, ki jih določa Zakon o sistemu plač v javnem sektorju (Uradni list RS, št. 108/09 – uradno prečiščeno besedilo, 13/10, 59/10, 85/10, 107/10, 35/11 – ORZSPJS49a, 27/12 – odl. US, 40/12 – ZUJF, 46/13, 25/14 – ZFU, 50/14, 95/14 – ZUPPJS15, 82/15, 23/17 – ZDOdv, 67/17, 84/18, 204/21, 139/22, 38/24, 48/24 – odl. US in 95/24 – ZSTSPJS; v nadaljevanju: ZSPJS), izplačuje enkrat letno na podlagi poslovnega poročila, in sicer za redno delovno uspešnost v preteklem letu.</w:t>
      </w:r>
    </w:p>
    <w:p w14:paraId="693F3BAC" w14:textId="77777777" w:rsidR="00F963A0" w:rsidRPr="00F15FA4" w:rsidRDefault="00F963A0" w:rsidP="006E0F20">
      <w:pPr>
        <w:jc w:val="left"/>
      </w:pPr>
      <w:r w:rsidRPr="00F15FA4">
        <w:t>ZSTSPJS v tretjem odstavku 119. člena določa, da se v obdobju od 1. januarja 2025 do 31. decembra 2027 za izplačilo dela plače za delovno uspešnost javnih uslužbencev plačne skupine B nameni enak odstotek sredstev za osnovne plače, kot je veljal v letu 2024, kar pomeni, da skupen obseg sredstev za plačilo redne delovne uspešnosti znaša najmanj 2% in ne več kot 5% letnih sredstev za osnovne plače. Skupen obseg sredstev za redno delovno uspešnost ravnateljev, direktorjev in tajnikov se oblikuje in izkazuje ločeno. Tretji odstavek 22.a člena ZSPJS določa, da višino dela plače za redno delovno uspešnost direktorjev določi organ, pristojen za njihovo imenovanje, na podlagi meril, ki jih določi pristojni minister.</w:t>
      </w:r>
    </w:p>
    <w:p w14:paraId="0F8D17BA" w14:textId="7451C646" w:rsidR="00896253" w:rsidRPr="00F15FA4" w:rsidRDefault="00896253" w:rsidP="00F15FA4">
      <w:pPr>
        <w:spacing w:after="0"/>
        <w:jc w:val="left"/>
      </w:pPr>
      <w:r w:rsidRPr="00F15FA4">
        <w:t>Skladno z določili Pravilnika o merilih za ugotavljanje redne delovne uspešnosti direktorjev z delovnega področja Ministrstva za solidarno prihodnost (Uradni list RS, št. 130/23 in 95/24 – ZSTSPJS; v nadaljevanju: Pravilnik) direktorju pripada del plače za redno delovno uspešnost, če izpolni vsako posamezno merilo iz Pravilnika, pri čemer se dosežena merila, določena v odstotkih, seštevajo.</w:t>
      </w:r>
    </w:p>
    <w:p w14:paraId="4EDAB77E" w14:textId="77777777" w:rsidR="00896253" w:rsidRPr="00F15FA4" w:rsidRDefault="00896253" w:rsidP="006E0F20">
      <w:pPr>
        <w:spacing w:after="0"/>
        <w:jc w:val="left"/>
      </w:pPr>
      <w:r w:rsidRPr="00F15FA4">
        <w:lastRenderedPageBreak/>
        <w:t>2. člen Pravilnika določa, da se višina plače za redno delovno uspešnost direktorja določi na podlagi naslednjih meril:</w:t>
      </w:r>
    </w:p>
    <w:p w14:paraId="37BE33B1" w14:textId="77777777" w:rsidR="00896253" w:rsidRPr="00F15FA4" w:rsidRDefault="00896253" w:rsidP="006E0F20">
      <w:pPr>
        <w:spacing w:after="0"/>
        <w:jc w:val="left"/>
      </w:pPr>
      <w:r w:rsidRPr="00F15FA4">
        <w:t>- izpolnitev letnega programa dela (katerega sestavni del so obseg, struktura in finančni načrt posamezne javne službe oz. nalog v javnem interesu) za zagotavljanje kakovosti in strokovnosti izvajanja javne službe oziroma nalog v javnem interesu,</w:t>
      </w:r>
    </w:p>
    <w:p w14:paraId="16D1DBC1" w14:textId="77777777" w:rsidR="00896253" w:rsidRPr="00F15FA4" w:rsidRDefault="00896253" w:rsidP="006E0F20">
      <w:pPr>
        <w:spacing w:after="0"/>
        <w:jc w:val="left"/>
      </w:pPr>
      <w:r w:rsidRPr="00F15FA4">
        <w:t>- izpolnitev letnega finančnega načrta v obsegu, kot je določen v proračunu lokalne skupnosti, sprejetem za tekoče leto, ki je v letnem programu dela določen za izvajanje javne službe oz. nalog v javnem interesu,</w:t>
      </w:r>
    </w:p>
    <w:p w14:paraId="0BE83569" w14:textId="77777777" w:rsidR="00896253" w:rsidRPr="00F15FA4" w:rsidRDefault="00896253" w:rsidP="006E0F20">
      <w:pPr>
        <w:spacing w:after="0"/>
        <w:jc w:val="left"/>
      </w:pPr>
      <w:r w:rsidRPr="00F15FA4">
        <w:t>- izpolnitev letnega programa dela po obsegu in strukturi, določeni za izvajanje javne službe oz. nalog v javnem interesu.</w:t>
      </w:r>
    </w:p>
    <w:p w14:paraId="7B1666F3" w14:textId="77777777" w:rsidR="00896253" w:rsidRPr="00F15FA4" w:rsidRDefault="00896253" w:rsidP="006E0F20">
      <w:pPr>
        <w:spacing w:after="0"/>
        <w:jc w:val="left"/>
      </w:pPr>
    </w:p>
    <w:p w14:paraId="57FB5C2A" w14:textId="42D4CEED" w:rsidR="00D57478" w:rsidRPr="00F15FA4" w:rsidRDefault="00D57478" w:rsidP="006E0F20">
      <w:pPr>
        <w:jc w:val="left"/>
      </w:pPr>
      <w:r w:rsidRPr="00F15FA4">
        <w:t xml:space="preserve">Nadzorni svet Stanovanjskega sklada Mestne občine Nova Gorica je na seji dne </w:t>
      </w:r>
      <w:r w:rsidR="00896253" w:rsidRPr="00F15FA4">
        <w:t>8.4.2026</w:t>
      </w:r>
      <w:r w:rsidRPr="00F15FA4">
        <w:t xml:space="preserve"> ugotovil, da je Stanovanjski sklad Mestne občine Nova Gorica v letu 2025:</w:t>
      </w:r>
    </w:p>
    <w:p w14:paraId="334F8CB5" w14:textId="5BB15560" w:rsidR="00896253" w:rsidRPr="00F15FA4" w:rsidRDefault="00896253" w:rsidP="006E0F20">
      <w:pPr>
        <w:jc w:val="left"/>
        <w:rPr>
          <w:color w:val="000000"/>
        </w:rPr>
      </w:pPr>
      <w:r w:rsidRPr="00F15FA4">
        <w:t xml:space="preserve">- </w:t>
      </w:r>
      <w:r w:rsidR="006E0F20" w:rsidRPr="00F15FA4">
        <w:t xml:space="preserve">zelo </w:t>
      </w:r>
      <w:r w:rsidRPr="00F15FA4">
        <w:rPr>
          <w:color w:val="000000"/>
        </w:rPr>
        <w:t xml:space="preserve">presegel določeno kakovost in strokovnost sprejetega letnega programa dela, zato se skladno s 3. členom Pravilnika delovna uspešnost vrednosti vrednoti s </w:t>
      </w:r>
      <w:r w:rsidR="006E0F20" w:rsidRPr="00F15FA4">
        <w:rPr>
          <w:color w:val="000000"/>
        </w:rPr>
        <w:t>5</w:t>
      </w:r>
      <w:r w:rsidRPr="00F15FA4">
        <w:rPr>
          <w:color w:val="000000"/>
        </w:rPr>
        <w:t>0 %,</w:t>
      </w:r>
    </w:p>
    <w:p w14:paraId="0DD5BF1E" w14:textId="07A91997" w:rsidR="00896253" w:rsidRPr="00F15FA4" w:rsidRDefault="00896253" w:rsidP="006E0F20">
      <w:pPr>
        <w:jc w:val="left"/>
      </w:pPr>
      <w:r w:rsidRPr="00F15FA4">
        <w:t xml:space="preserve">- zmanjšal odhodke sprejetega letnega finančnega načrta, saj iz letnega poročila za leto </w:t>
      </w:r>
      <w:r w:rsidR="006E0F20" w:rsidRPr="00F15FA4">
        <w:t>2025</w:t>
      </w:r>
      <w:r w:rsidRPr="00F15FA4">
        <w:t xml:space="preserve"> izhaja, da so bili realizirani odhodki v višini 39 % vseh načrtovanih odhodkov, kar pomeni, da so odhodki zmanjšani za več kot 10%, zato se pogoj iz 4. člena vrednoti s 30 %</w:t>
      </w:r>
      <w:r w:rsidR="00AE621E" w:rsidRPr="00F15FA4">
        <w:t>,</w:t>
      </w:r>
      <w:r w:rsidRPr="00F15FA4">
        <w:t xml:space="preserve"> </w:t>
      </w:r>
    </w:p>
    <w:p w14:paraId="5C11A0B0" w14:textId="2200C670" w:rsidR="00896253" w:rsidRPr="00F15FA4" w:rsidRDefault="00896253" w:rsidP="006E0F20">
      <w:pPr>
        <w:jc w:val="left"/>
      </w:pPr>
      <w:r w:rsidRPr="00F15FA4">
        <w:t xml:space="preserve">- letnega programa ni presegel, saj je iz letnega poročila za leto </w:t>
      </w:r>
      <w:r w:rsidR="006E0F20" w:rsidRPr="00F15FA4">
        <w:t>2025</w:t>
      </w:r>
      <w:r w:rsidRPr="00F15FA4">
        <w:t xml:space="preserve"> – izkaz prihodkov in odhodkov razvidno, da so bili realizirani prihodki nižji kot planirani, zato se pogoj iz 5. člena vrednoti z 0 %. </w:t>
      </w:r>
    </w:p>
    <w:p w14:paraId="2B4E6205" w14:textId="6C803634" w:rsidR="00896253" w:rsidRPr="00F15FA4" w:rsidRDefault="00896253" w:rsidP="006E0F20">
      <w:pPr>
        <w:jc w:val="left"/>
      </w:pPr>
      <w:r w:rsidRPr="00F15FA4">
        <w:t xml:space="preserve">Seštevek vseh zgornjih meril znaša 80 %. </w:t>
      </w:r>
    </w:p>
    <w:p w14:paraId="37ED55F7" w14:textId="77777777" w:rsidR="006E0F20" w:rsidRPr="00F15FA4" w:rsidRDefault="00F963A0" w:rsidP="006E0F20">
      <w:pPr>
        <w:jc w:val="left"/>
      </w:pPr>
      <w:r w:rsidRPr="00F15FA4">
        <w:t xml:space="preserve">Pri izračunu letne mase se upošteva osnovna plača </w:t>
      </w:r>
      <w:r w:rsidR="003B1DBB" w:rsidRPr="00F15FA4">
        <w:t>direktorja</w:t>
      </w:r>
      <w:r w:rsidRPr="00F15FA4">
        <w:t>, na podlagi uvrstitve v plačni razred skladno z Uredbo o plačah javnih uslužbencev plačne skupine B (Uradni list RS, št. 99/24, 109/24, 26/25, 29/25</w:t>
      </w:r>
      <w:r w:rsidR="00D57478" w:rsidRPr="00F15FA4">
        <w:t xml:space="preserve"> in</w:t>
      </w:r>
      <w:r w:rsidR="00630C71" w:rsidRPr="00F15FA4">
        <w:t xml:space="preserve"> </w:t>
      </w:r>
      <w:hyperlink r:id="rId14" w:tgtFrame="_blank" w:tooltip="Uredba o spremembi Uredbe o plačah javnih uslužbencev plačne skupine B" w:history="1">
        <w:r w:rsidR="00D57478" w:rsidRPr="00F15FA4">
          <w:t>135/26</w:t>
        </w:r>
      </w:hyperlink>
      <w:r w:rsidRPr="00F15FA4">
        <w:t>) ter postopna pridobitev pravice do višje plače, skladno s 101. členom ZSTSPJS.</w:t>
      </w:r>
      <w:r w:rsidR="006E0F20" w:rsidRPr="00F15FA4">
        <w:t xml:space="preserve"> </w:t>
      </w:r>
    </w:p>
    <w:p w14:paraId="6C3A5925" w14:textId="7612BF63" w:rsidR="00761B4E" w:rsidRPr="00F15FA4" w:rsidRDefault="00761B4E" w:rsidP="00E168D4">
      <w:pPr>
        <w:jc w:val="left"/>
      </w:pPr>
      <w:r w:rsidRPr="00F15FA4">
        <w:t xml:space="preserve">Plača direktorja SS MONG decembra </w:t>
      </w:r>
      <w:r w:rsidR="00E168D4" w:rsidRPr="00F15FA4">
        <w:t>2025</w:t>
      </w:r>
      <w:r w:rsidRPr="00F15FA4">
        <w:t xml:space="preserve"> je znaša </w:t>
      </w:r>
      <w:r w:rsidR="00E168D4" w:rsidRPr="00F15FA4">
        <w:t xml:space="preserve">3.356,60 </w:t>
      </w:r>
      <w:r w:rsidRPr="00F15FA4">
        <w:t>EUR.</w:t>
      </w:r>
    </w:p>
    <w:p w14:paraId="157ACFF0" w14:textId="40343624" w:rsidR="00761B4E" w:rsidRPr="00F15FA4" w:rsidRDefault="00761B4E" w:rsidP="00761B4E">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74"/>
        <w:jc w:val="left"/>
      </w:pPr>
      <w:r w:rsidRPr="00F15FA4">
        <w:t xml:space="preserve">Obseg sredstev za redno delovno uspešnost je oblikovan skladno z določbo 11. člena Pravilnika, ki določa, da se višina dela plače za redno delovno uspešnost izračuna tako, da se vsota dobljenih odstotkov po prej navedenih merilih (odstotkih) iz Pravilnika pomnoži z višino dveh osnovnih mesečnih plač direktorja, t.j. </w:t>
      </w:r>
      <w:r w:rsidR="00E168D4" w:rsidRPr="00F15FA4">
        <w:t xml:space="preserve">3.356,60 </w:t>
      </w:r>
      <w:r w:rsidRPr="00F15FA4">
        <w:t xml:space="preserve">EUR x 2 = </w:t>
      </w:r>
      <w:r w:rsidR="00E168D4" w:rsidRPr="00F15FA4">
        <w:t>6.713,20</w:t>
      </w:r>
      <w:r w:rsidRPr="00F15FA4">
        <w:t xml:space="preserve"> EUR x </w:t>
      </w:r>
      <w:r w:rsidR="00E168D4" w:rsidRPr="00F15FA4">
        <w:t>8</w:t>
      </w:r>
      <w:r w:rsidRPr="00F15FA4">
        <w:t xml:space="preserve">0% = </w:t>
      </w:r>
      <w:r w:rsidR="00E168D4" w:rsidRPr="00F15FA4">
        <w:t>5.370,56</w:t>
      </w:r>
      <w:r w:rsidRPr="00F15FA4">
        <w:t xml:space="preserve"> EUR, pri čemer ZSPJS v 22. členu določa, da skupen obseg sredstev za plačilo redne delovne uspešnosti ne sme presegati 5% </w:t>
      </w:r>
      <w:r w:rsidR="00F15FD7" w:rsidRPr="00F15FA4">
        <w:t xml:space="preserve">letne </w:t>
      </w:r>
      <w:r w:rsidRPr="00F15FA4">
        <w:t xml:space="preserve">osnovne plače, kar </w:t>
      </w:r>
      <w:r w:rsidR="00F15FD7" w:rsidRPr="00F15FA4">
        <w:t>znese 2.013,96 EUR</w:t>
      </w:r>
      <w:r w:rsidRPr="00F15FA4">
        <w:t xml:space="preserve">. Slednje pomeni, da se direktorju SS MONG izplača nagrada v višini </w:t>
      </w:r>
      <w:r w:rsidR="00F15FD7" w:rsidRPr="00F15FA4">
        <w:t>2.013,96</w:t>
      </w:r>
      <w:r w:rsidRPr="00F15FA4">
        <w:t xml:space="preserve"> EUR bruto.</w:t>
      </w:r>
    </w:p>
    <w:p w14:paraId="34A8B522" w14:textId="3EAEA73E" w:rsidR="00D57478" w:rsidRPr="00F15FA4" w:rsidRDefault="00D57478" w:rsidP="006E0F20">
      <w:pPr>
        <w:jc w:val="left"/>
      </w:pPr>
      <w:r w:rsidRPr="00F15FA4">
        <w:t>Za izplačilo redne delovne uspešnosti direktorja ni bil podan noben izmed izločilnih pogojev iz 10. člena Pravilnika.</w:t>
      </w:r>
    </w:p>
    <w:p w14:paraId="7D413D3B" w14:textId="45501B77" w:rsidR="001C724D" w:rsidRPr="00F15FA4" w:rsidRDefault="001C724D" w:rsidP="006E0F20">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74"/>
        <w:jc w:val="left"/>
      </w:pPr>
      <w:r w:rsidRPr="00F15FA4">
        <w:lastRenderedPageBreak/>
        <w:t>Sprejem predlaganega sklepa ne pomeni dodatnih finančnih obveznosti za proračun Mestne občine Nova Gorica, saj so sredstva vključena v Finančni načrt javnega sklada za leto 2026.</w:t>
      </w:r>
    </w:p>
    <w:p w14:paraId="4DDB0914" w14:textId="77777777" w:rsidR="00F963A0" w:rsidRPr="00F15FA4" w:rsidRDefault="00F963A0" w:rsidP="006E0F20">
      <w:pPr>
        <w:jc w:val="left"/>
      </w:pPr>
      <w:r w:rsidRPr="00F15FA4">
        <w:t>Mestnemu svetu Mestne občine Nova Gorica predlagamo, da predloženi sklep obravnava in sprejme.</w:t>
      </w:r>
    </w:p>
    <w:p w14:paraId="0B3F9A3D" w14:textId="0B6E4ED9" w:rsidR="00731380" w:rsidRPr="00F15FA4" w:rsidRDefault="00731380" w:rsidP="006E0F20">
      <w:pPr>
        <w:jc w:val="left"/>
      </w:pPr>
    </w:p>
    <w:p w14:paraId="17465817" w14:textId="4F7763D1" w:rsidR="00A03315" w:rsidRPr="00F15FA4" w:rsidRDefault="00A03315" w:rsidP="00A03315">
      <w:pPr>
        <w:pStyle w:val="Podpisoseba"/>
        <w:spacing w:before="0" w:after="0"/>
        <w:ind w:left="709"/>
        <w:rPr>
          <w:bCs w:val="0"/>
          <w:noProof w:val="0"/>
        </w:rPr>
      </w:pPr>
      <w:r w:rsidRPr="00F15FA4">
        <w:rPr>
          <w:bCs w:val="0"/>
          <w:noProof w:val="0"/>
        </w:rPr>
        <w:t>Pripravila</w:t>
      </w:r>
      <w:r w:rsidR="001C724D" w:rsidRPr="00F15FA4">
        <w:rPr>
          <w:bCs w:val="0"/>
          <w:noProof w:val="0"/>
        </w:rPr>
        <w:t>:</w:t>
      </w:r>
    </w:p>
    <w:tbl>
      <w:tblPr>
        <w:tblStyle w:val="Tabelamrea"/>
        <w:tblW w:w="8505"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A0" w:firstRow="1" w:lastRow="0" w:firstColumn="1" w:lastColumn="0" w:noHBand="1" w:noVBand="1"/>
      </w:tblPr>
      <w:tblGrid>
        <w:gridCol w:w="4956"/>
        <w:gridCol w:w="3549"/>
      </w:tblGrid>
      <w:tr w:rsidR="00A03315" w:rsidRPr="00F15FA4" w14:paraId="5EDE9153" w14:textId="77777777" w:rsidTr="00C818D4">
        <w:tc>
          <w:tcPr>
            <w:tcW w:w="4956" w:type="dxa"/>
          </w:tcPr>
          <w:p w14:paraId="00AE3031" w14:textId="77777777" w:rsidR="00A03315" w:rsidRPr="00F15FA4" w:rsidRDefault="00A03315" w:rsidP="00C818D4">
            <w:pPr>
              <w:pStyle w:val="Podpisoseba"/>
              <w:spacing w:before="0" w:after="0"/>
              <w:rPr>
                <w:b/>
                <w:noProof w:val="0"/>
                <w:color w:val="FFFFFF" w:themeColor="background1"/>
              </w:rPr>
            </w:pPr>
            <w:r w:rsidRPr="00F15FA4">
              <w:rPr>
                <w:b/>
                <w:noProof w:val="0"/>
                <w:color w:val="FFFFFF" w:themeColor="background1"/>
              </w:rPr>
              <w:t>Levi podpisnik</w:t>
            </w:r>
          </w:p>
        </w:tc>
        <w:tc>
          <w:tcPr>
            <w:tcW w:w="3549" w:type="dxa"/>
          </w:tcPr>
          <w:p w14:paraId="357B865E" w14:textId="77777777" w:rsidR="00A03315" w:rsidRPr="00F15FA4" w:rsidRDefault="00A03315" w:rsidP="00C818D4">
            <w:pPr>
              <w:pStyle w:val="Podpisoseba"/>
              <w:spacing w:before="0" w:after="0"/>
              <w:rPr>
                <w:b/>
                <w:noProof w:val="0"/>
                <w:color w:val="FFFFFF" w:themeColor="background1"/>
              </w:rPr>
            </w:pPr>
            <w:r w:rsidRPr="00F15FA4">
              <w:rPr>
                <w:b/>
                <w:noProof w:val="0"/>
                <w:color w:val="FFFFFF" w:themeColor="background1"/>
              </w:rPr>
              <w:t>Desnik podpisnik</w:t>
            </w:r>
          </w:p>
        </w:tc>
      </w:tr>
      <w:tr w:rsidR="00A03315" w:rsidRPr="00F15FA4" w14:paraId="6A2F508B" w14:textId="77777777" w:rsidTr="00C818D4">
        <w:tc>
          <w:tcPr>
            <w:tcW w:w="4956" w:type="dxa"/>
          </w:tcPr>
          <w:p w14:paraId="1B7A05E8" w14:textId="15CBB95A" w:rsidR="00A03315" w:rsidRPr="00F15FA4" w:rsidRDefault="001C724D" w:rsidP="00C818D4">
            <w:pPr>
              <w:pStyle w:val="Podpisoseba"/>
              <w:spacing w:before="0" w:after="0"/>
              <w:rPr>
                <w:b/>
                <w:bCs w:val="0"/>
                <w:noProof w:val="0"/>
              </w:rPr>
            </w:pPr>
            <w:r w:rsidRPr="00F15FA4">
              <w:rPr>
                <w:b/>
                <w:bCs w:val="0"/>
                <w:noProof w:val="0"/>
              </w:rPr>
              <w:t>Tjaša Harej Pavlica</w:t>
            </w:r>
          </w:p>
        </w:tc>
        <w:tc>
          <w:tcPr>
            <w:tcW w:w="3549" w:type="dxa"/>
          </w:tcPr>
          <w:p w14:paraId="33414636" w14:textId="64290111" w:rsidR="00A03315" w:rsidRPr="00F15FA4" w:rsidRDefault="00737529" w:rsidP="00C818D4">
            <w:pPr>
              <w:pStyle w:val="Podpisoseba"/>
              <w:spacing w:before="0" w:after="0"/>
              <w:rPr>
                <w:b/>
                <w:bCs w:val="0"/>
                <w:noProof w:val="0"/>
              </w:rPr>
            </w:pPr>
            <w:r w:rsidRPr="00F15FA4">
              <w:rPr>
                <w:b/>
                <w:bCs w:val="0"/>
                <w:noProof w:val="0"/>
              </w:rPr>
              <w:t>Aleš Markočič</w:t>
            </w:r>
          </w:p>
        </w:tc>
      </w:tr>
      <w:tr w:rsidR="00A03315" w:rsidRPr="00F15FA4" w14:paraId="04CA288A" w14:textId="77777777" w:rsidTr="00C818D4">
        <w:tc>
          <w:tcPr>
            <w:tcW w:w="4956" w:type="dxa"/>
          </w:tcPr>
          <w:p w14:paraId="3431D6EA" w14:textId="4ACC6B0B" w:rsidR="00A03315" w:rsidRPr="00F15FA4" w:rsidRDefault="001C724D" w:rsidP="00C818D4">
            <w:pPr>
              <w:pStyle w:val="Podpisoseba"/>
              <w:spacing w:before="0" w:after="0"/>
              <w:ind w:right="459"/>
              <w:rPr>
                <w:bCs w:val="0"/>
                <w:noProof w:val="0"/>
              </w:rPr>
            </w:pPr>
            <w:r w:rsidRPr="00F15FA4">
              <w:rPr>
                <w:noProof w:val="0"/>
              </w:rPr>
              <w:t>vodja Službe za premoženjske zadeve</w:t>
            </w:r>
          </w:p>
        </w:tc>
        <w:tc>
          <w:tcPr>
            <w:tcW w:w="3549" w:type="dxa"/>
          </w:tcPr>
          <w:p w14:paraId="770E907E" w14:textId="65C0AAC5" w:rsidR="00A03315" w:rsidRPr="00F15FA4" w:rsidRDefault="00737529" w:rsidP="00C818D4">
            <w:pPr>
              <w:pStyle w:val="Podpisoseba"/>
              <w:spacing w:before="0" w:after="0"/>
              <w:rPr>
                <w:bCs w:val="0"/>
                <w:noProof w:val="0"/>
              </w:rPr>
            </w:pPr>
            <w:r w:rsidRPr="00F15FA4">
              <w:rPr>
                <w:bCs w:val="0"/>
                <w:noProof w:val="0"/>
              </w:rPr>
              <w:t>direktor občinske uprave</w:t>
            </w:r>
          </w:p>
        </w:tc>
      </w:tr>
    </w:tbl>
    <w:p w14:paraId="3383A950" w14:textId="77777777" w:rsidR="00731380" w:rsidRPr="00F15FA4" w:rsidRDefault="00731380" w:rsidP="00352A82"/>
    <w:p w14:paraId="363A3EC6" w14:textId="77777777" w:rsidR="001C724D" w:rsidRPr="00F15FA4" w:rsidRDefault="001C724D" w:rsidP="00352A82"/>
    <w:p w14:paraId="1F3FF1B7" w14:textId="77777777" w:rsidR="001C724D" w:rsidRPr="00F15FA4" w:rsidRDefault="001C724D" w:rsidP="00352A82"/>
    <w:p w14:paraId="7BD33569" w14:textId="77777777" w:rsidR="001C724D" w:rsidRPr="00F15FA4" w:rsidRDefault="001C724D" w:rsidP="006E0F20">
      <w:pPr>
        <w:jc w:val="left"/>
      </w:pPr>
    </w:p>
    <w:p w14:paraId="75B97757" w14:textId="00059392" w:rsidR="00167093" w:rsidRPr="00F15FA4" w:rsidRDefault="00167093" w:rsidP="006E0F20">
      <w:pPr>
        <w:pStyle w:val="gradivo"/>
        <w:rPr>
          <w:noProof w:val="0"/>
        </w:rPr>
      </w:pPr>
      <w:r w:rsidRPr="00F15FA4">
        <w:rPr>
          <w:noProof w:val="0"/>
        </w:rPr>
        <w:t>Priloga</w:t>
      </w:r>
      <w:r w:rsidR="006E0F20" w:rsidRPr="00F15FA4">
        <w:rPr>
          <w:noProof w:val="0"/>
        </w:rPr>
        <w:t xml:space="preserve"> </w:t>
      </w:r>
      <w:r w:rsidRPr="00F15FA4">
        <w:rPr>
          <w:noProof w:val="0"/>
        </w:rPr>
        <w:t>:</w:t>
      </w:r>
    </w:p>
    <w:p w14:paraId="6724451B" w14:textId="03EAE1AB" w:rsidR="00167093" w:rsidRDefault="001C724D" w:rsidP="006E0F20">
      <w:pPr>
        <w:pStyle w:val="gradivo"/>
        <w:numPr>
          <w:ilvl w:val="0"/>
          <w:numId w:val="10"/>
        </w:numPr>
      </w:pPr>
      <w:r w:rsidRPr="00F15FA4">
        <w:rPr>
          <w:noProof w:val="0"/>
        </w:rPr>
        <w:t>Sklep Nadzornega sveta Stanovanjskega sklada Mestne občine Nova Gorica št. 100-2/2021 z dne 8.4.2026</w:t>
      </w:r>
      <w:r w:rsidR="00167093" w:rsidRPr="00F15FA4">
        <w:rPr>
          <w:noProof w:val="0"/>
        </w:rPr>
        <w:t xml:space="preserve"> </w:t>
      </w:r>
    </w:p>
    <w:sectPr w:rsidR="00167093" w:rsidSect="00E217AD">
      <w:pgSz w:w="11906" w:h="16838"/>
      <w:pgMar w:top="1418" w:right="1418" w:bottom="1418" w:left="1418" w:header="130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56512C" w14:textId="77777777" w:rsidR="00AF010E" w:rsidRPr="00F15FA4" w:rsidRDefault="00AF010E" w:rsidP="00352A82">
      <w:r w:rsidRPr="00F15FA4">
        <w:separator/>
      </w:r>
    </w:p>
  </w:endnote>
  <w:endnote w:type="continuationSeparator" w:id="0">
    <w:p w14:paraId="6E666A5A" w14:textId="77777777" w:rsidR="00AF010E" w:rsidRPr="00F15FA4" w:rsidRDefault="00AF010E" w:rsidP="00352A82">
      <w:r w:rsidRPr="00F15FA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11A4C" w14:textId="72B582A7" w:rsidR="00F811AF" w:rsidRPr="00F15FA4" w:rsidRDefault="00E217AD" w:rsidP="00352A82">
    <w:pPr>
      <w:pStyle w:val="MONGnoga"/>
    </w:pPr>
    <w:r w:rsidRPr="00F15FA4">
      <w:drawing>
        <wp:anchor distT="0" distB="0" distL="114300" distR="114300" simplePos="0" relativeHeight="251658243" behindDoc="1" locked="0" layoutInCell="1" allowOverlap="1" wp14:anchorId="386229F1" wp14:editId="3B0FDF0C">
          <wp:simplePos x="0" y="0"/>
          <wp:positionH relativeFrom="page">
            <wp:align>center</wp:align>
          </wp:positionH>
          <wp:positionV relativeFrom="page">
            <wp:align>bottom</wp:align>
          </wp:positionV>
          <wp:extent cx="7567200" cy="838800"/>
          <wp:effectExtent l="0" t="0" r="0" b="0"/>
          <wp:wrapNone/>
          <wp:docPr id="2" name="Slika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7200" cy="83880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7BA8D" w14:textId="0DF0131F" w:rsidR="00366240" w:rsidRPr="00F15FA4" w:rsidRDefault="00E217AD" w:rsidP="00352A82">
    <w:pPr>
      <w:pStyle w:val="MONGnoga"/>
    </w:pPr>
    <w:r w:rsidRPr="00F15FA4">
      <w:drawing>
        <wp:anchor distT="0" distB="0" distL="114300" distR="114300" simplePos="0" relativeHeight="251658241" behindDoc="1" locked="0" layoutInCell="1" allowOverlap="1" wp14:anchorId="355FB58D" wp14:editId="261A417B">
          <wp:simplePos x="0" y="0"/>
          <wp:positionH relativeFrom="page">
            <wp:align>center</wp:align>
          </wp:positionH>
          <wp:positionV relativeFrom="page">
            <wp:align>bottom</wp:align>
          </wp:positionV>
          <wp:extent cx="7588800" cy="856800"/>
          <wp:effectExtent l="0" t="0" r="0" b="0"/>
          <wp:wrapNone/>
          <wp:docPr id="4" name="Slika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88800" cy="856800"/>
                  </a:xfrm>
                  <a:prstGeom prst="rect">
                    <a:avLst/>
                  </a:prstGeom>
                </pic:spPr>
              </pic:pic>
            </a:graphicData>
          </a:graphic>
          <wp14:sizeRelH relativeFrom="margin">
            <wp14:pctWidth>0</wp14:pctWidth>
          </wp14:sizeRelH>
          <wp14:sizeRelV relativeFrom="margin">
            <wp14:pctHeight>0</wp14:pctHeight>
          </wp14:sizeRelV>
        </wp:anchor>
      </w:drawing>
    </w:r>
    <w:r w:rsidR="00366240" w:rsidRPr="00F15FA4">
      <w:t xml:space="preserve">E: </w:t>
    </w:r>
    <w:r w:rsidRPr="00F15FA4">
      <w:rPr>
        <w:u w:val="single"/>
      </w:rPr>
      <w:t>mestna.obcina@nova-gorica.si</w:t>
    </w:r>
    <w:r w:rsidR="00366240" w:rsidRPr="00F15FA4">
      <w:t>,</w:t>
    </w:r>
    <w:r w:rsidR="002B08B0" w:rsidRPr="00F15FA4">
      <w:t xml:space="preserve"> T: +386 (0)5 335 01 </w:t>
    </w:r>
    <w:r w:rsidRPr="00F15FA4">
      <w:t>1</w:t>
    </w:r>
    <w:r w:rsidR="002B08B0" w:rsidRPr="00F15FA4">
      <w:t>1,</w:t>
    </w:r>
    <w:r w:rsidR="00192B9A" w:rsidRPr="00F15FA4">
      <w:t xml:space="preserve"> </w:t>
    </w:r>
    <w:r w:rsidR="00192B9A" w:rsidRPr="00F15FA4">
      <w:rPr>
        <w:u w:val="single"/>
      </w:rPr>
      <w:t>www.nova-gorica.si</w:t>
    </w:r>
  </w:p>
  <w:p w14:paraId="272550D5" w14:textId="268C651F" w:rsidR="00734A18" w:rsidRPr="00F15FA4" w:rsidRDefault="00734A18" w:rsidP="00352A82">
    <w:pPr>
      <w:pStyle w:val="MONGnoga"/>
    </w:pPr>
    <w:r w:rsidRPr="00F15FA4">
      <w:t>ID za DDV: SI53055730, matična številka: 5881773</w:t>
    </w:r>
    <w:r w:rsidR="00CC3F17" w:rsidRPr="00F15FA4">
      <w:tab/>
    </w:r>
  </w:p>
  <w:p w14:paraId="3D03C244" w14:textId="44ECADA2" w:rsidR="00083CA2" w:rsidRPr="00F15FA4" w:rsidRDefault="00083CA2" w:rsidP="00352A82">
    <w:pPr>
      <w:pStyle w:val="MONG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82A12E" w14:textId="77777777" w:rsidR="00AF010E" w:rsidRPr="00F15FA4" w:rsidRDefault="00AF010E" w:rsidP="00352A82">
      <w:r w:rsidRPr="00F15FA4">
        <w:separator/>
      </w:r>
    </w:p>
  </w:footnote>
  <w:footnote w:type="continuationSeparator" w:id="0">
    <w:p w14:paraId="5CED6713" w14:textId="77777777" w:rsidR="00AF010E" w:rsidRPr="00F15FA4" w:rsidRDefault="00AF010E" w:rsidP="00352A82">
      <w:r w:rsidRPr="00F15FA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54A80" w14:textId="00348689" w:rsidR="00083CA2" w:rsidRPr="00F15FA4" w:rsidRDefault="00E217AD" w:rsidP="00352A82">
    <w:r w:rsidRPr="00F15FA4">
      <w:drawing>
        <wp:anchor distT="0" distB="0" distL="114300" distR="114300" simplePos="0" relativeHeight="251658242" behindDoc="1" locked="0" layoutInCell="1" allowOverlap="1" wp14:anchorId="7A19E1AD" wp14:editId="2D315D2B">
          <wp:simplePos x="0" y="0"/>
          <wp:positionH relativeFrom="page">
            <wp:align>center</wp:align>
          </wp:positionH>
          <wp:positionV relativeFrom="page">
            <wp:align>top</wp:align>
          </wp:positionV>
          <wp:extent cx="7578000" cy="918000"/>
          <wp:effectExtent l="0" t="0" r="0" b="0"/>
          <wp:wrapNone/>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pic:cNvPicPr/>
                </pic:nvPicPr>
                <pic:blipFill>
                  <a:blip r:embed="rId1">
                    <a:extLst>
                      <a:ext uri="{28A0092B-C50C-407E-A947-70E740481C1C}">
                        <a14:useLocalDpi xmlns:a14="http://schemas.microsoft.com/office/drawing/2010/main" val="0"/>
                      </a:ext>
                    </a:extLst>
                  </a:blip>
                  <a:stretch>
                    <a:fillRect/>
                  </a:stretch>
                </pic:blipFill>
                <pic:spPr>
                  <a:xfrm>
                    <a:off x="0" y="0"/>
                    <a:ext cx="7578000" cy="918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040B5" w14:textId="248A1DDF" w:rsidR="00083CA2" w:rsidRPr="00F15FA4" w:rsidRDefault="001C491B" w:rsidP="00352A82">
    <w:r w:rsidRPr="00F15FA4">
      <w:drawing>
        <wp:anchor distT="0" distB="0" distL="114300" distR="114300" simplePos="0" relativeHeight="251658240" behindDoc="1" locked="0" layoutInCell="1" allowOverlap="1" wp14:anchorId="61A8A9BC" wp14:editId="103535B2">
          <wp:simplePos x="0" y="0"/>
          <wp:positionH relativeFrom="page">
            <wp:align>center</wp:align>
          </wp:positionH>
          <wp:positionV relativeFrom="page">
            <wp:align>top</wp:align>
          </wp:positionV>
          <wp:extent cx="7556400" cy="936000"/>
          <wp:effectExtent l="0" t="0" r="0" b="0"/>
          <wp:wrapNone/>
          <wp:docPr id="16" name="Slika 16" descr="Mestna občina Nova Gor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Slika 16" descr="Mestna občina Nova Gorica"/>
                  <pic:cNvPicPr/>
                </pic:nvPicPr>
                <pic:blipFill>
                  <a:blip r:embed="rId1">
                    <a:extLst>
                      <a:ext uri="{28A0092B-C50C-407E-A947-70E740481C1C}">
                        <a14:useLocalDpi xmlns:a14="http://schemas.microsoft.com/office/drawing/2010/main" val="0"/>
                      </a:ext>
                    </a:extLst>
                  </a:blip>
                  <a:stretch>
                    <a:fillRect/>
                  </a:stretch>
                </pic:blipFill>
                <pic:spPr>
                  <a:xfrm>
                    <a:off x="0" y="0"/>
                    <a:ext cx="7556400" cy="936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33EAA"/>
    <w:multiLevelType w:val="hybridMultilevel"/>
    <w:tmpl w:val="A3C0A1AE"/>
    <w:lvl w:ilvl="0" w:tplc="603EC758">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1" w15:restartNumberingAfterBreak="0">
    <w:nsid w:val="13B6505A"/>
    <w:multiLevelType w:val="hybridMultilevel"/>
    <w:tmpl w:val="7EEEF704"/>
    <w:lvl w:ilvl="0" w:tplc="4030D936">
      <w:start w:val="1"/>
      <w:numFmt w:val="bullet"/>
      <w:lvlText w:val=""/>
      <w:lvlJc w:val="left"/>
      <w:pPr>
        <w:ind w:left="1429" w:hanging="360"/>
      </w:pPr>
      <w:rPr>
        <w:rFonts w:ascii="Symbol" w:hAnsi="Symbol"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2" w15:restartNumberingAfterBreak="0">
    <w:nsid w:val="178F7104"/>
    <w:multiLevelType w:val="hybridMultilevel"/>
    <w:tmpl w:val="D5328826"/>
    <w:lvl w:ilvl="0" w:tplc="0C7E7E02">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3" w15:restartNumberingAfterBreak="0">
    <w:nsid w:val="27DD71C1"/>
    <w:multiLevelType w:val="hybridMultilevel"/>
    <w:tmpl w:val="B476A274"/>
    <w:lvl w:ilvl="0" w:tplc="603EC758">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4" w15:restartNumberingAfterBreak="0">
    <w:nsid w:val="472526AC"/>
    <w:multiLevelType w:val="hybridMultilevel"/>
    <w:tmpl w:val="7AE072A0"/>
    <w:lvl w:ilvl="0" w:tplc="0C7E7E02">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5" w15:restartNumberingAfterBreak="0">
    <w:nsid w:val="508075AE"/>
    <w:multiLevelType w:val="hybridMultilevel"/>
    <w:tmpl w:val="370ADEA6"/>
    <w:lvl w:ilvl="0" w:tplc="BB36B256">
      <w:start w:val="1"/>
      <w:numFmt w:val="bullet"/>
      <w:pStyle w:val="Seznam"/>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573C5463"/>
    <w:multiLevelType w:val="hybridMultilevel"/>
    <w:tmpl w:val="5F3881FC"/>
    <w:lvl w:ilvl="0" w:tplc="0C7E7E02">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7" w15:restartNumberingAfterBreak="0">
    <w:nsid w:val="583F228E"/>
    <w:multiLevelType w:val="hybridMultilevel"/>
    <w:tmpl w:val="B6FA3DE0"/>
    <w:lvl w:ilvl="0" w:tplc="4030D936">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8" w15:restartNumberingAfterBreak="0">
    <w:nsid w:val="5C351D4F"/>
    <w:multiLevelType w:val="hybridMultilevel"/>
    <w:tmpl w:val="538EF2CE"/>
    <w:lvl w:ilvl="0" w:tplc="04240001">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9" w15:restartNumberingAfterBreak="0">
    <w:nsid w:val="6A0D3747"/>
    <w:multiLevelType w:val="hybridMultilevel"/>
    <w:tmpl w:val="951A9C18"/>
    <w:lvl w:ilvl="0" w:tplc="04240001">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num w:numId="1" w16cid:durableId="1577129964">
    <w:abstractNumId w:val="5"/>
  </w:num>
  <w:num w:numId="2" w16cid:durableId="1164929981">
    <w:abstractNumId w:val="8"/>
  </w:num>
  <w:num w:numId="3" w16cid:durableId="1314213452">
    <w:abstractNumId w:val="0"/>
  </w:num>
  <w:num w:numId="4" w16cid:durableId="629288842">
    <w:abstractNumId w:val="3"/>
  </w:num>
  <w:num w:numId="5" w16cid:durableId="738939049">
    <w:abstractNumId w:val="7"/>
  </w:num>
  <w:num w:numId="6" w16cid:durableId="1657220828">
    <w:abstractNumId w:val="9"/>
  </w:num>
  <w:num w:numId="7" w16cid:durableId="1256210005">
    <w:abstractNumId w:val="1"/>
  </w:num>
  <w:num w:numId="8" w16cid:durableId="620721476">
    <w:abstractNumId w:val="2"/>
  </w:num>
  <w:num w:numId="9" w16cid:durableId="1223718357">
    <w:abstractNumId w:val="4"/>
  </w:num>
  <w:num w:numId="10" w16cid:durableId="7671163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BE7"/>
    <w:rsid w:val="000276AB"/>
    <w:rsid w:val="00053B54"/>
    <w:rsid w:val="0005678C"/>
    <w:rsid w:val="000807CE"/>
    <w:rsid w:val="00083CA2"/>
    <w:rsid w:val="000B0E2F"/>
    <w:rsid w:val="000C0FAA"/>
    <w:rsid w:val="000D6C77"/>
    <w:rsid w:val="000E5815"/>
    <w:rsid w:val="00101B99"/>
    <w:rsid w:val="00110838"/>
    <w:rsid w:val="001137D1"/>
    <w:rsid w:val="00136E62"/>
    <w:rsid w:val="00145A3D"/>
    <w:rsid w:val="00167093"/>
    <w:rsid w:val="001732D3"/>
    <w:rsid w:val="00192B9A"/>
    <w:rsid w:val="00196C24"/>
    <w:rsid w:val="001A064F"/>
    <w:rsid w:val="001B2389"/>
    <w:rsid w:val="001B7D71"/>
    <w:rsid w:val="001C491B"/>
    <w:rsid w:val="001C6438"/>
    <w:rsid w:val="001C724D"/>
    <w:rsid w:val="001D7013"/>
    <w:rsid w:val="001E3340"/>
    <w:rsid w:val="0022510F"/>
    <w:rsid w:val="00226E0E"/>
    <w:rsid w:val="002579A6"/>
    <w:rsid w:val="00283E83"/>
    <w:rsid w:val="0028430E"/>
    <w:rsid w:val="0028622D"/>
    <w:rsid w:val="002B08B0"/>
    <w:rsid w:val="00324B94"/>
    <w:rsid w:val="00350550"/>
    <w:rsid w:val="00352A82"/>
    <w:rsid w:val="00355F3A"/>
    <w:rsid w:val="00366240"/>
    <w:rsid w:val="003815F8"/>
    <w:rsid w:val="003930FF"/>
    <w:rsid w:val="00393E6F"/>
    <w:rsid w:val="0039457F"/>
    <w:rsid w:val="003A0AE4"/>
    <w:rsid w:val="003A3E34"/>
    <w:rsid w:val="003B11F7"/>
    <w:rsid w:val="003B1DBB"/>
    <w:rsid w:val="003E2C39"/>
    <w:rsid w:val="003F3284"/>
    <w:rsid w:val="004129EE"/>
    <w:rsid w:val="00445A64"/>
    <w:rsid w:val="00463FA4"/>
    <w:rsid w:val="00486063"/>
    <w:rsid w:val="004953C5"/>
    <w:rsid w:val="004A61C3"/>
    <w:rsid w:val="004E242E"/>
    <w:rsid w:val="005210F0"/>
    <w:rsid w:val="00530051"/>
    <w:rsid w:val="00581BE7"/>
    <w:rsid w:val="005C3C72"/>
    <w:rsid w:val="005D78B5"/>
    <w:rsid w:val="005E0B3C"/>
    <w:rsid w:val="006024A4"/>
    <w:rsid w:val="00630C71"/>
    <w:rsid w:val="0066085E"/>
    <w:rsid w:val="006620F0"/>
    <w:rsid w:val="006918C1"/>
    <w:rsid w:val="006B201F"/>
    <w:rsid w:val="006E0F20"/>
    <w:rsid w:val="00714788"/>
    <w:rsid w:val="00722FAC"/>
    <w:rsid w:val="00731380"/>
    <w:rsid w:val="00734A18"/>
    <w:rsid w:val="00737529"/>
    <w:rsid w:val="00761B4E"/>
    <w:rsid w:val="00774DD1"/>
    <w:rsid w:val="0079172C"/>
    <w:rsid w:val="00791DB2"/>
    <w:rsid w:val="00793022"/>
    <w:rsid w:val="00796028"/>
    <w:rsid w:val="007A54FE"/>
    <w:rsid w:val="00810854"/>
    <w:rsid w:val="00873CAB"/>
    <w:rsid w:val="008759F5"/>
    <w:rsid w:val="008802E3"/>
    <w:rsid w:val="008821D4"/>
    <w:rsid w:val="00882400"/>
    <w:rsid w:val="00896253"/>
    <w:rsid w:val="008C0B0D"/>
    <w:rsid w:val="008F21D2"/>
    <w:rsid w:val="008F5DCA"/>
    <w:rsid w:val="009060A3"/>
    <w:rsid w:val="00923A6E"/>
    <w:rsid w:val="00964AD4"/>
    <w:rsid w:val="009914DB"/>
    <w:rsid w:val="009B227A"/>
    <w:rsid w:val="00A03315"/>
    <w:rsid w:val="00A047D0"/>
    <w:rsid w:val="00A7398A"/>
    <w:rsid w:val="00A9127C"/>
    <w:rsid w:val="00A9136F"/>
    <w:rsid w:val="00A95A58"/>
    <w:rsid w:val="00AA4BFD"/>
    <w:rsid w:val="00AE621E"/>
    <w:rsid w:val="00AF010E"/>
    <w:rsid w:val="00BE5B70"/>
    <w:rsid w:val="00C10614"/>
    <w:rsid w:val="00C7627D"/>
    <w:rsid w:val="00C84353"/>
    <w:rsid w:val="00C935D6"/>
    <w:rsid w:val="00C973E8"/>
    <w:rsid w:val="00CC3F17"/>
    <w:rsid w:val="00CD0869"/>
    <w:rsid w:val="00CF0B4F"/>
    <w:rsid w:val="00CF2AFF"/>
    <w:rsid w:val="00D15483"/>
    <w:rsid w:val="00D51EE1"/>
    <w:rsid w:val="00D57478"/>
    <w:rsid w:val="00D81991"/>
    <w:rsid w:val="00D94AF8"/>
    <w:rsid w:val="00DA69BC"/>
    <w:rsid w:val="00DD550C"/>
    <w:rsid w:val="00DE7B81"/>
    <w:rsid w:val="00E16371"/>
    <w:rsid w:val="00E168D4"/>
    <w:rsid w:val="00E217AD"/>
    <w:rsid w:val="00E40EAA"/>
    <w:rsid w:val="00E57102"/>
    <w:rsid w:val="00E57AE2"/>
    <w:rsid w:val="00E639CC"/>
    <w:rsid w:val="00E876FD"/>
    <w:rsid w:val="00EB2F86"/>
    <w:rsid w:val="00EC56B6"/>
    <w:rsid w:val="00ED7977"/>
    <w:rsid w:val="00EE5DDF"/>
    <w:rsid w:val="00F00FC5"/>
    <w:rsid w:val="00F026B0"/>
    <w:rsid w:val="00F12361"/>
    <w:rsid w:val="00F15FA4"/>
    <w:rsid w:val="00F15FD7"/>
    <w:rsid w:val="00F24C66"/>
    <w:rsid w:val="00F27F42"/>
    <w:rsid w:val="00F40810"/>
    <w:rsid w:val="00F4231E"/>
    <w:rsid w:val="00F811AF"/>
    <w:rsid w:val="00F85E9E"/>
    <w:rsid w:val="00F963A0"/>
    <w:rsid w:val="00FA6270"/>
    <w:rsid w:val="00FB7287"/>
    <w:rsid w:val="00FF6DB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0A4C89"/>
  <w15:chartTrackingRefBased/>
  <w15:docId w15:val="{B18A3B8A-9E83-409D-9D48-D35E1A01A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352A82"/>
    <w:pPr>
      <w:spacing w:after="240" w:line="288" w:lineRule="auto"/>
      <w:ind w:left="709" w:right="-142"/>
      <w:jc w:val="both"/>
    </w:pPr>
    <w:rPr>
      <w:rFonts w:ascii="Verdana" w:eastAsia="Times New Roman" w:hAnsi="Verdana" w:cs="Arial"/>
      <w:bCs/>
      <w:sz w:val="20"/>
      <w:szCs w:val="20"/>
      <w:lang w:eastAsia="sl-SI"/>
    </w:rPr>
  </w:style>
  <w:style w:type="paragraph" w:styleId="Naslov1">
    <w:name w:val="heading 1"/>
    <w:next w:val="Navaden"/>
    <w:link w:val="Naslov1Znak"/>
    <w:uiPriority w:val="9"/>
    <w:qFormat/>
    <w:rsid w:val="00355F3A"/>
    <w:pPr>
      <w:keepNext/>
      <w:keepLines/>
      <w:spacing w:before="480" w:after="480" w:line="320" w:lineRule="exact"/>
      <w:ind w:left="709"/>
      <w:outlineLvl w:val="0"/>
    </w:pPr>
    <w:rPr>
      <w:rFonts w:ascii="Verdana" w:eastAsiaTheme="majorEastAsia" w:hAnsi="Verdana" w:cstheme="majorBidi"/>
      <w:b/>
      <w:bCs/>
      <w:noProof/>
      <w:color w:val="2F5496" w:themeColor="accent1" w:themeShade="BF"/>
      <w:szCs w:val="28"/>
      <w:lang w:eastAsia="sl-SI"/>
    </w:rPr>
  </w:style>
  <w:style w:type="paragraph" w:styleId="Naslov2">
    <w:name w:val="heading 2"/>
    <w:next w:val="Navaden"/>
    <w:link w:val="Naslov2Znak"/>
    <w:uiPriority w:val="9"/>
    <w:unhideWhenUsed/>
    <w:rsid w:val="008759F5"/>
    <w:pPr>
      <w:keepNext/>
      <w:keepLines/>
      <w:spacing w:before="240" w:after="240"/>
      <w:ind w:left="709"/>
      <w:outlineLvl w:val="1"/>
    </w:pPr>
    <w:rPr>
      <w:rFonts w:ascii="Verdana" w:eastAsiaTheme="majorEastAsia" w:hAnsi="Verdana" w:cstheme="majorBidi"/>
      <w:b/>
      <w:bCs/>
      <w:noProof/>
      <w:color w:val="2F5496" w:themeColor="accent1" w:themeShade="BF"/>
      <w:sz w:val="24"/>
      <w:szCs w:val="26"/>
      <w:lang w:eastAsia="sl-SI"/>
    </w:rPr>
  </w:style>
  <w:style w:type="paragraph" w:styleId="Naslov3">
    <w:name w:val="heading 3"/>
    <w:next w:val="Navaden"/>
    <w:link w:val="Naslov3Znak"/>
    <w:uiPriority w:val="9"/>
    <w:unhideWhenUsed/>
    <w:rsid w:val="008759F5"/>
    <w:pPr>
      <w:keepNext/>
      <w:keepLines/>
      <w:spacing w:before="240" w:after="240"/>
      <w:ind w:left="709"/>
      <w:outlineLvl w:val="2"/>
    </w:pPr>
    <w:rPr>
      <w:rFonts w:ascii="Verdana" w:eastAsiaTheme="majorEastAsia" w:hAnsi="Verdana" w:cstheme="majorBidi"/>
      <w:bCs/>
      <w:noProof/>
      <w:color w:val="1F3763" w:themeColor="accent1" w:themeShade="7F"/>
      <w:szCs w:val="24"/>
      <w:lang w:eastAsia="sl-SI"/>
    </w:rPr>
  </w:style>
  <w:style w:type="paragraph" w:styleId="Naslov4">
    <w:name w:val="heading 4"/>
    <w:next w:val="Navaden"/>
    <w:link w:val="Naslov4Znak"/>
    <w:uiPriority w:val="9"/>
    <w:unhideWhenUsed/>
    <w:rsid w:val="008759F5"/>
    <w:pPr>
      <w:keepNext/>
      <w:keepLines/>
      <w:spacing w:before="240" w:after="240"/>
      <w:ind w:left="709"/>
      <w:outlineLvl w:val="3"/>
    </w:pPr>
    <w:rPr>
      <w:rFonts w:ascii="Verdana" w:eastAsiaTheme="majorEastAsia" w:hAnsi="Verdana" w:cstheme="majorBidi"/>
      <w:bCs/>
      <w:iCs/>
      <w:noProof/>
      <w:color w:val="2F5496" w:themeColor="accent1" w:themeShade="BF"/>
      <w:sz w:val="20"/>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39"/>
    <w:rsid w:val="00581B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NGnoga">
    <w:name w:val="MONG noga"/>
    <w:basedOn w:val="Navaden"/>
    <w:link w:val="MONGnogaZnak"/>
    <w:qFormat/>
    <w:rsid w:val="00722FAC"/>
    <w:pPr>
      <w:tabs>
        <w:tab w:val="center" w:pos="4536"/>
        <w:tab w:val="right" w:pos="9072"/>
      </w:tabs>
      <w:spacing w:after="0"/>
      <w:ind w:left="1134"/>
    </w:pPr>
    <w:rPr>
      <w:color w:val="002F87"/>
      <w:sz w:val="14"/>
      <w:szCs w:val="14"/>
    </w:rPr>
  </w:style>
  <w:style w:type="character" w:styleId="Nerazreenaomemba">
    <w:name w:val="Unresolved Mention"/>
    <w:basedOn w:val="Privzetapisavaodstavka"/>
    <w:uiPriority w:val="99"/>
    <w:semiHidden/>
    <w:unhideWhenUsed/>
    <w:rsid w:val="00F811AF"/>
    <w:rPr>
      <w:color w:val="605E5C"/>
      <w:shd w:val="clear" w:color="auto" w:fill="E1DFDD"/>
    </w:rPr>
  </w:style>
  <w:style w:type="character" w:customStyle="1" w:styleId="MONGnogaZnak">
    <w:name w:val="MONG noga Znak"/>
    <w:basedOn w:val="Privzetapisavaodstavka"/>
    <w:link w:val="MONGnoga"/>
    <w:rsid w:val="00722FAC"/>
    <w:rPr>
      <w:rFonts w:ascii="Verdana" w:eastAsia="Times New Roman" w:hAnsi="Verdana" w:cs="Arial"/>
      <w:bCs/>
      <w:noProof/>
      <w:color w:val="002F87"/>
      <w:sz w:val="14"/>
      <w:szCs w:val="14"/>
      <w:lang w:eastAsia="sl-SI"/>
    </w:rPr>
  </w:style>
  <w:style w:type="paragraph" w:customStyle="1" w:styleId="Nazivenote">
    <w:name w:val="Naziv enote"/>
    <w:link w:val="NazivenoteZnak"/>
    <w:qFormat/>
    <w:rsid w:val="00722FAC"/>
    <w:pPr>
      <w:ind w:left="709"/>
    </w:pPr>
    <w:rPr>
      <w:rFonts w:ascii="Verdana" w:eastAsia="Times New Roman" w:hAnsi="Verdana" w:cs="Arial"/>
      <w:b/>
      <w:noProof/>
      <w:color w:val="002F87"/>
      <w:sz w:val="14"/>
      <w:szCs w:val="14"/>
      <w:lang w:eastAsia="sl-SI"/>
    </w:rPr>
  </w:style>
  <w:style w:type="character" w:customStyle="1" w:styleId="NazivenoteZnak">
    <w:name w:val="Naziv enote Znak"/>
    <w:basedOn w:val="MONGnogaZnak"/>
    <w:link w:val="Nazivenote"/>
    <w:rsid w:val="00722FAC"/>
    <w:rPr>
      <w:rFonts w:ascii="Verdana" w:eastAsia="Times New Roman" w:hAnsi="Verdana" w:cs="Arial"/>
      <w:b/>
      <w:bCs w:val="0"/>
      <w:noProof/>
      <w:color w:val="002F87"/>
      <w:sz w:val="14"/>
      <w:szCs w:val="14"/>
      <w:lang w:eastAsia="sl-SI"/>
    </w:rPr>
  </w:style>
  <w:style w:type="paragraph" w:customStyle="1" w:styleId="Podpisoseba">
    <w:name w:val="Podpis oseba"/>
    <w:link w:val="PodpisosebaZnak"/>
    <w:qFormat/>
    <w:rsid w:val="00A03315"/>
    <w:pPr>
      <w:spacing w:before="600" w:after="600" w:line="240" w:lineRule="exact"/>
    </w:pPr>
    <w:rPr>
      <w:rFonts w:ascii="Verdana" w:eastAsia="Times New Roman" w:hAnsi="Verdana" w:cs="Arial"/>
      <w:bCs/>
      <w:noProof/>
      <w:color w:val="002F87"/>
      <w:sz w:val="20"/>
      <w:szCs w:val="20"/>
      <w:lang w:eastAsia="sl-SI"/>
    </w:rPr>
  </w:style>
  <w:style w:type="character" w:customStyle="1" w:styleId="PodpisosebaZnak">
    <w:name w:val="Podpis oseba Znak"/>
    <w:basedOn w:val="Privzetapisavaodstavka"/>
    <w:link w:val="Podpisoseba"/>
    <w:rsid w:val="00A03315"/>
    <w:rPr>
      <w:rFonts w:ascii="Verdana" w:eastAsia="Times New Roman" w:hAnsi="Verdana" w:cs="Arial"/>
      <w:bCs/>
      <w:noProof/>
      <w:color w:val="002F87"/>
      <w:sz w:val="20"/>
      <w:szCs w:val="20"/>
      <w:lang w:eastAsia="sl-SI"/>
    </w:rPr>
  </w:style>
  <w:style w:type="paragraph" w:customStyle="1" w:styleId="Zveza">
    <w:name w:val="Zveza"/>
    <w:link w:val="ZvezaZnak"/>
    <w:rsid w:val="008802E3"/>
    <w:pPr>
      <w:spacing w:after="0" w:line="240" w:lineRule="auto"/>
      <w:ind w:left="709"/>
    </w:pPr>
    <w:rPr>
      <w:rFonts w:ascii="Verdana" w:eastAsia="Times New Roman" w:hAnsi="Verdana" w:cs="Arial"/>
      <w:bCs/>
      <w:noProof/>
      <w:u w:val="single"/>
      <w:lang w:eastAsia="sl-SI"/>
    </w:rPr>
  </w:style>
  <w:style w:type="character" w:customStyle="1" w:styleId="ZvezaZnak">
    <w:name w:val="Zveza Znak"/>
    <w:basedOn w:val="Privzetapisavaodstavka"/>
    <w:link w:val="Zveza"/>
    <w:rsid w:val="008802E3"/>
    <w:rPr>
      <w:rFonts w:ascii="Verdana" w:eastAsia="Times New Roman" w:hAnsi="Verdana" w:cs="Arial"/>
      <w:bCs/>
      <w:noProof/>
      <w:sz w:val="16"/>
      <w:szCs w:val="20"/>
      <w:u w:val="single"/>
      <w:lang w:eastAsia="sl-SI"/>
    </w:rPr>
  </w:style>
  <w:style w:type="character" w:customStyle="1" w:styleId="Naslov1Znak">
    <w:name w:val="Naslov 1 Znak"/>
    <w:basedOn w:val="Privzetapisavaodstavka"/>
    <w:link w:val="Naslov1"/>
    <w:uiPriority w:val="9"/>
    <w:rsid w:val="00355F3A"/>
    <w:rPr>
      <w:rFonts w:ascii="Verdana" w:eastAsiaTheme="majorEastAsia" w:hAnsi="Verdana" w:cstheme="majorBidi"/>
      <w:b/>
      <w:bCs/>
      <w:noProof/>
      <w:color w:val="2F5496" w:themeColor="accent1" w:themeShade="BF"/>
      <w:szCs w:val="28"/>
      <w:lang w:eastAsia="sl-SI"/>
    </w:rPr>
  </w:style>
  <w:style w:type="character" w:customStyle="1" w:styleId="Naslov2Znak">
    <w:name w:val="Naslov 2 Znak"/>
    <w:basedOn w:val="Privzetapisavaodstavka"/>
    <w:link w:val="Naslov2"/>
    <w:uiPriority w:val="9"/>
    <w:rsid w:val="008759F5"/>
    <w:rPr>
      <w:rFonts w:ascii="Verdana" w:eastAsiaTheme="majorEastAsia" w:hAnsi="Verdana" w:cstheme="majorBidi"/>
      <w:b/>
      <w:bCs/>
      <w:noProof/>
      <w:color w:val="2F5496" w:themeColor="accent1" w:themeShade="BF"/>
      <w:sz w:val="24"/>
      <w:szCs w:val="26"/>
      <w:lang w:eastAsia="sl-SI"/>
    </w:rPr>
  </w:style>
  <w:style w:type="paragraph" w:customStyle="1" w:styleId="Naslovnik">
    <w:name w:val="Naslovnik"/>
    <w:rsid w:val="00F40810"/>
    <w:pPr>
      <w:spacing w:before="600" w:after="720"/>
      <w:ind w:left="709"/>
    </w:pPr>
    <w:rPr>
      <w:rFonts w:ascii="Verdana" w:eastAsia="Times New Roman" w:hAnsi="Verdana" w:cs="Arial"/>
      <w:bCs/>
      <w:noProof/>
      <w:color w:val="002F87"/>
      <w:sz w:val="18"/>
      <w:szCs w:val="18"/>
      <w:lang w:eastAsia="sl-SI"/>
    </w:rPr>
  </w:style>
  <w:style w:type="character" w:customStyle="1" w:styleId="Naslov3Znak">
    <w:name w:val="Naslov 3 Znak"/>
    <w:basedOn w:val="Privzetapisavaodstavka"/>
    <w:link w:val="Naslov3"/>
    <w:uiPriority w:val="9"/>
    <w:rsid w:val="008759F5"/>
    <w:rPr>
      <w:rFonts w:ascii="Verdana" w:eastAsiaTheme="majorEastAsia" w:hAnsi="Verdana" w:cstheme="majorBidi"/>
      <w:bCs/>
      <w:noProof/>
      <w:color w:val="1F3763" w:themeColor="accent1" w:themeShade="7F"/>
      <w:szCs w:val="24"/>
      <w:lang w:eastAsia="sl-SI"/>
    </w:rPr>
  </w:style>
  <w:style w:type="character" w:customStyle="1" w:styleId="Naslov4Znak">
    <w:name w:val="Naslov 4 Znak"/>
    <w:basedOn w:val="Privzetapisavaodstavka"/>
    <w:link w:val="Naslov4"/>
    <w:uiPriority w:val="9"/>
    <w:rsid w:val="008759F5"/>
    <w:rPr>
      <w:rFonts w:ascii="Verdana" w:eastAsiaTheme="majorEastAsia" w:hAnsi="Verdana" w:cstheme="majorBidi"/>
      <w:bCs/>
      <w:iCs/>
      <w:noProof/>
      <w:color w:val="2F5496" w:themeColor="accent1" w:themeShade="BF"/>
      <w:sz w:val="20"/>
      <w:lang w:eastAsia="sl-SI"/>
    </w:rPr>
  </w:style>
  <w:style w:type="paragraph" w:styleId="Seznam">
    <w:name w:val="List"/>
    <w:link w:val="SeznamZnak"/>
    <w:uiPriority w:val="99"/>
    <w:unhideWhenUsed/>
    <w:rsid w:val="008802E3"/>
    <w:pPr>
      <w:numPr>
        <w:numId w:val="1"/>
      </w:numPr>
      <w:spacing w:after="0"/>
      <w:contextualSpacing/>
    </w:pPr>
    <w:rPr>
      <w:rFonts w:ascii="Verdana" w:eastAsia="Times New Roman" w:hAnsi="Verdana" w:cs="Arial"/>
      <w:bCs/>
      <w:noProof/>
      <w:lang w:eastAsia="sl-SI"/>
    </w:rPr>
  </w:style>
  <w:style w:type="paragraph" w:customStyle="1" w:styleId="Seznam1">
    <w:name w:val="Seznam 1"/>
    <w:basedOn w:val="Seznam"/>
    <w:link w:val="Seznam1Znak"/>
    <w:rsid w:val="00873CAB"/>
    <w:pPr>
      <w:ind w:left="1094" w:hanging="357"/>
    </w:pPr>
  </w:style>
  <w:style w:type="character" w:customStyle="1" w:styleId="SeznamZnak">
    <w:name w:val="Seznam Znak"/>
    <w:basedOn w:val="Privzetapisavaodstavka"/>
    <w:link w:val="Seznam"/>
    <w:uiPriority w:val="99"/>
    <w:rsid w:val="008802E3"/>
    <w:rPr>
      <w:rFonts w:ascii="Verdana" w:eastAsia="Times New Roman" w:hAnsi="Verdana" w:cs="Arial"/>
      <w:bCs/>
      <w:noProof/>
      <w:lang w:eastAsia="sl-SI"/>
    </w:rPr>
  </w:style>
  <w:style w:type="character" w:customStyle="1" w:styleId="Seznam1Znak">
    <w:name w:val="Seznam 1 Znak"/>
    <w:basedOn w:val="SeznamZnak"/>
    <w:link w:val="Seznam1"/>
    <w:rsid w:val="00873CAB"/>
    <w:rPr>
      <w:rFonts w:ascii="Verdana" w:eastAsia="Times New Roman" w:hAnsi="Verdana" w:cs="Arial"/>
      <w:bCs/>
      <w:noProof/>
      <w:lang w:eastAsia="sl-SI"/>
    </w:rPr>
  </w:style>
  <w:style w:type="paragraph" w:styleId="Odstavekseznama">
    <w:name w:val="List Paragraph"/>
    <w:basedOn w:val="Navaden"/>
    <w:uiPriority w:val="34"/>
    <w:rsid w:val="00C973E8"/>
    <w:pPr>
      <w:ind w:left="720"/>
      <w:contextualSpacing/>
    </w:pPr>
  </w:style>
  <w:style w:type="paragraph" w:styleId="Glava">
    <w:name w:val="header"/>
    <w:basedOn w:val="Navaden"/>
    <w:link w:val="GlavaZnak"/>
    <w:uiPriority w:val="99"/>
    <w:unhideWhenUsed/>
    <w:rsid w:val="00C973E8"/>
    <w:pPr>
      <w:tabs>
        <w:tab w:val="center" w:pos="4536"/>
        <w:tab w:val="right" w:pos="9072"/>
      </w:tabs>
      <w:spacing w:after="0" w:line="240" w:lineRule="auto"/>
    </w:pPr>
  </w:style>
  <w:style w:type="character" w:customStyle="1" w:styleId="GlavaZnak">
    <w:name w:val="Glava Znak"/>
    <w:basedOn w:val="Privzetapisavaodstavka"/>
    <w:link w:val="Glava"/>
    <w:uiPriority w:val="99"/>
    <w:rsid w:val="00C973E8"/>
    <w:rPr>
      <w:rFonts w:ascii="Verdana" w:eastAsia="Times New Roman" w:hAnsi="Verdana" w:cs="Arial"/>
      <w:bCs/>
      <w:noProof/>
      <w:lang w:eastAsia="sl-SI"/>
    </w:rPr>
  </w:style>
  <w:style w:type="paragraph" w:styleId="Noga">
    <w:name w:val="footer"/>
    <w:basedOn w:val="Navaden"/>
    <w:link w:val="NogaZnak"/>
    <w:uiPriority w:val="99"/>
    <w:unhideWhenUsed/>
    <w:rsid w:val="00C973E8"/>
    <w:pPr>
      <w:tabs>
        <w:tab w:val="center" w:pos="4536"/>
        <w:tab w:val="right" w:pos="9072"/>
      </w:tabs>
      <w:spacing w:after="0" w:line="240" w:lineRule="auto"/>
    </w:pPr>
  </w:style>
  <w:style w:type="character" w:customStyle="1" w:styleId="NogaZnak">
    <w:name w:val="Noga Znak"/>
    <w:basedOn w:val="Privzetapisavaodstavka"/>
    <w:link w:val="Noga"/>
    <w:uiPriority w:val="99"/>
    <w:rsid w:val="00C973E8"/>
    <w:rPr>
      <w:rFonts w:ascii="Verdana" w:eastAsia="Times New Roman" w:hAnsi="Verdana" w:cs="Arial"/>
      <w:bCs/>
      <w:noProof/>
      <w:lang w:eastAsia="sl-SI"/>
    </w:rPr>
  </w:style>
  <w:style w:type="character" w:styleId="Hiperpovezava">
    <w:name w:val="Hyperlink"/>
    <w:basedOn w:val="Privzetapisavaodstavka"/>
    <w:uiPriority w:val="99"/>
    <w:unhideWhenUsed/>
    <w:rsid w:val="00C973E8"/>
    <w:rPr>
      <w:color w:val="0563C1" w:themeColor="hyperlink"/>
      <w:u w:val="single"/>
    </w:rPr>
  </w:style>
  <w:style w:type="paragraph" w:styleId="Navadensplet">
    <w:name w:val="Normal (Web)"/>
    <w:basedOn w:val="Navaden"/>
    <w:uiPriority w:val="99"/>
    <w:semiHidden/>
    <w:unhideWhenUsed/>
    <w:rsid w:val="00352A82"/>
    <w:pPr>
      <w:spacing w:before="100" w:beforeAutospacing="1" w:after="100" w:afterAutospacing="1" w:line="240" w:lineRule="auto"/>
      <w:ind w:left="0" w:right="0"/>
    </w:pPr>
    <w:rPr>
      <w:rFonts w:ascii="Times New Roman" w:hAnsi="Times New Roman" w:cs="Times New Roman"/>
      <w:bCs w:val="0"/>
      <w:sz w:val="24"/>
      <w:szCs w:val="24"/>
    </w:rPr>
  </w:style>
  <w:style w:type="paragraph" w:customStyle="1" w:styleId="stevilkadokumenta">
    <w:name w:val="stevilka dokumenta"/>
    <w:link w:val="stevilkadokumentaZnak"/>
    <w:qFormat/>
    <w:rsid w:val="00BE5B70"/>
    <w:pPr>
      <w:ind w:left="709"/>
    </w:pPr>
    <w:rPr>
      <w:rFonts w:ascii="Verdana" w:eastAsia="Times New Roman" w:hAnsi="Verdana" w:cs="Arial"/>
      <w:bCs/>
      <w:noProof/>
      <w:sz w:val="20"/>
      <w:szCs w:val="20"/>
      <w:lang w:eastAsia="sl-SI"/>
    </w:rPr>
  </w:style>
  <w:style w:type="paragraph" w:customStyle="1" w:styleId="gradivo">
    <w:name w:val="gradivo"/>
    <w:link w:val="gradivoZnak"/>
    <w:qFormat/>
    <w:rsid w:val="00774DD1"/>
    <w:pPr>
      <w:spacing w:after="0" w:line="240" w:lineRule="exact"/>
      <w:ind w:left="709"/>
    </w:pPr>
    <w:rPr>
      <w:rFonts w:ascii="Verdana" w:eastAsia="Times New Roman" w:hAnsi="Verdana" w:cs="Arial"/>
      <w:bCs/>
      <w:noProof/>
      <w:sz w:val="20"/>
      <w:szCs w:val="20"/>
      <w:lang w:eastAsia="sl-SI"/>
    </w:rPr>
  </w:style>
  <w:style w:type="character" w:customStyle="1" w:styleId="stevilkadokumentaZnak">
    <w:name w:val="stevilka dokumenta Znak"/>
    <w:basedOn w:val="Privzetapisavaodstavka"/>
    <w:link w:val="stevilkadokumenta"/>
    <w:rsid w:val="00BE5B70"/>
    <w:rPr>
      <w:rFonts w:ascii="Verdana" w:eastAsia="Times New Roman" w:hAnsi="Verdana" w:cs="Arial"/>
      <w:bCs/>
      <w:noProof/>
      <w:sz w:val="20"/>
      <w:szCs w:val="20"/>
      <w:lang w:eastAsia="sl-SI"/>
    </w:rPr>
  </w:style>
  <w:style w:type="paragraph" w:customStyle="1" w:styleId="tevilka">
    <w:name w:val="Številka"/>
    <w:link w:val="tevilkaZnak"/>
    <w:qFormat/>
    <w:rsid w:val="00445A64"/>
    <w:pPr>
      <w:jc w:val="center"/>
    </w:pPr>
    <w:rPr>
      <w:rFonts w:ascii="Verdana" w:eastAsia="Times New Roman" w:hAnsi="Verdana" w:cs="Arial"/>
      <w:bCs/>
      <w:noProof/>
      <w:color w:val="002F87"/>
      <w:sz w:val="60"/>
      <w:szCs w:val="60"/>
      <w:lang w:eastAsia="sl-SI"/>
    </w:rPr>
  </w:style>
  <w:style w:type="character" w:customStyle="1" w:styleId="gradivoZnak">
    <w:name w:val="gradivo Znak"/>
    <w:basedOn w:val="Privzetapisavaodstavka"/>
    <w:link w:val="gradivo"/>
    <w:rsid w:val="00774DD1"/>
    <w:rPr>
      <w:rFonts w:ascii="Verdana" w:eastAsia="Times New Roman" w:hAnsi="Verdana" w:cs="Arial"/>
      <w:bCs/>
      <w:noProof/>
      <w:sz w:val="20"/>
      <w:szCs w:val="20"/>
      <w:lang w:eastAsia="sl-SI"/>
    </w:rPr>
  </w:style>
  <w:style w:type="character" w:customStyle="1" w:styleId="tevilkaZnak">
    <w:name w:val="Številka Znak"/>
    <w:basedOn w:val="Privzetapisavaodstavka"/>
    <w:link w:val="tevilka"/>
    <w:rsid w:val="00445A64"/>
    <w:rPr>
      <w:rFonts w:ascii="Verdana" w:eastAsia="Times New Roman" w:hAnsi="Verdana" w:cs="Arial"/>
      <w:bCs/>
      <w:noProof/>
      <w:color w:val="002F87"/>
      <w:sz w:val="60"/>
      <w:szCs w:val="60"/>
      <w:lang w:eastAsia="sl-SI"/>
    </w:rPr>
  </w:style>
  <w:style w:type="character" w:styleId="Besedilooznabemesta">
    <w:name w:val="Placeholder Text"/>
    <w:basedOn w:val="Privzetapisavaodstavka"/>
    <w:uiPriority w:val="99"/>
    <w:semiHidden/>
    <w:rsid w:val="00D51EE1"/>
    <w:rPr>
      <w:color w:val="666666"/>
    </w:rPr>
  </w:style>
  <w:style w:type="paragraph" w:styleId="Revizija">
    <w:name w:val="Revision"/>
    <w:hidden/>
    <w:uiPriority w:val="99"/>
    <w:semiHidden/>
    <w:rsid w:val="005E0B3C"/>
    <w:pPr>
      <w:spacing w:after="0" w:line="240" w:lineRule="auto"/>
    </w:pPr>
    <w:rPr>
      <w:rFonts w:ascii="Verdana" w:eastAsia="Times New Roman" w:hAnsi="Verdana" w:cs="Arial"/>
      <w:bCs/>
      <w:sz w:val="20"/>
      <w:szCs w:val="20"/>
      <w:lang w:eastAsia="sl-SI"/>
    </w:rPr>
  </w:style>
  <w:style w:type="character" w:styleId="Pripombasklic">
    <w:name w:val="annotation reference"/>
    <w:basedOn w:val="Privzetapisavaodstavka"/>
    <w:uiPriority w:val="99"/>
    <w:semiHidden/>
    <w:unhideWhenUsed/>
    <w:rsid w:val="005E0B3C"/>
    <w:rPr>
      <w:sz w:val="16"/>
      <w:szCs w:val="16"/>
    </w:rPr>
  </w:style>
  <w:style w:type="paragraph" w:styleId="Pripombabesedilo">
    <w:name w:val="annotation text"/>
    <w:basedOn w:val="Navaden"/>
    <w:link w:val="PripombabesediloZnak"/>
    <w:uiPriority w:val="99"/>
    <w:semiHidden/>
    <w:unhideWhenUsed/>
    <w:rsid w:val="005E0B3C"/>
    <w:pPr>
      <w:spacing w:line="240" w:lineRule="auto"/>
    </w:pPr>
  </w:style>
  <w:style w:type="character" w:customStyle="1" w:styleId="PripombabesediloZnak">
    <w:name w:val="Pripomba – besedilo Znak"/>
    <w:basedOn w:val="Privzetapisavaodstavka"/>
    <w:link w:val="Pripombabesedilo"/>
    <w:uiPriority w:val="99"/>
    <w:semiHidden/>
    <w:rsid w:val="005E0B3C"/>
    <w:rPr>
      <w:rFonts w:ascii="Verdana" w:eastAsia="Times New Roman" w:hAnsi="Verdana" w:cs="Arial"/>
      <w:bCs/>
      <w:sz w:val="20"/>
      <w:szCs w:val="20"/>
      <w:lang w:eastAsia="sl-SI"/>
    </w:rPr>
  </w:style>
  <w:style w:type="paragraph" w:styleId="Zadevapripombe">
    <w:name w:val="annotation subject"/>
    <w:basedOn w:val="Pripombabesedilo"/>
    <w:next w:val="Pripombabesedilo"/>
    <w:link w:val="ZadevapripombeZnak"/>
    <w:uiPriority w:val="99"/>
    <w:semiHidden/>
    <w:unhideWhenUsed/>
    <w:rsid w:val="005E0B3C"/>
    <w:rPr>
      <w:b/>
    </w:rPr>
  </w:style>
  <w:style w:type="character" w:customStyle="1" w:styleId="ZadevapripombeZnak">
    <w:name w:val="Zadeva pripombe Znak"/>
    <w:basedOn w:val="PripombabesediloZnak"/>
    <w:link w:val="Zadevapripombe"/>
    <w:uiPriority w:val="99"/>
    <w:semiHidden/>
    <w:rsid w:val="005E0B3C"/>
    <w:rPr>
      <w:rFonts w:ascii="Verdana" w:eastAsia="Times New Roman" w:hAnsi="Verdana" w:cs="Arial"/>
      <w:b/>
      <w:bCs/>
      <w:sz w:val="20"/>
      <w:szCs w:val="20"/>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1471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pisrs.si/pregledPredpisa?sop=2026-01-0795"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71fd287-4551-411b-a694-38c9be1b8a3f">
      <Terms xmlns="http://schemas.microsoft.com/office/infopath/2007/PartnerControls"/>
    </lcf76f155ced4ddcb4097134ff3c332f>
    <Veljaod_x003a_ xmlns="971fd287-4551-411b-a694-38c9be1b8a3f">2025-07-11T10:55:49+00:00</Veljaod_x003a_>
    <Veljado xmlns="971fd287-4551-411b-a694-38c9be1b8a3f" xsi:nil="true"/>
    <TaxCatchAll xmlns="151e2135-251a-4a54-bb3f-b4383bb78d32" xsi:nil="true"/>
    <Datumobjave xmlns="971fd287-4551-411b-a694-38c9be1b8a3f">2025-07-11T10:55:49+00:00</Datumobjav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9F374D45774D744293459BD29AFDC427" ma:contentTypeVersion="18" ma:contentTypeDescription="Ustvari nov dokument." ma:contentTypeScope="" ma:versionID="3f4f3ef45558fb0369b5287551c948d9">
  <xsd:schema xmlns:xsd="http://www.w3.org/2001/XMLSchema" xmlns:xs="http://www.w3.org/2001/XMLSchema" xmlns:p="http://schemas.microsoft.com/office/2006/metadata/properties" xmlns:ns2="971fd287-4551-411b-a694-38c9be1b8a3f" xmlns:ns3="151e2135-251a-4a54-bb3f-b4383bb78d32" targetNamespace="http://schemas.microsoft.com/office/2006/metadata/properties" ma:root="true" ma:fieldsID="11d2a4f0c4003dd1c7bc1faa9241204c" ns2:_="" ns3:_="">
    <xsd:import namespace="971fd287-4551-411b-a694-38c9be1b8a3f"/>
    <xsd:import namespace="151e2135-251a-4a54-bb3f-b4383bb78d32"/>
    <xsd:element name="properties">
      <xsd:complexType>
        <xsd:sequence>
          <xsd:element name="documentManagement">
            <xsd:complexType>
              <xsd:all>
                <xsd:element ref="ns2:Datumobjave"/>
                <xsd:element ref="ns2:Veljaod_x003a_"/>
                <xsd:element ref="ns2:MediaServiceMetadata" minOccurs="0"/>
                <xsd:element ref="ns2:MediaServiceFastMetadata" minOccurs="0"/>
                <xsd:element ref="ns3:SharedWithUsers" minOccurs="0"/>
                <xsd:element ref="ns3:SharedWithDetails" minOccurs="0"/>
                <xsd:element ref="ns2:Veljado"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1fd287-4551-411b-a694-38c9be1b8a3f" elementFormDefault="qualified">
    <xsd:import namespace="http://schemas.microsoft.com/office/2006/documentManagement/types"/>
    <xsd:import namespace="http://schemas.microsoft.com/office/infopath/2007/PartnerControls"/>
    <xsd:element name="Datumobjave" ma:index="8" ma:displayName="Datum objave" ma:default="[today]" ma:format="DateOnly" ma:internalName="Datumobjave">
      <xsd:simpleType>
        <xsd:restriction base="dms:DateTime"/>
      </xsd:simpleType>
    </xsd:element>
    <xsd:element name="Veljaod_x003a_" ma:index="9" ma:displayName="Velja od:" ma:default="[today]" ma:format="DateOnly" ma:internalName="Veljaod_x003a_">
      <xsd:simpleType>
        <xsd:restriction base="dms:DateTim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Veljado" ma:index="14" nillable="true" ma:displayName="Velja do " ma:format="DateOnly" ma:internalName="Veljado">
      <xsd:simpleType>
        <xsd:restriction base="dms:DateTim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Oznake slike" ma:readOnly="false" ma:fieldId="{5cf76f15-5ced-4ddc-b409-7134ff3c332f}" ma:taxonomyMulti="true" ma:sspId="ff289062-f35a-42ba-8bab-52fa9fec4072"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51e2135-251a-4a54-bb3f-b4383bb78d32" elementFormDefault="qualified">
    <xsd:import namespace="http://schemas.microsoft.com/office/2006/documentManagement/types"/>
    <xsd:import namespace="http://schemas.microsoft.com/office/infopath/2007/PartnerControls"/>
    <xsd:element name="SharedWithUsers" ma:index="12"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V skupni rabi s podrobnostmi" ma:internalName="SharedWithDetails" ma:readOnly="true">
      <xsd:simpleType>
        <xsd:restriction base="dms:Note">
          <xsd:maxLength value="255"/>
        </xsd:restriction>
      </xsd:simpleType>
    </xsd:element>
    <xsd:element name="TaxCatchAll" ma:index="18" nillable="true" ma:displayName="Taxonomy Catch All Column" ma:hidden="true" ma:list="{abcd5f54-d90d-481e-935b-6d5eee253eb5}" ma:internalName="TaxCatchAll" ma:showField="CatchAllData" ma:web="151e2135-251a-4a54-bb3f-b4383bb78d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242FDF1-2696-4A1B-BBB4-245EA059BB0B}">
  <ds:schemaRefs>
    <ds:schemaRef ds:uri="http://schemas.microsoft.com/office/2006/metadata/properties"/>
    <ds:schemaRef ds:uri="http://schemas.microsoft.com/office/infopath/2007/PartnerControls"/>
    <ds:schemaRef ds:uri="971fd287-4551-411b-a694-38c9be1b8a3f"/>
    <ds:schemaRef ds:uri="151e2135-251a-4a54-bb3f-b4383bb78d32"/>
  </ds:schemaRefs>
</ds:datastoreItem>
</file>

<file path=customXml/itemProps2.xml><?xml version="1.0" encoding="utf-8"?>
<ds:datastoreItem xmlns:ds="http://schemas.openxmlformats.org/officeDocument/2006/customXml" ds:itemID="{419D885C-C4A0-424F-A921-94E8D385D1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1fd287-4551-411b-a694-38c9be1b8a3f"/>
    <ds:schemaRef ds:uri="151e2135-251a-4a54-bb3f-b4383bb78d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1F8B14-C8A0-4C1D-AD4E-014B71361D7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1273</Words>
  <Characters>7261</Characters>
  <Application>Microsoft Office Word</Application>
  <DocSecurity>0</DocSecurity>
  <Lines>60</Lines>
  <Paragraphs>17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Uporabnik2</dc:creator>
  <cp:keywords/>
  <dc:description/>
  <cp:lastModifiedBy>Petra Konrad</cp:lastModifiedBy>
  <cp:revision>4</cp:revision>
  <cp:lastPrinted>2025-02-19T07:16:00Z</cp:lastPrinted>
  <dcterms:created xsi:type="dcterms:W3CDTF">2026-05-07T08:54:00Z</dcterms:created>
  <dcterms:modified xsi:type="dcterms:W3CDTF">2026-05-07T12:19:00Z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0x0101009F374D45774D744293459BD29AFDC427</vt:lpwstr>
  </property>
  <property fmtid="{D5CDD505-2E9C-101B-9397-08002B2CF9AE}" pid="3" name="MediaServiceImageTags">
    <vt:lpwstr/>
  </property>
  <property fmtid="{D5CDD505-2E9C-101B-9397-08002B2CF9AE}" pid="4" name="docLang">
    <vt:lpwstr>sl</vt:lpwstr>
  </property>
</Properties>
</file>