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362E0E6B" w:rsidR="005210F0" w:rsidRPr="00722FAC" w:rsidRDefault="00EF54A1" w:rsidP="00722FAC">
      <w:pPr>
        <w:pStyle w:val="Nazivenote"/>
      </w:pPr>
      <w:r>
        <w:t>Oddelek za družbene dejavnosti</w:t>
      </w:r>
      <w:r w:rsidR="00722FAC">
        <w:br/>
      </w:r>
      <w:r w:rsidR="002B08B0" w:rsidRPr="008802E3">
        <w:rPr>
          <w:b w:val="0"/>
          <w:bCs/>
        </w:rPr>
        <w:t>Trg Edvarda Kardelja 1, 5000 Nova Gorica</w:t>
      </w:r>
    </w:p>
    <w:p w14:paraId="61C6374B" w14:textId="77777777" w:rsidR="004102A7" w:rsidRDefault="004102A7" w:rsidP="004102A7">
      <w:pPr>
        <w:pStyle w:val="Naslov1"/>
        <w:spacing w:before="0" w:after="0" w:line="288" w:lineRule="auto"/>
        <w:jc w:val="center"/>
      </w:pPr>
    </w:p>
    <w:p w14:paraId="2C3CD33B" w14:textId="77777777" w:rsidR="004102A7" w:rsidRDefault="004102A7" w:rsidP="004102A7">
      <w:pPr>
        <w:pStyle w:val="Naslov1"/>
        <w:spacing w:before="0" w:after="0" w:line="288" w:lineRule="auto"/>
        <w:jc w:val="center"/>
      </w:pPr>
    </w:p>
    <w:p w14:paraId="74077262" w14:textId="0C441DED" w:rsidR="004102A7" w:rsidRPr="00A91959" w:rsidRDefault="004102A7" w:rsidP="004102A7">
      <w:pPr>
        <w:pStyle w:val="Naslov1"/>
        <w:spacing w:before="0" w:after="0" w:line="288" w:lineRule="auto"/>
        <w:jc w:val="center"/>
      </w:pPr>
      <w:r w:rsidRPr="00A91959">
        <w:t xml:space="preserve">LETNI PROGRAM </w:t>
      </w:r>
      <w:r>
        <w:t>TEHNIČNE KULTURE</w:t>
      </w:r>
    </w:p>
    <w:p w14:paraId="349EC362" w14:textId="3AE73FC6" w:rsidR="004102A7" w:rsidRPr="004102A7" w:rsidRDefault="004102A7" w:rsidP="004102A7">
      <w:pPr>
        <w:pStyle w:val="Naslov1"/>
        <w:spacing w:before="0" w:after="0" w:line="288" w:lineRule="auto"/>
        <w:jc w:val="center"/>
      </w:pPr>
      <w:r w:rsidRPr="00A91959">
        <w:t>v Mestni občini Nova Gorica za let</w:t>
      </w:r>
      <w:r>
        <w:t>o</w:t>
      </w:r>
      <w:r w:rsidRPr="00A91959">
        <w:t xml:space="preserve"> 20</w:t>
      </w:r>
      <w:r>
        <w:t>26</w:t>
      </w:r>
    </w:p>
    <w:p w14:paraId="49BA58DF" w14:textId="77777777" w:rsidR="004102A7" w:rsidRDefault="004102A7" w:rsidP="004102A7">
      <w:pPr>
        <w:autoSpaceDE w:val="0"/>
        <w:autoSpaceDN w:val="0"/>
        <w:adjustRightInd w:val="0"/>
        <w:spacing w:line="240" w:lineRule="atLeast"/>
        <w:jc w:val="both"/>
        <w:rPr>
          <w:rFonts w:ascii="Arial" w:hAnsi="Arial"/>
          <w:color w:val="000000"/>
          <w:sz w:val="22"/>
        </w:rPr>
      </w:pPr>
    </w:p>
    <w:p w14:paraId="0CF04DCA" w14:textId="77777777" w:rsidR="004102A7" w:rsidRPr="004102A7" w:rsidRDefault="004102A7" w:rsidP="004102A7">
      <w:pPr>
        <w:jc w:val="center"/>
        <w:rPr>
          <w:szCs w:val="20"/>
        </w:rPr>
      </w:pPr>
      <w:r w:rsidRPr="004102A7">
        <w:rPr>
          <w:szCs w:val="20"/>
        </w:rPr>
        <w:t xml:space="preserve">1. </w:t>
      </w:r>
    </w:p>
    <w:p w14:paraId="5E30C154" w14:textId="1FCA8186" w:rsidR="004102A7" w:rsidRPr="004102A7" w:rsidRDefault="004102A7" w:rsidP="00EE4660">
      <w:pPr>
        <w:jc w:val="both"/>
        <w:rPr>
          <w:szCs w:val="20"/>
        </w:rPr>
      </w:pPr>
      <w:r w:rsidRPr="004102A7">
        <w:rPr>
          <w:szCs w:val="20"/>
        </w:rPr>
        <w:t xml:space="preserve">Mestna občina Nova Gorica z letnim programom določa vrste dejavnosti, ki bodo v letu 2026 sofinancirane iz občinskega proračuna. </w:t>
      </w:r>
    </w:p>
    <w:p w14:paraId="0F7589C3" w14:textId="77777777" w:rsidR="004102A7" w:rsidRPr="004102A7" w:rsidRDefault="004102A7" w:rsidP="004102A7">
      <w:pPr>
        <w:jc w:val="center"/>
        <w:rPr>
          <w:szCs w:val="20"/>
        </w:rPr>
      </w:pPr>
      <w:r w:rsidRPr="004102A7">
        <w:rPr>
          <w:szCs w:val="20"/>
        </w:rPr>
        <w:t xml:space="preserve">2. </w:t>
      </w:r>
    </w:p>
    <w:p w14:paraId="532DDD92" w14:textId="5756BC8B" w:rsidR="004102A7" w:rsidRPr="004102A7" w:rsidRDefault="004102A7" w:rsidP="00EE4660">
      <w:pPr>
        <w:jc w:val="both"/>
        <w:rPr>
          <w:szCs w:val="20"/>
        </w:rPr>
      </w:pPr>
      <w:r w:rsidRPr="004102A7">
        <w:rPr>
          <w:szCs w:val="20"/>
        </w:rPr>
        <w:t>Mestna občina Nova Gorica z letnim programom tehnične kulture omogoča in soustvarja pogoje za razvoj področja tehnične kulture, ki je v interesu mestne občine in se sofinancira iz javnih sredstev.</w:t>
      </w:r>
    </w:p>
    <w:p w14:paraId="219A0CA6" w14:textId="77777777" w:rsidR="004102A7" w:rsidRPr="004102A7" w:rsidRDefault="004102A7" w:rsidP="00EE4660">
      <w:pPr>
        <w:spacing w:after="0"/>
        <w:jc w:val="both"/>
        <w:rPr>
          <w:szCs w:val="20"/>
        </w:rPr>
      </w:pPr>
      <w:r w:rsidRPr="004102A7">
        <w:rPr>
          <w:szCs w:val="20"/>
        </w:rPr>
        <w:t xml:space="preserve">Mestna občina iz proračunskih sredstev uresničuje interes mestne občine na področju tehnične kulture: </w:t>
      </w:r>
    </w:p>
    <w:p w14:paraId="2DE3F148" w14:textId="77777777" w:rsidR="004102A7" w:rsidRPr="00EE4660" w:rsidRDefault="004102A7" w:rsidP="00EE4660">
      <w:pPr>
        <w:pStyle w:val="Odstavekseznama"/>
        <w:numPr>
          <w:ilvl w:val="0"/>
          <w:numId w:val="11"/>
        </w:numPr>
        <w:spacing w:after="0"/>
      </w:pPr>
      <w:r w:rsidRPr="00EE4660">
        <w:t>z zagotavljanjem sredstev za sofinanciranje realizacije izvedbe letnega programa,</w:t>
      </w:r>
    </w:p>
    <w:p w14:paraId="118ABEB9" w14:textId="0353BB92" w:rsidR="004102A7" w:rsidRPr="00EE4660" w:rsidRDefault="004102A7" w:rsidP="00EE4660">
      <w:pPr>
        <w:pStyle w:val="Odstavekseznama"/>
        <w:numPr>
          <w:ilvl w:val="0"/>
          <w:numId w:val="11"/>
        </w:numPr>
        <w:spacing w:after="0"/>
      </w:pPr>
      <w:r w:rsidRPr="00EE4660">
        <w:t>s spodbujanjem in zagotavljanjem pogojev za opravljanje in razvoj dejavnosti.</w:t>
      </w:r>
    </w:p>
    <w:p w14:paraId="12C36E91" w14:textId="77777777" w:rsidR="004102A7" w:rsidRPr="004102A7" w:rsidRDefault="004102A7" w:rsidP="004102A7">
      <w:pPr>
        <w:jc w:val="center"/>
        <w:rPr>
          <w:szCs w:val="20"/>
        </w:rPr>
      </w:pPr>
      <w:r w:rsidRPr="004102A7">
        <w:rPr>
          <w:szCs w:val="20"/>
        </w:rPr>
        <w:t>3.</w:t>
      </w:r>
    </w:p>
    <w:p w14:paraId="27650B4B" w14:textId="1BDBDE99" w:rsidR="004102A7" w:rsidRPr="004102A7" w:rsidRDefault="004102A7" w:rsidP="00EE4660">
      <w:pPr>
        <w:jc w:val="both"/>
        <w:rPr>
          <w:bCs w:val="0"/>
          <w:szCs w:val="20"/>
        </w:rPr>
      </w:pPr>
      <w:r w:rsidRPr="004102A7">
        <w:rPr>
          <w:szCs w:val="20"/>
        </w:rPr>
        <w:t xml:space="preserve">Programi tehnične kulture se sofinancirajo na podlagi in v skladu z Odlokom o </w:t>
      </w:r>
      <w:r w:rsidRPr="004102A7">
        <w:rPr>
          <w:color w:val="000000"/>
          <w:szCs w:val="20"/>
        </w:rPr>
        <w:t xml:space="preserve">sofinanciranju programov na področju tehnične kulture v Mestni občini Nova Gorica </w:t>
      </w:r>
      <w:bookmarkStart w:id="0" w:name="_Hlk213228001"/>
      <w:r w:rsidRPr="004102A7">
        <w:rPr>
          <w:color w:val="000000"/>
          <w:szCs w:val="20"/>
        </w:rPr>
        <w:t>(</w:t>
      </w:r>
      <w:r w:rsidRPr="004102A7">
        <w:rPr>
          <w:rFonts w:cs="Times New Roman"/>
          <w:bCs w:val="0"/>
          <w:noProof w:val="0"/>
          <w:color w:val="000000"/>
          <w:szCs w:val="20"/>
        </w:rPr>
        <w:t>Uradni list RS, št. 108/12, 90/13, 19/15, 88/15, 56/17, 73/19, 157/20 in 113/23</w:t>
      </w:r>
      <w:bookmarkEnd w:id="0"/>
      <w:r w:rsidRPr="004102A7">
        <w:rPr>
          <w:rFonts w:cs="Times New Roman"/>
          <w:bCs w:val="0"/>
          <w:noProof w:val="0"/>
          <w:color w:val="000000"/>
          <w:szCs w:val="20"/>
        </w:rPr>
        <w:t xml:space="preserve">; </w:t>
      </w:r>
      <w:r w:rsidRPr="004102A7">
        <w:rPr>
          <w:color w:val="000000"/>
          <w:szCs w:val="20"/>
        </w:rPr>
        <w:t>v nadaljnjem besedilu: odlo</w:t>
      </w:r>
      <w:r w:rsidRPr="004102A7">
        <w:rPr>
          <w:szCs w:val="20"/>
        </w:rPr>
        <w:t>k).</w:t>
      </w:r>
    </w:p>
    <w:p w14:paraId="3DE0D304" w14:textId="6FB10B99" w:rsidR="004102A7" w:rsidRPr="00EE4660" w:rsidRDefault="004102A7" w:rsidP="00EE4660">
      <w:pPr>
        <w:jc w:val="both"/>
        <w:rPr>
          <w:szCs w:val="20"/>
        </w:rPr>
      </w:pPr>
      <w:r w:rsidRPr="004102A7">
        <w:rPr>
          <w:szCs w:val="20"/>
        </w:rPr>
        <w:t xml:space="preserve">Mestna občina Nova Gorica bo sofinancirala le upravičene stroške, ki jih določa odlok. </w:t>
      </w:r>
    </w:p>
    <w:p w14:paraId="750C18F1" w14:textId="77777777" w:rsidR="004102A7" w:rsidRPr="004102A7" w:rsidRDefault="004102A7" w:rsidP="004102A7">
      <w:pPr>
        <w:jc w:val="center"/>
        <w:rPr>
          <w:color w:val="000000"/>
          <w:szCs w:val="20"/>
        </w:rPr>
      </w:pPr>
      <w:r w:rsidRPr="004102A7">
        <w:rPr>
          <w:color w:val="000000"/>
          <w:szCs w:val="20"/>
        </w:rPr>
        <w:t xml:space="preserve">4. </w:t>
      </w:r>
    </w:p>
    <w:p w14:paraId="7FC01EBA" w14:textId="548F3898" w:rsidR="004102A7" w:rsidRPr="004102A7" w:rsidRDefault="004102A7" w:rsidP="00EE4660">
      <w:pPr>
        <w:jc w:val="both"/>
        <w:rPr>
          <w:color w:val="000000"/>
          <w:szCs w:val="20"/>
        </w:rPr>
      </w:pPr>
      <w:r w:rsidRPr="004102A7">
        <w:rPr>
          <w:color w:val="000000"/>
          <w:szCs w:val="20"/>
        </w:rPr>
        <w:t xml:space="preserve">Temeljni cilj programov tehnične kulture je slediti razvoju in prispevati k boljši seznanjenosti in tehnični izobraženosti in usposobljenosti čim širše populacije, </w:t>
      </w:r>
      <w:r w:rsidRPr="004102A7">
        <w:rPr>
          <w:color w:val="000000"/>
          <w:szCs w:val="20"/>
        </w:rPr>
        <w:lastRenderedPageBreak/>
        <w:t xml:space="preserve">predvsem pa otroke in mladino usmerjati in vzpodbujati k inovativnosti, ustvarjalnosti in raziskovanju ter odkrivanju in uporabi človeku in naravnemu okolju prijaznih sodobnih tehničnih dognanj. </w:t>
      </w:r>
    </w:p>
    <w:p w14:paraId="0D5DAE3C" w14:textId="7D10325D" w:rsidR="004102A7" w:rsidRPr="004102A7" w:rsidRDefault="004102A7" w:rsidP="00EE4660">
      <w:pPr>
        <w:keepNext/>
        <w:autoSpaceDE w:val="0"/>
        <w:autoSpaceDN w:val="0"/>
        <w:adjustRightInd w:val="0"/>
        <w:jc w:val="both"/>
        <w:outlineLvl w:val="2"/>
        <w:rPr>
          <w:color w:val="0000FF"/>
          <w:szCs w:val="20"/>
        </w:rPr>
      </w:pPr>
      <w:r w:rsidRPr="004102A7">
        <w:rPr>
          <w:color w:val="000000"/>
          <w:szCs w:val="20"/>
        </w:rPr>
        <w:t xml:space="preserve">Dejavnosti, ki jih pokriva področje tehnične kulture, se odvijajo predvsem v društvih. Programe za delovanje in razvoj </w:t>
      </w:r>
      <w:r w:rsidRPr="004102A7">
        <w:rPr>
          <w:szCs w:val="20"/>
        </w:rPr>
        <w:t>sprejemajo in izvajajo društva avtonomno v povezavi z Občinsko zvezo za tehnično kulturo Nova Gorica (v nadaljevanju: OZOTK) in Zvezo za tehnično kulturo Slovenije</w:t>
      </w:r>
      <w:r w:rsidRPr="004102A7">
        <w:rPr>
          <w:color w:val="0000FF"/>
          <w:szCs w:val="20"/>
        </w:rPr>
        <w:t>.</w:t>
      </w:r>
    </w:p>
    <w:p w14:paraId="2672C0E3" w14:textId="26210C4F" w:rsidR="004102A7" w:rsidRPr="004102A7" w:rsidRDefault="004102A7" w:rsidP="00EE4660">
      <w:pPr>
        <w:keepNext/>
        <w:autoSpaceDE w:val="0"/>
        <w:autoSpaceDN w:val="0"/>
        <w:adjustRightInd w:val="0"/>
        <w:jc w:val="both"/>
        <w:outlineLvl w:val="2"/>
        <w:rPr>
          <w:szCs w:val="20"/>
        </w:rPr>
      </w:pPr>
      <w:r w:rsidRPr="004102A7">
        <w:rPr>
          <w:szCs w:val="20"/>
        </w:rPr>
        <w:t xml:space="preserve">OZOTK je zveza društev s področja tehnične kulture na območju Mestne občine Nova Gorica. Njena naloga je predvsem skupno oblikovanje, usklajevanje in uresničevanje nadaljnjega razvoja tehnične kulture. </w:t>
      </w:r>
    </w:p>
    <w:p w14:paraId="1B5E7984" w14:textId="77777777" w:rsidR="004102A7" w:rsidRPr="004102A7" w:rsidRDefault="004102A7" w:rsidP="004102A7">
      <w:pPr>
        <w:jc w:val="center"/>
        <w:rPr>
          <w:szCs w:val="20"/>
        </w:rPr>
      </w:pPr>
      <w:r w:rsidRPr="004102A7">
        <w:rPr>
          <w:szCs w:val="20"/>
        </w:rPr>
        <w:t xml:space="preserve">5. </w:t>
      </w:r>
    </w:p>
    <w:p w14:paraId="12688783" w14:textId="77777777" w:rsidR="004102A7" w:rsidRPr="004102A7" w:rsidRDefault="004102A7" w:rsidP="00EE4660">
      <w:pPr>
        <w:spacing w:after="0"/>
        <w:jc w:val="both"/>
        <w:rPr>
          <w:szCs w:val="20"/>
        </w:rPr>
      </w:pPr>
      <w:r w:rsidRPr="004102A7">
        <w:rPr>
          <w:szCs w:val="20"/>
        </w:rPr>
        <w:t>Mestna občina Nova Gorica bo iz proračuna za leto 2026 sofinancirala programe, ki omogočajo zlasti:</w:t>
      </w:r>
    </w:p>
    <w:p w14:paraId="4F2355CD" w14:textId="77777777" w:rsidR="004102A7" w:rsidRPr="004102A7" w:rsidRDefault="004102A7" w:rsidP="00EE4660">
      <w:pPr>
        <w:pStyle w:val="Odstavekseznama"/>
        <w:numPr>
          <w:ilvl w:val="0"/>
          <w:numId w:val="11"/>
        </w:numPr>
        <w:spacing w:after="0"/>
      </w:pPr>
      <w:r w:rsidRPr="004102A7">
        <w:t>mladinsko raziskovalno delo, poletne šole in delavnice, mladinske raziskovalne tabore, tekmovanja iz znanj, srečanja mladih tehnikov,</w:t>
      </w:r>
    </w:p>
    <w:p w14:paraId="199F6F91" w14:textId="77777777" w:rsidR="004102A7" w:rsidRPr="004102A7" w:rsidRDefault="004102A7" w:rsidP="00EE4660">
      <w:pPr>
        <w:pStyle w:val="Odstavekseznama"/>
        <w:numPr>
          <w:ilvl w:val="0"/>
          <w:numId w:val="11"/>
        </w:numPr>
        <w:spacing w:after="0"/>
      </w:pPr>
      <w:r w:rsidRPr="004102A7">
        <w:t>tehnično vzgojo usmerjeno v dvig tehničnega znanja in kulture,</w:t>
      </w:r>
    </w:p>
    <w:p w14:paraId="1487DC34" w14:textId="77777777" w:rsidR="004102A7" w:rsidRPr="004102A7" w:rsidRDefault="004102A7" w:rsidP="00EE4660">
      <w:pPr>
        <w:pStyle w:val="Odstavekseznama"/>
        <w:numPr>
          <w:ilvl w:val="0"/>
          <w:numId w:val="11"/>
        </w:numPr>
        <w:spacing w:after="0"/>
      </w:pPr>
      <w:r w:rsidRPr="004102A7">
        <w:t>širjenje in popularizacijo znanstvenega in raziskovalnega dela med mladimi in dvig tehnične kulture med prebivalstvom nasploh,</w:t>
      </w:r>
    </w:p>
    <w:p w14:paraId="3B177827" w14:textId="77777777" w:rsidR="004102A7" w:rsidRPr="004102A7" w:rsidRDefault="004102A7" w:rsidP="00EE4660">
      <w:pPr>
        <w:pStyle w:val="Odstavekseznama"/>
        <w:numPr>
          <w:ilvl w:val="0"/>
          <w:numId w:val="11"/>
        </w:numPr>
        <w:spacing w:after="0"/>
      </w:pPr>
      <w:r w:rsidRPr="004102A7">
        <w:t>načrtno vzpodbujanje in skrb za ohranjanje tehnične dediščine,</w:t>
      </w:r>
    </w:p>
    <w:p w14:paraId="0E695207" w14:textId="77777777" w:rsidR="004102A7" w:rsidRPr="004102A7" w:rsidRDefault="004102A7" w:rsidP="00EE4660">
      <w:pPr>
        <w:pStyle w:val="Odstavekseznama"/>
        <w:numPr>
          <w:ilvl w:val="0"/>
          <w:numId w:val="11"/>
        </w:numPr>
        <w:spacing w:after="0"/>
      </w:pPr>
      <w:r w:rsidRPr="004102A7">
        <w:t xml:space="preserve">organizacijo in udeležbo na tekmovanjih iz področij tehnične kulture. </w:t>
      </w:r>
    </w:p>
    <w:p w14:paraId="797C928F" w14:textId="77777777" w:rsidR="004102A7" w:rsidRPr="004102A7" w:rsidRDefault="004102A7" w:rsidP="00EE4660">
      <w:pPr>
        <w:spacing w:after="0"/>
        <w:rPr>
          <w:szCs w:val="20"/>
        </w:rPr>
      </w:pPr>
    </w:p>
    <w:p w14:paraId="3B0F64BF" w14:textId="77777777" w:rsidR="004102A7" w:rsidRPr="004102A7" w:rsidRDefault="004102A7" w:rsidP="00EE4660">
      <w:pPr>
        <w:spacing w:after="0"/>
        <w:jc w:val="both"/>
        <w:rPr>
          <w:szCs w:val="20"/>
        </w:rPr>
      </w:pPr>
      <w:r w:rsidRPr="004102A7">
        <w:rPr>
          <w:szCs w:val="20"/>
        </w:rPr>
        <w:t>Mestna občina Nova Gorica bo sofinancirala dejavnosti izvajalcev, ki delujejo na naslednjih področjih:</w:t>
      </w:r>
    </w:p>
    <w:p w14:paraId="5898C356" w14:textId="77777777" w:rsidR="004102A7" w:rsidRPr="004102A7" w:rsidRDefault="004102A7" w:rsidP="00EE4660">
      <w:pPr>
        <w:pStyle w:val="Odstavekseznama"/>
        <w:numPr>
          <w:ilvl w:val="0"/>
          <w:numId w:val="11"/>
        </w:numPr>
        <w:spacing w:after="0"/>
      </w:pPr>
      <w:r w:rsidRPr="004102A7">
        <w:t>astronomija,</w:t>
      </w:r>
    </w:p>
    <w:p w14:paraId="778A8CCF" w14:textId="77777777" w:rsidR="004102A7" w:rsidRPr="004102A7" w:rsidRDefault="004102A7" w:rsidP="00EE4660">
      <w:pPr>
        <w:pStyle w:val="Odstavekseznama"/>
        <w:numPr>
          <w:ilvl w:val="0"/>
          <w:numId w:val="11"/>
        </w:numPr>
        <w:spacing w:after="0"/>
      </w:pPr>
      <w:r w:rsidRPr="004102A7">
        <w:t>avtomobilizem,</w:t>
      </w:r>
    </w:p>
    <w:p w14:paraId="1948E7D9" w14:textId="77777777" w:rsidR="004102A7" w:rsidRPr="004102A7" w:rsidRDefault="004102A7" w:rsidP="00EE4660">
      <w:pPr>
        <w:pStyle w:val="Odstavekseznama"/>
        <w:numPr>
          <w:ilvl w:val="0"/>
          <w:numId w:val="11"/>
        </w:numPr>
        <w:spacing w:after="0"/>
      </w:pPr>
      <w:r w:rsidRPr="004102A7">
        <w:t>jamarstvo,</w:t>
      </w:r>
    </w:p>
    <w:p w14:paraId="1CF3330C" w14:textId="77777777" w:rsidR="004102A7" w:rsidRPr="004102A7" w:rsidRDefault="004102A7" w:rsidP="00EE4660">
      <w:pPr>
        <w:pStyle w:val="Odstavekseznama"/>
        <w:numPr>
          <w:ilvl w:val="0"/>
          <w:numId w:val="11"/>
        </w:numPr>
        <w:spacing w:after="0"/>
      </w:pPr>
      <w:r w:rsidRPr="004102A7">
        <w:t>letalstvo,</w:t>
      </w:r>
    </w:p>
    <w:p w14:paraId="38FA0437" w14:textId="77777777" w:rsidR="004102A7" w:rsidRPr="004102A7" w:rsidRDefault="004102A7" w:rsidP="00EE4660">
      <w:pPr>
        <w:pStyle w:val="Odstavekseznama"/>
        <w:numPr>
          <w:ilvl w:val="0"/>
          <w:numId w:val="11"/>
        </w:numPr>
        <w:spacing w:after="0"/>
      </w:pPr>
      <w:r w:rsidRPr="004102A7">
        <w:t>modelarstvo,</w:t>
      </w:r>
    </w:p>
    <w:p w14:paraId="6A8075F0" w14:textId="77777777" w:rsidR="004102A7" w:rsidRPr="004102A7" w:rsidRDefault="004102A7" w:rsidP="00EE4660">
      <w:pPr>
        <w:pStyle w:val="Odstavekseznama"/>
        <w:numPr>
          <w:ilvl w:val="0"/>
          <w:numId w:val="11"/>
        </w:numPr>
        <w:spacing w:after="0"/>
      </w:pPr>
      <w:r w:rsidRPr="004102A7">
        <w:t>motociklizem,</w:t>
      </w:r>
    </w:p>
    <w:p w14:paraId="5D396EB9" w14:textId="77777777" w:rsidR="004102A7" w:rsidRPr="004102A7" w:rsidRDefault="004102A7" w:rsidP="00EE4660">
      <w:pPr>
        <w:pStyle w:val="Odstavekseznama"/>
        <w:numPr>
          <w:ilvl w:val="0"/>
          <w:numId w:val="11"/>
        </w:numPr>
        <w:spacing w:after="0"/>
      </w:pPr>
      <w:r w:rsidRPr="004102A7">
        <w:t>padalstvo,</w:t>
      </w:r>
    </w:p>
    <w:p w14:paraId="7F5996AE" w14:textId="77777777" w:rsidR="004102A7" w:rsidRPr="004102A7" w:rsidRDefault="004102A7" w:rsidP="00EE4660">
      <w:pPr>
        <w:pStyle w:val="Odstavekseznama"/>
        <w:numPr>
          <w:ilvl w:val="0"/>
          <w:numId w:val="11"/>
        </w:numPr>
        <w:spacing w:after="0"/>
      </w:pPr>
      <w:r w:rsidRPr="004102A7">
        <w:t>potapljaštvo,</w:t>
      </w:r>
    </w:p>
    <w:p w14:paraId="2AF68B7F" w14:textId="77777777" w:rsidR="004102A7" w:rsidRPr="004102A7" w:rsidRDefault="004102A7" w:rsidP="00EE4660">
      <w:pPr>
        <w:pStyle w:val="Odstavekseznama"/>
        <w:numPr>
          <w:ilvl w:val="0"/>
          <w:numId w:val="11"/>
        </w:numPr>
        <w:spacing w:after="0"/>
      </w:pPr>
      <w:r w:rsidRPr="004102A7">
        <w:t>radioamaterstvo,</w:t>
      </w:r>
    </w:p>
    <w:p w14:paraId="4F524B65" w14:textId="77777777" w:rsidR="004102A7" w:rsidRPr="004102A7" w:rsidRDefault="004102A7" w:rsidP="00EE4660">
      <w:pPr>
        <w:pStyle w:val="Odstavekseznama"/>
        <w:numPr>
          <w:ilvl w:val="0"/>
          <w:numId w:val="11"/>
        </w:numPr>
        <w:spacing w:after="0"/>
      </w:pPr>
      <w:r w:rsidRPr="004102A7">
        <w:t>rezbarstvo,</w:t>
      </w:r>
    </w:p>
    <w:p w14:paraId="23234DBD" w14:textId="77777777" w:rsidR="004102A7" w:rsidRPr="004102A7" w:rsidRDefault="004102A7" w:rsidP="00EE4660">
      <w:pPr>
        <w:pStyle w:val="Odstavekseznama"/>
        <w:numPr>
          <w:ilvl w:val="0"/>
          <w:numId w:val="11"/>
        </w:numPr>
        <w:spacing w:after="0"/>
      </w:pPr>
      <w:r w:rsidRPr="004102A7">
        <w:t>kovaštvo,</w:t>
      </w:r>
    </w:p>
    <w:p w14:paraId="1C6A22A8" w14:textId="77777777" w:rsidR="004102A7" w:rsidRPr="004102A7" w:rsidRDefault="004102A7" w:rsidP="00EE4660">
      <w:pPr>
        <w:pStyle w:val="Odstavekseznama"/>
        <w:numPr>
          <w:ilvl w:val="0"/>
          <w:numId w:val="11"/>
        </w:numPr>
        <w:spacing w:after="0"/>
      </w:pPr>
      <w:r w:rsidRPr="004102A7">
        <w:t>škafarstvo,</w:t>
      </w:r>
    </w:p>
    <w:p w14:paraId="2EC03616" w14:textId="77777777" w:rsidR="004102A7" w:rsidRPr="004102A7" w:rsidRDefault="004102A7" w:rsidP="00EE4660">
      <w:pPr>
        <w:pStyle w:val="Odstavekseznama"/>
        <w:numPr>
          <w:ilvl w:val="0"/>
          <w:numId w:val="11"/>
        </w:numPr>
        <w:spacing w:after="0"/>
      </w:pPr>
      <w:proofErr w:type="spellStart"/>
      <w:r w:rsidRPr="004102A7">
        <w:t>lotanje</w:t>
      </w:r>
      <w:proofErr w:type="spellEnd"/>
      <w:r w:rsidRPr="004102A7">
        <w:t>,</w:t>
      </w:r>
    </w:p>
    <w:p w14:paraId="1EE7C688" w14:textId="77777777" w:rsidR="004102A7" w:rsidRPr="004102A7" w:rsidRDefault="004102A7" w:rsidP="00EE4660">
      <w:pPr>
        <w:pStyle w:val="Odstavekseznama"/>
        <w:numPr>
          <w:ilvl w:val="0"/>
          <w:numId w:val="11"/>
        </w:numPr>
        <w:spacing w:after="0"/>
      </w:pPr>
      <w:r w:rsidRPr="004102A7">
        <w:t>robotika,</w:t>
      </w:r>
    </w:p>
    <w:p w14:paraId="3CB80F65" w14:textId="77777777" w:rsidR="004102A7" w:rsidRPr="004102A7" w:rsidRDefault="004102A7" w:rsidP="00EE4660">
      <w:pPr>
        <w:pStyle w:val="Odstavekseznama"/>
        <w:numPr>
          <w:ilvl w:val="0"/>
          <w:numId w:val="11"/>
        </w:numPr>
        <w:spacing w:after="0"/>
      </w:pPr>
      <w:r w:rsidRPr="004102A7">
        <w:t>elektronika.</w:t>
      </w:r>
    </w:p>
    <w:p w14:paraId="41FA25A1" w14:textId="77777777" w:rsidR="004102A7" w:rsidRPr="004102A7" w:rsidRDefault="004102A7" w:rsidP="004102A7">
      <w:pPr>
        <w:pStyle w:val="Telobesedila"/>
        <w:ind w:left="360"/>
        <w:rPr>
          <w:rFonts w:ascii="Verdana" w:hAnsi="Verdana" w:cs="Arial"/>
          <w:sz w:val="20"/>
        </w:rPr>
      </w:pPr>
    </w:p>
    <w:p w14:paraId="7C33742C" w14:textId="77777777" w:rsidR="004102A7" w:rsidRPr="004102A7" w:rsidRDefault="004102A7" w:rsidP="004102A7">
      <w:pPr>
        <w:pStyle w:val="Telobesedila"/>
        <w:ind w:left="360"/>
        <w:rPr>
          <w:rFonts w:ascii="Verdana" w:hAnsi="Verdana" w:cs="Arial"/>
          <w:sz w:val="20"/>
        </w:rPr>
      </w:pPr>
    </w:p>
    <w:p w14:paraId="67142BE0" w14:textId="2CA71813" w:rsidR="004102A7" w:rsidRPr="00EE4660" w:rsidRDefault="004102A7" w:rsidP="00EE4660">
      <w:pPr>
        <w:rPr>
          <w:b/>
          <w:szCs w:val="20"/>
        </w:rPr>
      </w:pPr>
      <w:r w:rsidRPr="004102A7">
        <w:rPr>
          <w:b/>
          <w:szCs w:val="20"/>
        </w:rPr>
        <w:t>MLADINSKO RAZISKOVALNO DELO</w:t>
      </w:r>
    </w:p>
    <w:p w14:paraId="48263D9B" w14:textId="2367BA89" w:rsidR="004102A7" w:rsidRPr="004102A7" w:rsidRDefault="004102A7" w:rsidP="00EE4660">
      <w:pPr>
        <w:jc w:val="both"/>
        <w:rPr>
          <w:szCs w:val="20"/>
        </w:rPr>
      </w:pPr>
      <w:r w:rsidRPr="004102A7">
        <w:rPr>
          <w:szCs w:val="20"/>
        </w:rPr>
        <w:t>Otroško in mladinsko delo ima znotraj OZOTK eno osrednjih vlog in zelo velik pomen. Ne le zaradi obsega in števila mladih raziskovalcev, njihovih mentorjev in sodelujočih šol, ampak tudi zaradi interdisciplinarnosti in tesne prepletenosti z drugimi področji, ki jih pokriva OZOTK. Izkušnje, ustvarjalnost in kreativnost, ki jih</w:t>
      </w:r>
      <w:r w:rsidRPr="004102A7">
        <w:rPr>
          <w:color w:val="C00000"/>
          <w:szCs w:val="20"/>
        </w:rPr>
        <w:t xml:space="preserve"> </w:t>
      </w:r>
      <w:r w:rsidRPr="004102A7">
        <w:rPr>
          <w:szCs w:val="20"/>
        </w:rPr>
        <w:t>mladi pridobijo</w:t>
      </w:r>
      <w:r w:rsidRPr="004102A7">
        <w:rPr>
          <w:color w:val="C00000"/>
          <w:szCs w:val="20"/>
        </w:rPr>
        <w:t xml:space="preserve"> </w:t>
      </w:r>
      <w:r w:rsidRPr="004102A7">
        <w:rPr>
          <w:szCs w:val="20"/>
        </w:rPr>
        <w:t>pri raziskovalnem delu so</w:t>
      </w:r>
      <w:r w:rsidRPr="004102A7">
        <w:rPr>
          <w:color w:val="C00000"/>
          <w:szCs w:val="20"/>
        </w:rPr>
        <w:t xml:space="preserve"> </w:t>
      </w:r>
      <w:r w:rsidRPr="004102A7">
        <w:rPr>
          <w:szCs w:val="20"/>
        </w:rPr>
        <w:t>tesno povezani s cilji mladinskih raziskovalnih taborov, poletnih šol in delavnic. Mladinsko raziskovalno delo ni le dopolnitev tehničnim dejavnostim, kot sta modelarstvo in konstruktorstvo, temveč je z dobro zastopanimi nalogami na t.i. tehničnih področjih tudi odlična možnost raziskovalne nadgradnje pridobljenih ročnih spretnosti in drugih tehničnih veščin.</w:t>
      </w:r>
    </w:p>
    <w:p w14:paraId="3825F61B" w14:textId="799B23B6" w:rsidR="004102A7" w:rsidRPr="004102A7" w:rsidRDefault="004102A7" w:rsidP="00EE4660">
      <w:pPr>
        <w:jc w:val="both"/>
        <w:rPr>
          <w:szCs w:val="20"/>
        </w:rPr>
      </w:pPr>
      <w:r w:rsidRPr="004102A7">
        <w:rPr>
          <w:szCs w:val="20"/>
        </w:rPr>
        <w:t>Je oblika obšolskih in izvenšolskih dejavnosti, s katerimi mladi nadgrajujejo in dopolnjujejo v šoli pridobljeno znanje ter se interesno usmerjajo v različna področja znanosti. S tem si mladi utrdijo zaupanje vase, v svoje delo in razmišljanje, ocenijo svoja predvidevanja in spoznanja, naučijo se jasno in javno izražati svoja mnenja.</w:t>
      </w:r>
    </w:p>
    <w:p w14:paraId="1549304B" w14:textId="4E4B8215" w:rsidR="004102A7" w:rsidRPr="004102A7" w:rsidRDefault="004102A7" w:rsidP="00EE4660">
      <w:pPr>
        <w:rPr>
          <w:b/>
          <w:szCs w:val="20"/>
        </w:rPr>
      </w:pPr>
      <w:r w:rsidRPr="004102A7">
        <w:rPr>
          <w:b/>
          <w:szCs w:val="20"/>
        </w:rPr>
        <w:t>MLADINSKI RAZISKOVALNI TABORI, POLETNE ŠOLE IN DELAVNICE</w:t>
      </w:r>
    </w:p>
    <w:p w14:paraId="13160034" w14:textId="68A08C31" w:rsidR="004102A7" w:rsidRPr="00EE4660" w:rsidRDefault="004102A7" w:rsidP="00EE4660">
      <w:pPr>
        <w:jc w:val="both"/>
        <w:rPr>
          <w:szCs w:val="20"/>
        </w:rPr>
      </w:pPr>
      <w:r w:rsidRPr="004102A7">
        <w:rPr>
          <w:szCs w:val="20"/>
        </w:rPr>
        <w:t>V času poletnih, jesenskih in zimskih počitnic klubi in društva organizirajo mladinske raziskovalne tabore, poletne šole in delavnice. Aktivnosti so namenjene tistim mladim, ki hočejo vedeti več, kot jim nudi pridobljeno šolsko znanje, so med boljšimi na šolskih tekmovanjih in so se že dokazali tudi z raziskovalnim delom ter tudi v počitniškem času hočejo</w:t>
      </w:r>
      <w:r w:rsidRPr="004102A7">
        <w:rPr>
          <w:color w:val="C00000"/>
          <w:szCs w:val="20"/>
        </w:rPr>
        <w:t xml:space="preserve"> </w:t>
      </w:r>
      <w:r w:rsidRPr="004102A7">
        <w:rPr>
          <w:szCs w:val="20"/>
        </w:rPr>
        <w:t xml:space="preserve">ustvarjati in raziskovati v pristnem okolju. </w:t>
      </w:r>
    </w:p>
    <w:p w14:paraId="39A00A21" w14:textId="480ADA25" w:rsidR="004102A7" w:rsidRPr="00EE4660" w:rsidRDefault="004102A7" w:rsidP="00EE4660">
      <w:pPr>
        <w:rPr>
          <w:b/>
          <w:szCs w:val="20"/>
        </w:rPr>
      </w:pPr>
      <w:r w:rsidRPr="004102A7">
        <w:rPr>
          <w:b/>
          <w:szCs w:val="20"/>
        </w:rPr>
        <w:t>TEKMOVANJA IZ ZNANJA</w:t>
      </w:r>
    </w:p>
    <w:p w14:paraId="6D039B66" w14:textId="46C5D84D" w:rsidR="004102A7" w:rsidRPr="004102A7" w:rsidRDefault="004102A7" w:rsidP="00EE4660">
      <w:pPr>
        <w:jc w:val="both"/>
        <w:rPr>
          <w:szCs w:val="20"/>
        </w:rPr>
      </w:pPr>
      <w:r w:rsidRPr="004102A7">
        <w:rPr>
          <w:szCs w:val="20"/>
        </w:rPr>
        <w:t>Med dejavnosti, s katerimi uresničuje  področje tehnične kulture svoje poslanstvo in cilje, sodijo tudi številna tekmovanja iz znanja učencev, dijakov in študentov. To so predvsem tekmovanja iz logike, računalništva, kemije, biologije in tehnično usmerjena srečanja in tekmovanja. Tekmovanja potekajo na šolski, regijski in državni ravni, katerih se vsako leto udeleži veliko mladih. Najboljši se udeležijo tudi evropskih in svetovnih tekmovanj, kjer praviloma dosegajo dobre rezultate.</w:t>
      </w:r>
    </w:p>
    <w:p w14:paraId="3E6D7D49" w14:textId="77777777" w:rsidR="004102A7" w:rsidRPr="004102A7" w:rsidRDefault="004102A7" w:rsidP="00EE4660">
      <w:pPr>
        <w:spacing w:after="0"/>
        <w:rPr>
          <w:szCs w:val="20"/>
        </w:rPr>
      </w:pPr>
      <w:r w:rsidRPr="004102A7">
        <w:rPr>
          <w:szCs w:val="20"/>
        </w:rPr>
        <w:t>S tekmovanji iz znanj želimo predvsem:</w:t>
      </w:r>
    </w:p>
    <w:p w14:paraId="096C1C49" w14:textId="77777777" w:rsidR="004102A7" w:rsidRPr="00EE4660" w:rsidRDefault="004102A7" w:rsidP="00EE4660">
      <w:pPr>
        <w:pStyle w:val="Odstavekseznama"/>
        <w:numPr>
          <w:ilvl w:val="0"/>
          <w:numId w:val="11"/>
        </w:numPr>
        <w:spacing w:after="0"/>
      </w:pPr>
      <w:r w:rsidRPr="00EE4660">
        <w:t>vzpodbujati množični interes za različna tehnična področja med mladino,</w:t>
      </w:r>
    </w:p>
    <w:p w14:paraId="1385C9EE" w14:textId="77777777" w:rsidR="004102A7" w:rsidRPr="00EE4660" w:rsidRDefault="004102A7" w:rsidP="00EE4660">
      <w:pPr>
        <w:pStyle w:val="Odstavekseznama"/>
        <w:numPr>
          <w:ilvl w:val="0"/>
          <w:numId w:val="11"/>
        </w:numPr>
        <w:spacing w:after="0"/>
      </w:pPr>
      <w:r w:rsidRPr="00EE4660">
        <w:lastRenderedPageBreak/>
        <w:t>vzpodbujati mladino k inovativnemu, ustvarjalnemu, kritičnemu ter logičnemu razmišljanju,</w:t>
      </w:r>
    </w:p>
    <w:p w14:paraId="0EA065CA" w14:textId="77777777" w:rsidR="004102A7" w:rsidRPr="00EE4660" w:rsidRDefault="004102A7" w:rsidP="00EE4660">
      <w:pPr>
        <w:pStyle w:val="Odstavekseznama"/>
        <w:numPr>
          <w:ilvl w:val="0"/>
          <w:numId w:val="11"/>
        </w:numPr>
        <w:spacing w:after="0"/>
      </w:pPr>
      <w:r w:rsidRPr="00EE4660">
        <w:t>odkrivati posebej nadarjene mlade in vzpodbujati nadaljnje razvijanje njihovih sposobnosti.</w:t>
      </w:r>
    </w:p>
    <w:p w14:paraId="3A6D9DF2" w14:textId="77777777" w:rsidR="004102A7" w:rsidRPr="004102A7" w:rsidRDefault="004102A7" w:rsidP="004102A7">
      <w:pPr>
        <w:rPr>
          <w:b/>
          <w:szCs w:val="20"/>
        </w:rPr>
      </w:pPr>
    </w:p>
    <w:p w14:paraId="35BE91FE" w14:textId="6A4EBF35" w:rsidR="004102A7" w:rsidRPr="004102A7" w:rsidRDefault="004102A7" w:rsidP="004102A7">
      <w:pPr>
        <w:autoSpaceDE w:val="0"/>
        <w:autoSpaceDN w:val="0"/>
        <w:adjustRightInd w:val="0"/>
        <w:rPr>
          <w:b/>
          <w:color w:val="000000"/>
          <w:szCs w:val="20"/>
        </w:rPr>
      </w:pPr>
      <w:r w:rsidRPr="004102A7">
        <w:rPr>
          <w:b/>
          <w:color w:val="000000"/>
          <w:szCs w:val="20"/>
        </w:rPr>
        <w:t>ORGANIZACIJA IN UDELEŽBA NA TEKMOVANJIH</w:t>
      </w:r>
    </w:p>
    <w:p w14:paraId="2BA56D65" w14:textId="431AD36A" w:rsidR="00EE4660" w:rsidRPr="004102A7" w:rsidRDefault="004102A7" w:rsidP="00EE4660">
      <w:pPr>
        <w:autoSpaceDE w:val="0"/>
        <w:autoSpaceDN w:val="0"/>
        <w:adjustRightInd w:val="0"/>
        <w:jc w:val="both"/>
        <w:rPr>
          <w:color w:val="000000"/>
          <w:szCs w:val="20"/>
        </w:rPr>
      </w:pPr>
      <w:r w:rsidRPr="004102A7">
        <w:rPr>
          <w:color w:val="000000"/>
          <w:szCs w:val="20"/>
        </w:rPr>
        <w:t xml:space="preserve">Društva v povezavi z OZOTK - om imajo že dolgoletno tradicijo pri organiziranju različnih prireditev in tekmovanj. Pomenijo promocijo tehnične kulture in posameznih področij in so spodbuda za razvoj in napredek. Društva pridobijo sredstva za sofinanciranje organizacije prireditev oz. tekmovanj na podlagi javnega razpisa v sklopu prijavljenega letnega programa. </w:t>
      </w:r>
    </w:p>
    <w:p w14:paraId="384DC1AA" w14:textId="6595830B" w:rsidR="004102A7" w:rsidRDefault="004102A7" w:rsidP="00EE4660">
      <w:pPr>
        <w:pStyle w:val="Naslov4"/>
        <w:spacing w:before="0" w:after="0"/>
        <w:rPr>
          <w:rFonts w:cs="Arial"/>
          <w:szCs w:val="20"/>
        </w:rPr>
      </w:pPr>
      <w:r w:rsidRPr="004102A7">
        <w:rPr>
          <w:rFonts w:cs="Arial"/>
          <w:szCs w:val="20"/>
        </w:rPr>
        <w:t>OBČINSKA</w:t>
      </w:r>
      <w:r w:rsidRPr="004102A7">
        <w:rPr>
          <w:rFonts w:cs="Arial"/>
          <w:color w:val="C00000"/>
          <w:szCs w:val="20"/>
        </w:rPr>
        <w:t xml:space="preserve"> </w:t>
      </w:r>
      <w:r w:rsidRPr="004102A7">
        <w:rPr>
          <w:rFonts w:cs="Arial"/>
          <w:szCs w:val="20"/>
        </w:rPr>
        <w:t>ZVEZA ZA TEHNIČNO KULTURO NOVA GORICA</w:t>
      </w:r>
    </w:p>
    <w:p w14:paraId="77C4BD25" w14:textId="77777777" w:rsidR="00EE4660" w:rsidRPr="00EE4660" w:rsidRDefault="00EE4660" w:rsidP="00EE4660">
      <w:pPr>
        <w:spacing w:after="0"/>
      </w:pPr>
    </w:p>
    <w:p w14:paraId="079D99AF" w14:textId="77777777" w:rsidR="004102A7" w:rsidRPr="004102A7" w:rsidRDefault="004102A7" w:rsidP="00EE4660">
      <w:pPr>
        <w:autoSpaceDE w:val="0"/>
        <w:autoSpaceDN w:val="0"/>
        <w:adjustRightInd w:val="0"/>
        <w:spacing w:after="0"/>
        <w:jc w:val="both"/>
        <w:rPr>
          <w:color w:val="000000"/>
          <w:szCs w:val="20"/>
        </w:rPr>
      </w:pPr>
      <w:r w:rsidRPr="004102A7">
        <w:rPr>
          <w:color w:val="000000"/>
          <w:szCs w:val="20"/>
        </w:rPr>
        <w:t>Temeljna naloga OZOTK je razvijanje in stalno dopolnjevanje dejavnosti na najširšem področju tehnične kulture, v skladu z interesi in potrebami občanov v društvih ter v skladu z vlogo teh dejavnosti v družbenem in gospodarskem razvoju območja, na katerem OZOTK deluje. OZOTK s svojimi organi izvaja in usklajuje naštete dejavnosti tako, da:</w:t>
      </w:r>
    </w:p>
    <w:p w14:paraId="441D7DEE" w14:textId="77777777" w:rsidR="004102A7" w:rsidRPr="00EE4660" w:rsidRDefault="004102A7" w:rsidP="00EE4660">
      <w:pPr>
        <w:pStyle w:val="Odstavekseznama"/>
        <w:numPr>
          <w:ilvl w:val="0"/>
          <w:numId w:val="11"/>
        </w:numPr>
        <w:spacing w:after="0"/>
      </w:pPr>
      <w:r w:rsidRPr="00EE4660">
        <w:t>spremlja, proučuje in izpopolnjuje vsebino, delovne oblike in metode svojega dela ter v sodelovanju z drugimi družbenimi dejavniki skrbi za promocijo in množičen razvoj in širjenje tehnične kulture pri vseh starostnih stopnjah prebivalstva in v svojem okolju,</w:t>
      </w:r>
    </w:p>
    <w:p w14:paraId="3A74E582" w14:textId="77777777" w:rsidR="004102A7" w:rsidRPr="00EE4660" w:rsidRDefault="004102A7" w:rsidP="00EE4660">
      <w:pPr>
        <w:pStyle w:val="Odstavekseznama"/>
        <w:numPr>
          <w:ilvl w:val="0"/>
          <w:numId w:val="11"/>
        </w:numPr>
        <w:spacing w:after="0"/>
      </w:pPr>
      <w:r w:rsidRPr="00EE4660">
        <w:t>s posebno pozornostjo skrbi za razvijanje tehničnih in proizvodnih dejavnosti med mladino vse od predšolske starostne stopnje dalje ter si v sodelovanju z izobraževalnimi in drugimi vzgojnimi dejavniki prizadeva, zlasti z razvijanjem oblik raznovrstnega izven šolskega vključevanja mladih, za ustvarjanje možnosti za njihovo množično udejstvovanje v dejavnostih tehnične kulture,</w:t>
      </w:r>
    </w:p>
    <w:p w14:paraId="31958218" w14:textId="77777777" w:rsidR="004102A7" w:rsidRPr="00EE4660" w:rsidRDefault="004102A7" w:rsidP="00EE4660">
      <w:pPr>
        <w:pStyle w:val="Odstavekseznama"/>
        <w:numPr>
          <w:ilvl w:val="0"/>
          <w:numId w:val="11"/>
        </w:numPr>
        <w:spacing w:after="0"/>
      </w:pPr>
      <w:r w:rsidRPr="00EE4660">
        <w:t>vzpodbuja inovativnost, konstruktorstvo, tehniško ustvarjalnost in raziskovalno dejavnost,</w:t>
      </w:r>
    </w:p>
    <w:p w14:paraId="4FACB2B4" w14:textId="77777777" w:rsidR="004102A7" w:rsidRPr="00EE4660" w:rsidRDefault="004102A7" w:rsidP="00EE4660">
      <w:pPr>
        <w:pStyle w:val="Odstavekseznama"/>
        <w:numPr>
          <w:ilvl w:val="0"/>
          <w:numId w:val="11"/>
        </w:numPr>
        <w:spacing w:after="0"/>
      </w:pPr>
      <w:r w:rsidRPr="00EE4660">
        <w:t>pospešuje ljubiteljske dejavnosti na različnih področjih tehnike,</w:t>
      </w:r>
    </w:p>
    <w:p w14:paraId="2F507105" w14:textId="77777777" w:rsidR="004102A7" w:rsidRPr="00EE4660" w:rsidRDefault="004102A7" w:rsidP="00EE4660">
      <w:pPr>
        <w:pStyle w:val="Odstavekseznama"/>
        <w:numPr>
          <w:ilvl w:val="0"/>
          <w:numId w:val="11"/>
        </w:numPr>
        <w:spacing w:after="0"/>
      </w:pPr>
      <w:r w:rsidRPr="00EE4660">
        <w:t>prispeva k razvijanju tehničnih športov in rekreativnih dejavnosti,</w:t>
      </w:r>
    </w:p>
    <w:p w14:paraId="3C0C8730" w14:textId="77777777" w:rsidR="004102A7" w:rsidRPr="00EE4660" w:rsidRDefault="004102A7" w:rsidP="00EE4660">
      <w:pPr>
        <w:pStyle w:val="Odstavekseznama"/>
        <w:numPr>
          <w:ilvl w:val="0"/>
          <w:numId w:val="11"/>
        </w:numPr>
        <w:spacing w:after="0"/>
      </w:pPr>
      <w:r w:rsidRPr="00EE4660">
        <w:t>sodeluje v skupnih prizadevanjih, da s tehnično vzgojo prebivalstva in uporabo sodobnih znanstvenih in tehničnih dosežkov prispeva k varovanju človekovega okolja,</w:t>
      </w:r>
    </w:p>
    <w:p w14:paraId="47AB0305" w14:textId="77777777" w:rsidR="004102A7" w:rsidRPr="00EE4660" w:rsidRDefault="004102A7" w:rsidP="00EE4660">
      <w:pPr>
        <w:pStyle w:val="Odstavekseznama"/>
        <w:numPr>
          <w:ilvl w:val="0"/>
          <w:numId w:val="11"/>
        </w:numPr>
        <w:spacing w:after="0"/>
      </w:pPr>
      <w:r w:rsidRPr="00EE4660">
        <w:t>opravlja koordinacijsko vlogo med člani in zagotavlja administrativno pomoč.</w:t>
      </w:r>
    </w:p>
    <w:p w14:paraId="069FB4B5" w14:textId="77777777" w:rsidR="004102A7" w:rsidRPr="004102A7" w:rsidRDefault="004102A7" w:rsidP="004102A7">
      <w:pPr>
        <w:pStyle w:val="Telobesedila"/>
        <w:ind w:left="360"/>
        <w:rPr>
          <w:rFonts w:ascii="Verdana" w:hAnsi="Verdana" w:cs="Arial"/>
          <w:sz w:val="20"/>
        </w:rPr>
      </w:pPr>
    </w:p>
    <w:p w14:paraId="46D49EE0" w14:textId="08894C95" w:rsidR="004102A7" w:rsidRPr="00EE4660" w:rsidRDefault="004102A7" w:rsidP="00EE4660">
      <w:pPr>
        <w:autoSpaceDE w:val="0"/>
        <w:autoSpaceDN w:val="0"/>
        <w:adjustRightInd w:val="0"/>
        <w:spacing w:line="240" w:lineRule="atLeast"/>
        <w:jc w:val="both"/>
        <w:rPr>
          <w:szCs w:val="20"/>
        </w:rPr>
      </w:pPr>
      <w:r w:rsidRPr="004102A7">
        <w:rPr>
          <w:szCs w:val="20"/>
        </w:rPr>
        <w:t xml:space="preserve">OZOTK je zveza društev in skladno z veljavno zakonodajo izenačena z ostalimi klubi in društvi in lahko kandidira za pridobitev sredstev Javnega razpisa za sofinanciranje programov na področju tehnične kulture v Mestni občini Nova Gorica v letu 2026 s programom, ki izpolnjuje pogoje, določene v Odloku o sofinanciranju programov na področju tehnične kulture v Mestni občini Nova Gorica. </w:t>
      </w:r>
    </w:p>
    <w:p w14:paraId="65DFD9D4" w14:textId="77777777" w:rsidR="004102A7" w:rsidRPr="004102A7" w:rsidRDefault="004102A7" w:rsidP="004102A7">
      <w:pPr>
        <w:jc w:val="both"/>
        <w:rPr>
          <w:szCs w:val="20"/>
        </w:rPr>
      </w:pPr>
      <w:r w:rsidRPr="004102A7">
        <w:rPr>
          <w:szCs w:val="20"/>
        </w:rPr>
        <w:t>V proračunu Mestne občine Nova Gorica so za proračunsko leto 2026 predvidena  sredstva za:</w:t>
      </w:r>
    </w:p>
    <w:tbl>
      <w:tblPr>
        <w:tblW w:w="852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3133"/>
      </w:tblGrid>
      <w:tr w:rsidR="004102A7" w:rsidRPr="004102A7" w14:paraId="2E9C50FE" w14:textId="77777777" w:rsidTr="00EE4660">
        <w:trPr>
          <w:trHeight w:val="897"/>
        </w:trPr>
        <w:tc>
          <w:tcPr>
            <w:tcW w:w="5391" w:type="dxa"/>
          </w:tcPr>
          <w:p w14:paraId="57B48DC7" w14:textId="77777777" w:rsidR="004102A7" w:rsidRPr="004102A7" w:rsidRDefault="004102A7" w:rsidP="002F2F1A">
            <w:pPr>
              <w:autoSpaceDE w:val="0"/>
              <w:autoSpaceDN w:val="0"/>
              <w:adjustRightInd w:val="0"/>
              <w:rPr>
                <w:b/>
                <w:color w:val="000000"/>
                <w:szCs w:val="20"/>
              </w:rPr>
            </w:pPr>
            <w:r w:rsidRPr="004102A7">
              <w:rPr>
                <w:b/>
                <w:color w:val="000000"/>
                <w:szCs w:val="20"/>
              </w:rPr>
              <w:lastRenderedPageBreak/>
              <w:t xml:space="preserve">SOFINANCIRANJE PROGRAMOV TEHNIČNE KULTURE – JAVNI RAZPIS 2026 </w:t>
            </w:r>
          </w:p>
        </w:tc>
        <w:tc>
          <w:tcPr>
            <w:tcW w:w="3133" w:type="dxa"/>
          </w:tcPr>
          <w:p w14:paraId="44AFFD7C" w14:textId="77777777" w:rsidR="004102A7" w:rsidRPr="004102A7" w:rsidRDefault="004102A7" w:rsidP="002F2F1A">
            <w:pPr>
              <w:autoSpaceDE w:val="0"/>
              <w:autoSpaceDN w:val="0"/>
              <w:adjustRightInd w:val="0"/>
              <w:jc w:val="right"/>
              <w:rPr>
                <w:b/>
                <w:color w:val="000000"/>
                <w:szCs w:val="20"/>
              </w:rPr>
            </w:pPr>
            <w:r w:rsidRPr="004102A7">
              <w:rPr>
                <w:b/>
                <w:color w:val="000000"/>
                <w:szCs w:val="20"/>
              </w:rPr>
              <w:t xml:space="preserve"> </w:t>
            </w:r>
          </w:p>
        </w:tc>
      </w:tr>
      <w:tr w:rsidR="004102A7" w:rsidRPr="004102A7" w14:paraId="48907861" w14:textId="77777777" w:rsidTr="00EE4660">
        <w:trPr>
          <w:trHeight w:val="1095"/>
        </w:trPr>
        <w:tc>
          <w:tcPr>
            <w:tcW w:w="5391" w:type="dxa"/>
          </w:tcPr>
          <w:p w14:paraId="3DDBFD09" w14:textId="77777777" w:rsidR="004102A7" w:rsidRPr="004102A7" w:rsidRDefault="004102A7" w:rsidP="002F2F1A">
            <w:pPr>
              <w:autoSpaceDE w:val="0"/>
              <w:autoSpaceDN w:val="0"/>
              <w:adjustRightInd w:val="0"/>
              <w:rPr>
                <w:b/>
                <w:color w:val="000000"/>
                <w:szCs w:val="20"/>
              </w:rPr>
            </w:pPr>
            <w:r w:rsidRPr="004102A7">
              <w:rPr>
                <w:b/>
                <w:color w:val="000000"/>
                <w:szCs w:val="20"/>
              </w:rPr>
              <w:t>Delež proračunskih sredstev namenjen za sofinanciranje programov – proračunska postavka 10.045</w:t>
            </w:r>
          </w:p>
        </w:tc>
        <w:tc>
          <w:tcPr>
            <w:tcW w:w="3133" w:type="dxa"/>
          </w:tcPr>
          <w:p w14:paraId="3B87172A" w14:textId="77777777" w:rsidR="004102A7" w:rsidRPr="004102A7" w:rsidRDefault="004102A7" w:rsidP="002F2F1A">
            <w:pPr>
              <w:autoSpaceDE w:val="0"/>
              <w:autoSpaceDN w:val="0"/>
              <w:adjustRightInd w:val="0"/>
              <w:jc w:val="right"/>
              <w:rPr>
                <w:b/>
                <w:color w:val="000000"/>
                <w:szCs w:val="20"/>
              </w:rPr>
            </w:pPr>
            <w:r w:rsidRPr="004102A7">
              <w:rPr>
                <w:b/>
                <w:color w:val="000000"/>
                <w:szCs w:val="20"/>
              </w:rPr>
              <w:t>48.000,00 €</w:t>
            </w:r>
          </w:p>
        </w:tc>
      </w:tr>
    </w:tbl>
    <w:p w14:paraId="6966FE12" w14:textId="77777777" w:rsidR="004102A7" w:rsidRPr="004102A7" w:rsidRDefault="004102A7" w:rsidP="004102A7">
      <w:pPr>
        <w:autoSpaceDE w:val="0"/>
        <w:autoSpaceDN w:val="0"/>
        <w:adjustRightInd w:val="0"/>
        <w:jc w:val="center"/>
        <w:rPr>
          <w:rFonts w:eastAsia="Calibri"/>
          <w:color w:val="000000"/>
          <w:szCs w:val="20"/>
        </w:rPr>
      </w:pPr>
    </w:p>
    <w:p w14:paraId="2F2DFAC4" w14:textId="77777777" w:rsidR="004102A7" w:rsidRPr="004102A7" w:rsidRDefault="004102A7" w:rsidP="004102A7">
      <w:pPr>
        <w:autoSpaceDE w:val="0"/>
        <w:autoSpaceDN w:val="0"/>
        <w:adjustRightInd w:val="0"/>
        <w:jc w:val="center"/>
        <w:rPr>
          <w:rFonts w:eastAsia="Calibri"/>
          <w:color w:val="000000"/>
          <w:szCs w:val="20"/>
        </w:rPr>
      </w:pPr>
      <w:r w:rsidRPr="004102A7">
        <w:rPr>
          <w:rFonts w:eastAsia="Calibri"/>
          <w:color w:val="000000"/>
          <w:szCs w:val="20"/>
        </w:rPr>
        <w:t xml:space="preserve">6. </w:t>
      </w:r>
    </w:p>
    <w:p w14:paraId="4D940D33" w14:textId="2C91C99B" w:rsidR="00EE4660" w:rsidRDefault="004102A7" w:rsidP="00880C23">
      <w:pPr>
        <w:keepNext/>
        <w:autoSpaceDE w:val="0"/>
        <w:autoSpaceDN w:val="0"/>
        <w:adjustRightInd w:val="0"/>
        <w:spacing w:after="0"/>
        <w:jc w:val="both"/>
        <w:rPr>
          <w:rFonts w:eastAsia="Calibri"/>
          <w:color w:val="000000"/>
          <w:szCs w:val="20"/>
        </w:rPr>
      </w:pPr>
      <w:r w:rsidRPr="004102A7">
        <w:rPr>
          <w:rFonts w:eastAsia="Calibri"/>
          <w:color w:val="000000"/>
          <w:szCs w:val="20"/>
        </w:rPr>
        <w:t>Sredstva za sofinanciranje programov tehnične kulture se opredelijo s proračunom za leto 2026 in se razdelijo na podlagi javnega razpisa, na katerega se lahko prijavljajo zainteresirani izvajalci, kot to določa odlok. Predloženi programi na javnem razpisu so podlaga za ustrezno vrednotenje in spremljanje izvajanja programov, ki jih sofinancira mestna občina.</w:t>
      </w:r>
    </w:p>
    <w:p w14:paraId="7BE32B75" w14:textId="65E9A1E1" w:rsidR="00EE4660" w:rsidRDefault="00EE4660" w:rsidP="00880C23">
      <w:pPr>
        <w:keepNext/>
        <w:autoSpaceDE w:val="0"/>
        <w:autoSpaceDN w:val="0"/>
        <w:adjustRightInd w:val="0"/>
        <w:spacing w:after="0"/>
        <w:ind w:left="0"/>
        <w:jc w:val="both"/>
        <w:rPr>
          <w:rFonts w:eastAsia="Calibri"/>
          <w:color w:val="000000"/>
          <w:szCs w:val="20"/>
        </w:rPr>
      </w:pPr>
    </w:p>
    <w:p w14:paraId="67A411ED" w14:textId="77777777" w:rsidR="00880C23" w:rsidRDefault="00880C23" w:rsidP="00880C23">
      <w:pPr>
        <w:keepNext/>
        <w:autoSpaceDE w:val="0"/>
        <w:autoSpaceDN w:val="0"/>
        <w:adjustRightInd w:val="0"/>
        <w:spacing w:after="0"/>
        <w:ind w:left="0"/>
        <w:jc w:val="both"/>
        <w:rPr>
          <w:rFonts w:eastAsia="Calibri"/>
          <w:color w:val="000000"/>
          <w:szCs w:val="20"/>
        </w:rPr>
      </w:pPr>
    </w:p>
    <w:p w14:paraId="7C9837F8" w14:textId="77777777" w:rsidR="00880C23" w:rsidRPr="004102A7" w:rsidRDefault="00880C23" w:rsidP="00880C23">
      <w:pPr>
        <w:keepNext/>
        <w:autoSpaceDE w:val="0"/>
        <w:autoSpaceDN w:val="0"/>
        <w:adjustRightInd w:val="0"/>
        <w:spacing w:after="0"/>
        <w:ind w:left="0"/>
        <w:jc w:val="both"/>
        <w:rPr>
          <w:rFonts w:eastAsia="Calibri"/>
          <w:color w:val="000000"/>
          <w:szCs w:val="20"/>
        </w:rPr>
      </w:pPr>
    </w:p>
    <w:p w14:paraId="720DFCC8" w14:textId="77777777" w:rsidR="004102A7" w:rsidRPr="004102A7" w:rsidRDefault="004102A7" w:rsidP="00880C23">
      <w:pPr>
        <w:autoSpaceDE w:val="0"/>
        <w:autoSpaceDN w:val="0"/>
        <w:adjustRightInd w:val="0"/>
        <w:spacing w:after="0"/>
        <w:jc w:val="center"/>
        <w:rPr>
          <w:rFonts w:eastAsia="Calibri"/>
          <w:color w:val="000000"/>
          <w:szCs w:val="20"/>
        </w:rPr>
      </w:pPr>
      <w:r w:rsidRPr="004102A7">
        <w:rPr>
          <w:rFonts w:eastAsia="Calibri"/>
          <w:color w:val="000000"/>
          <w:szCs w:val="20"/>
        </w:rPr>
        <w:t xml:space="preserve">7. </w:t>
      </w:r>
    </w:p>
    <w:p w14:paraId="3F83D387" w14:textId="266B9998" w:rsidR="004102A7" w:rsidRPr="004102A7" w:rsidRDefault="004102A7" w:rsidP="00EE4660">
      <w:pPr>
        <w:autoSpaceDE w:val="0"/>
        <w:autoSpaceDN w:val="0"/>
        <w:adjustRightInd w:val="0"/>
        <w:jc w:val="both"/>
        <w:rPr>
          <w:rFonts w:eastAsia="Calibri"/>
          <w:color w:val="000000"/>
          <w:szCs w:val="20"/>
        </w:rPr>
      </w:pPr>
      <w:r w:rsidRPr="004102A7">
        <w:rPr>
          <w:rFonts w:eastAsia="Calibri"/>
          <w:color w:val="000000"/>
          <w:szCs w:val="20"/>
        </w:rPr>
        <w:t>Mestna občina vrši nadzor nad porabo javnih sredstev, pridobljenih v okviru javnega razpisa ter vsebino izvedenih programov.</w:t>
      </w:r>
    </w:p>
    <w:p w14:paraId="3F56B6B6" w14:textId="77777777" w:rsidR="004102A7" w:rsidRPr="004102A7" w:rsidRDefault="004102A7" w:rsidP="004102A7">
      <w:pPr>
        <w:autoSpaceDE w:val="0"/>
        <w:autoSpaceDN w:val="0"/>
        <w:adjustRightInd w:val="0"/>
        <w:jc w:val="center"/>
        <w:rPr>
          <w:rFonts w:eastAsia="Calibri"/>
          <w:color w:val="000000"/>
          <w:szCs w:val="20"/>
        </w:rPr>
      </w:pPr>
      <w:r w:rsidRPr="004102A7">
        <w:rPr>
          <w:rFonts w:eastAsia="Calibri"/>
          <w:color w:val="000000"/>
          <w:szCs w:val="20"/>
        </w:rPr>
        <w:t xml:space="preserve">8. </w:t>
      </w:r>
    </w:p>
    <w:p w14:paraId="7CAC47B2" w14:textId="77777777" w:rsidR="004102A7" w:rsidRPr="004102A7" w:rsidRDefault="004102A7" w:rsidP="004102A7">
      <w:pPr>
        <w:keepNext/>
        <w:autoSpaceDE w:val="0"/>
        <w:autoSpaceDN w:val="0"/>
        <w:adjustRightInd w:val="0"/>
        <w:jc w:val="both"/>
        <w:outlineLvl w:val="2"/>
        <w:rPr>
          <w:szCs w:val="20"/>
        </w:rPr>
      </w:pPr>
      <w:r w:rsidRPr="004102A7">
        <w:rPr>
          <w:szCs w:val="20"/>
        </w:rPr>
        <w:t xml:space="preserve">Na osnovi sprejetega Letnega programa tehnične kulture v Mestni občini Nova Gorica za leto 2026, Odloka o sofinanciranju programov tehnične kulture v Mestni občini Nova Gorica </w:t>
      </w:r>
      <w:r w:rsidRPr="004102A7">
        <w:rPr>
          <w:bCs w:val="0"/>
          <w:kern w:val="20"/>
          <w:szCs w:val="20"/>
          <w:lang w:val="x-none" w:eastAsia="x-none"/>
        </w:rPr>
        <w:t>(</w:t>
      </w:r>
      <w:r w:rsidRPr="004102A7">
        <w:rPr>
          <w:rFonts w:cs="Times New Roman"/>
          <w:noProof w:val="0"/>
          <w:kern w:val="20"/>
          <w:szCs w:val="20"/>
          <w:lang w:val="x-none" w:eastAsia="x-none"/>
        </w:rPr>
        <w:t>Uradni list RS, št. 108/12, 90/13, 19/15, 88/15, 56/17, 73/19, 157/20 in 113/23</w:t>
      </w:r>
      <w:r w:rsidRPr="004102A7">
        <w:rPr>
          <w:kern w:val="20"/>
          <w:szCs w:val="20"/>
          <w:lang w:val="x-none" w:eastAsia="x-none"/>
        </w:rPr>
        <w:t>)</w:t>
      </w:r>
      <w:r w:rsidRPr="004102A7">
        <w:rPr>
          <w:szCs w:val="20"/>
        </w:rPr>
        <w:t xml:space="preserve"> ter sprejetega proračuna Mestne občine Nova Gorica za leto 2026 bo objavljen javni razpis za sofinanciranje programov tehnične kulture v Mestni občini Nova Gorica za leto 2026. </w:t>
      </w:r>
    </w:p>
    <w:p w14:paraId="655BD905" w14:textId="77777777" w:rsidR="004102A7" w:rsidRPr="004102A7" w:rsidRDefault="004102A7" w:rsidP="004102A7">
      <w:pPr>
        <w:keepNext/>
        <w:autoSpaceDE w:val="0"/>
        <w:autoSpaceDN w:val="0"/>
        <w:adjustRightInd w:val="0"/>
        <w:ind w:left="0"/>
        <w:outlineLvl w:val="2"/>
        <w:rPr>
          <w:szCs w:val="20"/>
        </w:rPr>
      </w:pPr>
    </w:p>
    <w:p w14:paraId="0FA193D3" w14:textId="77777777" w:rsidR="004102A7" w:rsidRPr="004102A7" w:rsidRDefault="004102A7" w:rsidP="004102A7">
      <w:pPr>
        <w:spacing w:after="0"/>
        <w:jc w:val="both"/>
        <w:rPr>
          <w:szCs w:val="20"/>
        </w:rPr>
      </w:pPr>
      <w:r w:rsidRPr="004102A7">
        <w:rPr>
          <w:szCs w:val="20"/>
        </w:rPr>
        <w:t>Številka: 609-18/2025-2</w:t>
      </w:r>
    </w:p>
    <w:p w14:paraId="44B0B48F" w14:textId="77777777" w:rsidR="004102A7" w:rsidRPr="004102A7" w:rsidRDefault="004102A7" w:rsidP="004102A7">
      <w:pPr>
        <w:spacing w:after="0"/>
        <w:jc w:val="both"/>
        <w:rPr>
          <w:szCs w:val="20"/>
        </w:rPr>
      </w:pPr>
      <w:r w:rsidRPr="004102A7">
        <w:rPr>
          <w:szCs w:val="20"/>
        </w:rPr>
        <w:t>Datum:   16. 10. 2025</w:t>
      </w:r>
    </w:p>
    <w:p w14:paraId="4D05A8D8" w14:textId="16FA5333" w:rsidR="00BA46CD" w:rsidRDefault="00BA46CD" w:rsidP="004102A7">
      <w:pPr>
        <w:pStyle w:val="Podpisoseba"/>
        <w:spacing w:before="0" w:after="240"/>
        <w:ind w:left="0"/>
        <w:rPr>
          <w:bCs w:val="0"/>
          <w:szCs w:val="2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BA46CD" w14:paraId="692B8A10" w14:textId="77777777" w:rsidTr="006D786F">
        <w:tc>
          <w:tcPr>
            <w:tcW w:w="4956" w:type="dxa"/>
          </w:tcPr>
          <w:p w14:paraId="6D2B50A4" w14:textId="2E39E3AC" w:rsidR="00BA46CD" w:rsidRPr="00454265" w:rsidRDefault="00BA46CD" w:rsidP="00942356">
            <w:pPr>
              <w:pStyle w:val="Podpisoseba"/>
              <w:spacing w:before="0" w:after="0"/>
              <w:ind w:left="0"/>
              <w:rPr>
                <w:b/>
                <w:bCs w:val="0"/>
                <w:szCs w:val="20"/>
              </w:rPr>
            </w:pPr>
          </w:p>
        </w:tc>
        <w:tc>
          <w:tcPr>
            <w:tcW w:w="3549" w:type="dxa"/>
          </w:tcPr>
          <w:p w14:paraId="31C18C2E" w14:textId="03A1D00A" w:rsidR="00BA46CD" w:rsidRPr="00454265" w:rsidRDefault="004102A7" w:rsidP="006D786F">
            <w:pPr>
              <w:pStyle w:val="Podpisoseba"/>
              <w:spacing w:before="0" w:after="0"/>
              <w:ind w:left="0"/>
              <w:rPr>
                <w:b/>
                <w:bCs w:val="0"/>
                <w:szCs w:val="20"/>
              </w:rPr>
            </w:pPr>
            <w:r>
              <w:rPr>
                <w:b/>
                <w:bCs w:val="0"/>
                <w:szCs w:val="20"/>
              </w:rPr>
              <w:t>Samo Turel</w:t>
            </w:r>
          </w:p>
        </w:tc>
      </w:tr>
      <w:tr w:rsidR="00BA46CD" w14:paraId="1D677BBF" w14:textId="77777777" w:rsidTr="006D786F">
        <w:tc>
          <w:tcPr>
            <w:tcW w:w="4956" w:type="dxa"/>
          </w:tcPr>
          <w:p w14:paraId="465C8159" w14:textId="7DE00A5B" w:rsidR="00BA46CD" w:rsidRDefault="00BA46CD" w:rsidP="00942356">
            <w:pPr>
              <w:pStyle w:val="Podpisoseba"/>
              <w:spacing w:before="0" w:after="0"/>
              <w:ind w:left="0"/>
              <w:rPr>
                <w:bCs w:val="0"/>
                <w:szCs w:val="20"/>
              </w:rPr>
            </w:pPr>
          </w:p>
        </w:tc>
        <w:tc>
          <w:tcPr>
            <w:tcW w:w="3549" w:type="dxa"/>
          </w:tcPr>
          <w:p w14:paraId="65DAFEA2" w14:textId="12DF8B01" w:rsidR="00BA46CD" w:rsidRDefault="004102A7" w:rsidP="006D786F">
            <w:pPr>
              <w:pStyle w:val="Podpisoseba"/>
              <w:spacing w:before="0" w:after="0"/>
              <w:ind w:left="0"/>
              <w:rPr>
                <w:bCs w:val="0"/>
                <w:szCs w:val="20"/>
              </w:rPr>
            </w:pPr>
            <w:r>
              <w:rPr>
                <w:szCs w:val="20"/>
              </w:rPr>
              <w:t>Župan</w:t>
            </w:r>
          </w:p>
        </w:tc>
      </w:tr>
    </w:tbl>
    <w:p w14:paraId="49DA8693" w14:textId="021B92E5" w:rsidR="00A95A58" w:rsidRPr="0005678C" w:rsidRDefault="00A95A58" w:rsidP="004102A7">
      <w:pPr>
        <w:pStyle w:val="Naslovnik"/>
        <w:spacing w:after="1320"/>
        <w:ind w:left="0"/>
        <w:rPr>
          <w:sz w:val="20"/>
          <w:szCs w:val="20"/>
        </w:rPr>
      </w:pPr>
    </w:p>
    <w:sectPr w:rsidR="00A95A58" w:rsidRPr="0005678C" w:rsidSect="00722FAC">
      <w:headerReference w:type="default" r:id="rId10"/>
      <w:footerReference w:type="default" r:id="rId11"/>
      <w:headerReference w:type="first" r:id="rId12"/>
      <w:footerReference w:type="first" r:id="rId13"/>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345E" w14:textId="77777777" w:rsidR="00184E64" w:rsidRDefault="00184E64" w:rsidP="003F3284">
      <w:r>
        <w:separator/>
      </w:r>
    </w:p>
  </w:endnote>
  <w:endnote w:type="continuationSeparator" w:id="0">
    <w:p w14:paraId="4B2267ED" w14:textId="77777777" w:rsidR="00184E64" w:rsidRDefault="00184E64"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AD59" w14:textId="77777777" w:rsidR="00184E64" w:rsidRDefault="00184E64" w:rsidP="003F3284">
      <w:r>
        <w:separator/>
      </w:r>
    </w:p>
  </w:footnote>
  <w:footnote w:type="continuationSeparator" w:id="0">
    <w:p w14:paraId="75FE64F8" w14:textId="77777777" w:rsidR="00184E64" w:rsidRDefault="00184E64"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3933F6E"/>
    <w:multiLevelType w:val="hybridMultilevel"/>
    <w:tmpl w:val="E906521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D5549B5"/>
    <w:multiLevelType w:val="hybridMultilevel"/>
    <w:tmpl w:val="E9BED96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111102"/>
    <w:multiLevelType w:val="hybridMultilevel"/>
    <w:tmpl w:val="6194F52C"/>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495E5DFA"/>
    <w:multiLevelType w:val="hybridMultilevel"/>
    <w:tmpl w:val="191EF57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275595661">
    <w:abstractNumId w:val="7"/>
  </w:num>
  <w:num w:numId="2" w16cid:durableId="1564440524">
    <w:abstractNumId w:val="9"/>
  </w:num>
  <w:num w:numId="3" w16cid:durableId="1989281952">
    <w:abstractNumId w:val="0"/>
  </w:num>
  <w:num w:numId="4" w16cid:durableId="457340087">
    <w:abstractNumId w:val="3"/>
  </w:num>
  <w:num w:numId="5" w16cid:durableId="2029018289">
    <w:abstractNumId w:val="8"/>
  </w:num>
  <w:num w:numId="6" w16cid:durableId="1927811028">
    <w:abstractNumId w:val="10"/>
  </w:num>
  <w:num w:numId="7" w16cid:durableId="1159418049">
    <w:abstractNumId w:val="2"/>
  </w:num>
  <w:num w:numId="8" w16cid:durableId="578641463">
    <w:abstractNumId w:val="1"/>
  </w:num>
  <w:num w:numId="9" w16cid:durableId="872619545">
    <w:abstractNumId w:val="6"/>
  </w:num>
  <w:num w:numId="10" w16cid:durableId="1774592077">
    <w:abstractNumId w:val="4"/>
  </w:num>
  <w:num w:numId="11" w16cid:durableId="508639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5268"/>
    <w:rsid w:val="0005678C"/>
    <w:rsid w:val="00083CA2"/>
    <w:rsid w:val="000D6C77"/>
    <w:rsid w:val="00101B99"/>
    <w:rsid w:val="00110838"/>
    <w:rsid w:val="001137D1"/>
    <w:rsid w:val="00145A3D"/>
    <w:rsid w:val="001776A5"/>
    <w:rsid w:val="00184E64"/>
    <w:rsid w:val="00192B9A"/>
    <w:rsid w:val="001B21C9"/>
    <w:rsid w:val="001B2389"/>
    <w:rsid w:val="001C3923"/>
    <w:rsid w:val="001C6438"/>
    <w:rsid w:val="001D7013"/>
    <w:rsid w:val="001F4732"/>
    <w:rsid w:val="0022273D"/>
    <w:rsid w:val="0022510F"/>
    <w:rsid w:val="00226E0E"/>
    <w:rsid w:val="0028430E"/>
    <w:rsid w:val="00287D4F"/>
    <w:rsid w:val="002B08B0"/>
    <w:rsid w:val="002F26F0"/>
    <w:rsid w:val="00305974"/>
    <w:rsid w:val="00345529"/>
    <w:rsid w:val="00366240"/>
    <w:rsid w:val="0039457F"/>
    <w:rsid w:val="003A0AE4"/>
    <w:rsid w:val="003A2C22"/>
    <w:rsid w:val="003B11F7"/>
    <w:rsid w:val="003F3284"/>
    <w:rsid w:val="00404823"/>
    <w:rsid w:val="004102A7"/>
    <w:rsid w:val="004129EE"/>
    <w:rsid w:val="00454265"/>
    <w:rsid w:val="00463FA4"/>
    <w:rsid w:val="00486063"/>
    <w:rsid w:val="004953C5"/>
    <w:rsid w:val="004A325F"/>
    <w:rsid w:val="004A535E"/>
    <w:rsid w:val="004E242E"/>
    <w:rsid w:val="00501EB2"/>
    <w:rsid w:val="005210F0"/>
    <w:rsid w:val="005361AF"/>
    <w:rsid w:val="00581BE7"/>
    <w:rsid w:val="00592FB1"/>
    <w:rsid w:val="005C4702"/>
    <w:rsid w:val="00611F95"/>
    <w:rsid w:val="006620F0"/>
    <w:rsid w:val="006752A2"/>
    <w:rsid w:val="006B42F9"/>
    <w:rsid w:val="007063A4"/>
    <w:rsid w:val="00722FAC"/>
    <w:rsid w:val="00734A18"/>
    <w:rsid w:val="0079172C"/>
    <w:rsid w:val="00791DB2"/>
    <w:rsid w:val="00793022"/>
    <w:rsid w:val="007C0DEA"/>
    <w:rsid w:val="007D3693"/>
    <w:rsid w:val="007E04A2"/>
    <w:rsid w:val="00810854"/>
    <w:rsid w:val="008515CD"/>
    <w:rsid w:val="00873CAB"/>
    <w:rsid w:val="008759F5"/>
    <w:rsid w:val="008802E3"/>
    <w:rsid w:val="00880C23"/>
    <w:rsid w:val="008821D4"/>
    <w:rsid w:val="008A5F4D"/>
    <w:rsid w:val="00905F98"/>
    <w:rsid w:val="00923A6E"/>
    <w:rsid w:val="00942356"/>
    <w:rsid w:val="009805C0"/>
    <w:rsid w:val="009D3904"/>
    <w:rsid w:val="00A80557"/>
    <w:rsid w:val="00A9127C"/>
    <w:rsid w:val="00A95A58"/>
    <w:rsid w:val="00AA4BFD"/>
    <w:rsid w:val="00B754E3"/>
    <w:rsid w:val="00B84570"/>
    <w:rsid w:val="00BA46CD"/>
    <w:rsid w:val="00BF7B56"/>
    <w:rsid w:val="00C072E2"/>
    <w:rsid w:val="00C10614"/>
    <w:rsid w:val="00C12D30"/>
    <w:rsid w:val="00C7627D"/>
    <w:rsid w:val="00C762F1"/>
    <w:rsid w:val="00C973E8"/>
    <w:rsid w:val="00CD0869"/>
    <w:rsid w:val="00CD1C81"/>
    <w:rsid w:val="00CE01CB"/>
    <w:rsid w:val="00D32794"/>
    <w:rsid w:val="00D731FF"/>
    <w:rsid w:val="00D81991"/>
    <w:rsid w:val="00DA69BC"/>
    <w:rsid w:val="00DB324B"/>
    <w:rsid w:val="00DD1372"/>
    <w:rsid w:val="00DE7B81"/>
    <w:rsid w:val="00E57102"/>
    <w:rsid w:val="00E876FD"/>
    <w:rsid w:val="00EE4660"/>
    <w:rsid w:val="00EE5DDF"/>
    <w:rsid w:val="00EF0214"/>
    <w:rsid w:val="00EF54A1"/>
    <w:rsid w:val="00F12361"/>
    <w:rsid w:val="00F216E4"/>
    <w:rsid w:val="00F24C66"/>
    <w:rsid w:val="00F27F42"/>
    <w:rsid w:val="00F40810"/>
    <w:rsid w:val="00F4231E"/>
    <w:rsid w:val="00F66755"/>
    <w:rsid w:val="00F811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1C3923"/>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1C3923"/>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Telobesedila">
    <w:name w:val="Body Text"/>
    <w:basedOn w:val="Navaden"/>
    <w:link w:val="TelobesedilaZnak"/>
    <w:rsid w:val="004102A7"/>
    <w:pPr>
      <w:spacing w:after="0" w:line="240" w:lineRule="auto"/>
      <w:ind w:left="0" w:right="0"/>
      <w:jc w:val="both"/>
    </w:pPr>
    <w:rPr>
      <w:rFonts w:ascii="Arial" w:hAnsi="Arial" w:cs="Times New Roman"/>
      <w:bCs w:val="0"/>
      <w:noProof w:val="0"/>
      <w:kern w:val="20"/>
      <w:sz w:val="24"/>
      <w:szCs w:val="20"/>
      <w:lang w:val="x-none" w:eastAsia="x-none"/>
    </w:rPr>
  </w:style>
  <w:style w:type="character" w:customStyle="1" w:styleId="TelobesedilaZnak">
    <w:name w:val="Telo besedila Znak"/>
    <w:basedOn w:val="Privzetapisavaodstavka"/>
    <w:link w:val="Telobesedila"/>
    <w:rsid w:val="004102A7"/>
    <w:rPr>
      <w:rFonts w:ascii="Arial" w:eastAsia="Times New Roman" w:hAnsi="Arial" w:cs="Times New Roman"/>
      <w:kern w:val="20"/>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C2382-17F7-4716-9CC4-74B65956439D}">
  <ds:schemaRefs>
    <ds:schemaRef ds:uri="http://schemas.microsoft.com/office/2006/documentManagement/types"/>
    <ds:schemaRef ds:uri="http://purl.org/dc/terms/"/>
    <ds:schemaRef ds:uri="http://schemas.openxmlformats.org/package/2006/metadata/core-properties"/>
    <ds:schemaRef ds:uri="http://purl.org/dc/dcmitype/"/>
    <ds:schemaRef ds:uri="971fd287-4551-411b-a694-38c9be1b8a3f"/>
    <ds:schemaRef ds:uri="http://schemas.microsoft.com/office/2006/metadata/properties"/>
    <ds:schemaRef ds:uri="http://purl.org/dc/elements/1.1/"/>
    <ds:schemaRef ds:uri="http://schemas.microsoft.com/office/infopath/2007/PartnerControls"/>
    <ds:schemaRef ds:uri="151e2135-251a-4a54-bb3f-b4383bb78d32"/>
    <ds:schemaRef ds:uri="http://www.w3.org/XML/1998/namespace"/>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1303</Words>
  <Characters>7429</Characters>
  <Application>Microsoft Office Word</Application>
  <DocSecurity>4</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Robert Cencič</cp:lastModifiedBy>
  <cp:revision>2</cp:revision>
  <cp:lastPrinted>2025-03-18T10:56:00Z</cp:lastPrinted>
  <dcterms:created xsi:type="dcterms:W3CDTF">2025-11-05T10:41:00Z</dcterms:created>
  <dcterms:modified xsi:type="dcterms:W3CDTF">2025-11-05T10:41:00Z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