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AEF4" w14:textId="77777777" w:rsidR="00241882" w:rsidRPr="00A86F65" w:rsidRDefault="00241882" w:rsidP="00E617D3"/>
    <w:p w14:paraId="3F6080F4" w14:textId="77777777" w:rsidR="00E617D3" w:rsidRPr="00A86F65" w:rsidRDefault="00E617D3" w:rsidP="00E617D3">
      <w:pPr>
        <w:numPr>
          <w:ilvl w:val="0"/>
          <w:numId w:val="2"/>
        </w:numPr>
      </w:pPr>
      <w:r w:rsidRPr="00A86F65">
        <w:rPr>
          <w:b/>
          <w:bCs/>
        </w:rPr>
        <w:t>SVETNIK ANDREJ ŠUŠMELJ </w:t>
      </w:r>
      <w:r w:rsidRPr="00A86F65">
        <w:t>je podal pobudo na nezadovoljstvo svetnika z odgovorom:  </w:t>
      </w:r>
    </w:p>
    <w:p w14:paraId="51A0730A" w14:textId="0D573BAA" w:rsidR="00E617D3" w:rsidRPr="00A86F65" w:rsidRDefault="00E617D3" w:rsidP="00E617D3">
      <w:r w:rsidRPr="00A86F65">
        <w:t>Glede na to, da smo slišali že veliko pripomb na eno določeno martinovanje, bi jaz predlagal, da si ogledamo vsa martinovanja, ki so se zgodila v Mestni občini Nova Gorica, kdo je bil organizator in kakšni so bili dejanski stroški. </w:t>
      </w:r>
    </w:p>
    <w:p w14:paraId="136A1AA1" w14:textId="4CF3DDD3" w:rsidR="00E617D3" w:rsidRPr="00A86F65" w:rsidRDefault="00E617D3" w:rsidP="00E617D3">
      <w:r w:rsidRPr="00A86F65">
        <w:rPr>
          <w:b/>
          <w:bCs/>
        </w:rPr>
        <w:t>Občinska uprava </w:t>
      </w:r>
      <w:r w:rsidRPr="00A86F65">
        <w:t>je posredovala naslednji odgovor: </w:t>
      </w:r>
      <w:r w:rsidR="00FA2BAC" w:rsidRPr="00A86F65">
        <w:t xml:space="preserve"> </w:t>
      </w:r>
      <w:r w:rsidR="000E42EC" w:rsidRPr="00A86F65">
        <w:t xml:space="preserve">Erika Lojk, </w:t>
      </w:r>
      <w:r w:rsidR="00832221" w:rsidRPr="00A86F65">
        <w:t>Javn</w:t>
      </w:r>
      <w:r w:rsidR="00241882" w:rsidRPr="00A86F65">
        <w:t>i</w:t>
      </w:r>
      <w:r w:rsidR="00832221" w:rsidRPr="00A86F65">
        <w:t xml:space="preserve"> zavod za turizem Nova Gorica in Vipavska dolina</w:t>
      </w:r>
      <w:r w:rsidRPr="00A86F65">
        <w:t> </w:t>
      </w:r>
      <w:r w:rsidR="00D54E8A" w:rsidRPr="00A86F65">
        <w:t xml:space="preserve">in Nika </w:t>
      </w:r>
      <w:r w:rsidR="00241882" w:rsidRPr="00A86F65">
        <w:t>T</w:t>
      </w:r>
      <w:r w:rsidR="00D54E8A" w:rsidRPr="00A86F65">
        <w:t>esten, MONG</w:t>
      </w:r>
    </w:p>
    <w:p w14:paraId="7E0A22FF" w14:textId="0133110A" w:rsidR="005E340D" w:rsidRPr="00A86F65" w:rsidRDefault="003B62EA" w:rsidP="00E617D3">
      <w:pPr>
        <w:rPr>
          <w:b/>
          <w:bCs/>
        </w:rPr>
      </w:pPr>
      <w:r w:rsidRPr="00A86F65">
        <w:t>V nadaljevanju prikazujemo stroške</w:t>
      </w:r>
      <w:r w:rsidR="00BE7E86" w:rsidRPr="00A86F65">
        <w:t xml:space="preserve"> in program martinovanj na podeželju </w:t>
      </w:r>
      <w:r w:rsidRPr="00A86F65">
        <w:t>v</w:t>
      </w:r>
      <w:r w:rsidR="00EF066F" w:rsidRPr="00A86F65">
        <w:t xml:space="preserve"> let</w:t>
      </w:r>
      <w:r w:rsidRPr="00A86F65">
        <w:t xml:space="preserve">u </w:t>
      </w:r>
      <w:r w:rsidR="00EF066F" w:rsidRPr="00A86F65">
        <w:t>2023 in 2024. Martinovanje na podeželju se v letu 2025</w:t>
      </w:r>
      <w:r w:rsidRPr="00A86F65">
        <w:t>, v organizaciji Javnega zavoda za turizem ali Mestn</w:t>
      </w:r>
      <w:r w:rsidR="00A86F65">
        <w:t>e</w:t>
      </w:r>
      <w:r w:rsidRPr="00A86F65">
        <w:t xml:space="preserve"> občine Nova Gorica, </w:t>
      </w:r>
      <w:r w:rsidR="00EF066F" w:rsidRPr="00A86F65">
        <w:t>ni izvedlo.</w:t>
      </w:r>
      <w:r w:rsidR="00EF066F" w:rsidRPr="00A86F65">
        <w:rPr>
          <w:b/>
          <w:bCs/>
        </w:rPr>
        <w:t xml:space="preserve"> </w:t>
      </w:r>
    </w:p>
    <w:p w14:paraId="7A83AFAA" w14:textId="30EF2966" w:rsidR="008F162F" w:rsidRPr="00A86F65" w:rsidRDefault="008F162F" w:rsidP="00832221">
      <w:pPr>
        <w:rPr>
          <w:b/>
          <w:bCs/>
          <w:color w:val="EE0000"/>
          <w:u w:val="single"/>
        </w:rPr>
      </w:pPr>
      <w:r w:rsidRPr="00A86F65">
        <w:rPr>
          <w:b/>
          <w:bCs/>
          <w:color w:val="EE0000"/>
          <w:u w:val="single"/>
        </w:rPr>
        <w:t>Leto 2023:</w:t>
      </w:r>
    </w:p>
    <w:p w14:paraId="1EE3A054" w14:textId="64D1849E" w:rsidR="00A37057" w:rsidRPr="00A86F65" w:rsidRDefault="002D730F" w:rsidP="00832221">
      <w:r w:rsidRPr="00A86F65">
        <w:t>V letu 2023 je martinovanje v mestu in na podeželju organizirala Mestna občina Nova Gorica. Zaradi slabega vremena je martinovanje v mestu</w:t>
      </w:r>
      <w:r w:rsidR="002B53BA" w:rsidRPr="00A86F65">
        <w:t xml:space="preserve">, </w:t>
      </w:r>
      <w:r w:rsidR="0079732D" w:rsidRPr="00A86F65">
        <w:t>10</w:t>
      </w:r>
      <w:r w:rsidR="002B53BA" w:rsidRPr="00A86F65">
        <w:t>. 11. 2023,</w:t>
      </w:r>
      <w:r w:rsidRPr="00A86F65">
        <w:t xml:space="preserve"> odpadlo. </w:t>
      </w:r>
      <w:r w:rsidR="0020071B" w:rsidRPr="00A86F65">
        <w:t>Izvedlo se je le martinovanje na podeželju.</w:t>
      </w:r>
    </w:p>
    <w:p w14:paraId="3AA06497" w14:textId="7FAC19FC" w:rsidR="001410A1" w:rsidRPr="00A86F65" w:rsidRDefault="003B62EA" w:rsidP="00C17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86F65">
        <w:rPr>
          <w:b/>
          <w:bCs/>
        </w:rPr>
        <w:t xml:space="preserve">Program - </w:t>
      </w:r>
      <w:r w:rsidR="00C1710D" w:rsidRPr="00A86F65">
        <w:rPr>
          <w:b/>
          <w:bCs/>
        </w:rPr>
        <w:t>MARTINOVANJE NA PODEŽELJU (Steske in Pekel, 4. 11. 2023)</w:t>
      </w:r>
      <w:r w:rsidRPr="00A86F65">
        <w:rPr>
          <w:b/>
          <w:bCs/>
        </w:rPr>
        <w:t>:</w:t>
      </w:r>
    </w:p>
    <w:p w14:paraId="63096138" w14:textId="77777777" w:rsidR="00B740C0" w:rsidRPr="00A86F65" w:rsidRDefault="00B740C0" w:rsidP="00B7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A86F65">
        <w:t>17.00</w:t>
      </w:r>
    </w:p>
    <w:p w14:paraId="79E38D9D" w14:textId="77777777" w:rsidR="00B740C0" w:rsidRPr="00A86F65" w:rsidRDefault="00B740C0" w:rsidP="00B7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A86F65">
        <w:t>Vina Colja (Steske 11, Branik)</w:t>
      </w:r>
    </w:p>
    <w:p w14:paraId="29BCABEF" w14:textId="77777777" w:rsidR="00B740C0" w:rsidRPr="00A86F65" w:rsidRDefault="00B740C0" w:rsidP="00B7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A86F65">
        <w:t>Prvačka Pleh Muzika</w:t>
      </w:r>
    </w:p>
    <w:p w14:paraId="461CB8E1" w14:textId="77777777" w:rsidR="00B740C0" w:rsidRPr="00A86F65" w:rsidRDefault="00B740C0" w:rsidP="00B7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A86F65">
        <w:t> </w:t>
      </w:r>
    </w:p>
    <w:p w14:paraId="56ED6D66" w14:textId="77777777" w:rsidR="00B740C0" w:rsidRPr="00A86F65" w:rsidRDefault="00B740C0" w:rsidP="00B7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A86F65">
        <w:t>18.00</w:t>
      </w:r>
    </w:p>
    <w:p w14:paraId="6D8ABDD7" w14:textId="77777777" w:rsidR="00B740C0" w:rsidRPr="00A86F65" w:rsidRDefault="00B740C0" w:rsidP="00B7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A86F65">
        <w:t>Vina Bizjak (Steske 7a, Branik)</w:t>
      </w:r>
    </w:p>
    <w:p w14:paraId="7EA1CE7F" w14:textId="77777777" w:rsidR="00B740C0" w:rsidRPr="00A86F65" w:rsidRDefault="00B740C0" w:rsidP="00B7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A86F65">
        <w:t>Godalni kvartet NOVA</w:t>
      </w:r>
    </w:p>
    <w:p w14:paraId="207BE5D6" w14:textId="77777777" w:rsidR="00B740C0" w:rsidRPr="00A86F65" w:rsidRDefault="00B740C0" w:rsidP="00B7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A86F65">
        <w:t> </w:t>
      </w:r>
    </w:p>
    <w:p w14:paraId="4C2CF46B" w14:textId="77777777" w:rsidR="00B740C0" w:rsidRPr="00A86F65" w:rsidRDefault="00B740C0" w:rsidP="00B7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A86F65">
        <w:t>19.00</w:t>
      </w:r>
    </w:p>
    <w:p w14:paraId="73A9971E" w14:textId="77777777" w:rsidR="00B740C0" w:rsidRPr="00A86F65" w:rsidRDefault="00B740C0" w:rsidP="00B7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86F65">
        <w:t>Vina Zgonik v “Peklu”(Steske 6, Branik)</w:t>
      </w:r>
    </w:p>
    <w:p w14:paraId="4C174977" w14:textId="77777777" w:rsidR="00B740C0" w:rsidRPr="00A86F65" w:rsidRDefault="00B740C0" w:rsidP="00B7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86F65">
        <w:t>Vokalna skupina Dornberški fantje in MOPZ Franc Zgonik iz Branika </w:t>
      </w:r>
    </w:p>
    <w:p w14:paraId="346A45E7" w14:textId="77777777" w:rsidR="00B740C0" w:rsidRPr="00A86F65" w:rsidRDefault="00B740C0" w:rsidP="00B7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A86F65">
        <w:t>20.00</w:t>
      </w:r>
    </w:p>
    <w:p w14:paraId="6C08896E" w14:textId="77777777" w:rsidR="00B740C0" w:rsidRPr="00A86F65" w:rsidRDefault="00B740C0" w:rsidP="00B7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A86F65">
        <w:t>Posestvo v “Peklu” (Steske 6, Branik)</w:t>
      </w:r>
    </w:p>
    <w:p w14:paraId="1E8D2AFD" w14:textId="77777777" w:rsidR="00B740C0" w:rsidRPr="00A86F65" w:rsidRDefault="00B740C0" w:rsidP="00B7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A86F65">
        <w:t>Koncert v “Peklu”:</w:t>
      </w:r>
    </w:p>
    <w:p w14:paraId="28B6E049" w14:textId="77777777" w:rsidR="00B740C0" w:rsidRPr="00A86F65" w:rsidRDefault="00B740C0" w:rsidP="00B7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A86F65">
        <w:t>Etno banda Poseben gušt</w:t>
      </w:r>
    </w:p>
    <w:p w14:paraId="0AC72917" w14:textId="77777777" w:rsidR="00B740C0" w:rsidRPr="00A86F65" w:rsidRDefault="00B740C0" w:rsidP="00B7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F1921E6" w14:textId="2CA5895B" w:rsidR="00C1710D" w:rsidRPr="00A86F65" w:rsidRDefault="00B740C0" w:rsidP="00C1710D">
      <w:pPr>
        <w:spacing w:after="0" w:line="240" w:lineRule="auto"/>
      </w:pPr>
      <w:r w:rsidRPr="00A86F65">
        <w:t>Na voljo so bili brezplačni prevozi s kombijem iz Nove Gorice (izpred mestne občine) do Stesk vsako polno uro od 16. ure do 20. ure (s povratkom v Novo Gorico izpred domačije Steske št. 6 ob 22. in 23. uri).</w:t>
      </w:r>
    </w:p>
    <w:p w14:paraId="5C627117" w14:textId="77777777" w:rsidR="00B740C0" w:rsidRPr="00A86F65" w:rsidRDefault="00B740C0" w:rsidP="00C1710D">
      <w:pPr>
        <w:spacing w:after="0" w:line="240" w:lineRule="auto"/>
      </w:pPr>
    </w:p>
    <w:p w14:paraId="36432512" w14:textId="16660D01" w:rsidR="008F162F" w:rsidRPr="00A86F65" w:rsidRDefault="00C1710D" w:rsidP="00832221">
      <w:pPr>
        <w:rPr>
          <w:b/>
          <w:bCs/>
        </w:rPr>
      </w:pPr>
      <w:r w:rsidRPr="00A86F65">
        <w:rPr>
          <w:b/>
          <w:bCs/>
        </w:rPr>
        <w:t>STROŠKI MARTINOVANJA NA PODEŽELJU, 4</w:t>
      </w:r>
      <w:r w:rsidR="002B53BA" w:rsidRPr="00A86F65">
        <w:rPr>
          <w:b/>
          <w:bCs/>
        </w:rPr>
        <w:t>. 11. 2023,</w:t>
      </w:r>
      <w:r w:rsidR="00F17394" w:rsidRPr="00A86F65">
        <w:rPr>
          <w:b/>
          <w:bCs/>
        </w:rPr>
        <w:t xml:space="preserve"> </w:t>
      </w:r>
      <w:r w:rsidR="00A37057" w:rsidRPr="00A86F65">
        <w:rPr>
          <w:b/>
          <w:bCs/>
        </w:rPr>
        <w:t>ki jih je krila</w:t>
      </w:r>
      <w:r w:rsidR="006E1C52" w:rsidRPr="00A86F65">
        <w:rPr>
          <w:b/>
          <w:bCs/>
        </w:rPr>
        <w:t xml:space="preserve"> MONG</w:t>
      </w:r>
      <w:r w:rsidR="00A37057" w:rsidRPr="00A86F65">
        <w:rPr>
          <w:b/>
          <w:bCs/>
        </w:rPr>
        <w:t>:</w:t>
      </w:r>
    </w:p>
    <w:tbl>
      <w:tblPr>
        <w:tblStyle w:val="Tabelamrea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3260"/>
        <w:gridCol w:w="2693"/>
      </w:tblGrid>
      <w:tr w:rsidR="00F17394" w:rsidRPr="00A86F65" w14:paraId="566A4244" w14:textId="77777777" w:rsidTr="000B2F5B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BDB4D" w14:textId="77777777" w:rsidR="00F17394" w:rsidRPr="00A86F65" w:rsidRDefault="00F17394" w:rsidP="00CA044B">
            <w:pPr>
              <w:spacing w:after="160" w:line="259" w:lineRule="auto"/>
            </w:pPr>
            <w:r w:rsidRPr="00A86F65">
              <w:t>Etno banda Poseben gušt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8DA15" w14:textId="77777777" w:rsidR="00F17394" w:rsidRPr="00A86F65" w:rsidRDefault="00F17394" w:rsidP="00CA044B">
            <w:pPr>
              <w:spacing w:after="160" w:line="259" w:lineRule="auto"/>
            </w:pPr>
            <w:r w:rsidRPr="00A86F65">
              <w:t>nastop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351E9" w14:textId="1F3D5C76" w:rsidR="00F17394" w:rsidRPr="00A86F65" w:rsidRDefault="00AD69FA" w:rsidP="000B2F5B">
            <w:pPr>
              <w:spacing w:after="160" w:line="259" w:lineRule="auto"/>
              <w:jc w:val="center"/>
            </w:pPr>
            <w:r w:rsidRPr="00A86F65">
              <w:t>1.450,00</w:t>
            </w:r>
            <w:r w:rsidR="00F17394" w:rsidRPr="00A86F65">
              <w:t xml:space="preserve"> €</w:t>
            </w:r>
          </w:p>
        </w:tc>
      </w:tr>
      <w:tr w:rsidR="00F17394" w:rsidRPr="00A86F65" w14:paraId="44785BDD" w14:textId="77777777" w:rsidTr="000B2F5B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D16D3" w14:textId="0493067D" w:rsidR="00F17394" w:rsidRPr="00A86F65" w:rsidRDefault="00F17394" w:rsidP="00CA044B">
            <w:pPr>
              <w:spacing w:after="160" w:line="259" w:lineRule="auto"/>
            </w:pPr>
            <w:r w:rsidRPr="00A86F65">
              <w:t>A-media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17A9C" w14:textId="583BE823" w:rsidR="00F17394" w:rsidRPr="00A86F65" w:rsidRDefault="00C6231D" w:rsidP="00CA044B">
            <w:pPr>
              <w:spacing w:after="160" w:line="259" w:lineRule="auto"/>
            </w:pPr>
            <w:r w:rsidRPr="00A86F65">
              <w:t>t</w:t>
            </w:r>
            <w:r w:rsidR="00F17394" w:rsidRPr="00A86F65">
              <w:t>isk plakatov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9AA55" w14:textId="3005B557" w:rsidR="00F17394" w:rsidRPr="00A86F65" w:rsidRDefault="00F17394" w:rsidP="000B2F5B">
            <w:pPr>
              <w:spacing w:after="160" w:line="259" w:lineRule="auto"/>
              <w:jc w:val="center"/>
            </w:pPr>
            <w:r w:rsidRPr="00A86F65">
              <w:t>273,28 €</w:t>
            </w:r>
          </w:p>
        </w:tc>
      </w:tr>
      <w:tr w:rsidR="00F17394" w:rsidRPr="00A86F65" w14:paraId="3BAA1A6A" w14:textId="77777777" w:rsidTr="000B2F5B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91715" w14:textId="53E5A398" w:rsidR="00F17394" w:rsidRPr="00A86F65" w:rsidRDefault="0068727B" w:rsidP="00CA044B">
            <w:pPr>
              <w:spacing w:after="160" w:line="259" w:lineRule="auto"/>
            </w:pPr>
            <w:r w:rsidRPr="00A86F65">
              <w:t>Luka Purgar s.p.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76CC0" w14:textId="59B998F2" w:rsidR="00F17394" w:rsidRPr="00A86F65" w:rsidRDefault="0068727B" w:rsidP="00CA044B">
            <w:pPr>
              <w:spacing w:after="160" w:line="259" w:lineRule="auto"/>
            </w:pPr>
            <w:r w:rsidRPr="00A86F65">
              <w:t>Izdelava grafične podobe in promo materiala martinovanje MONG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3DFB5" w14:textId="660A9EBF" w:rsidR="00F17394" w:rsidRPr="00A86F65" w:rsidRDefault="0068727B" w:rsidP="000B2F5B">
            <w:pPr>
              <w:spacing w:after="160" w:line="259" w:lineRule="auto"/>
              <w:jc w:val="center"/>
            </w:pPr>
            <w:r w:rsidRPr="00A86F65">
              <w:t>700,00 €</w:t>
            </w:r>
          </w:p>
        </w:tc>
      </w:tr>
      <w:tr w:rsidR="00F17394" w:rsidRPr="00A86F65" w14:paraId="2B17D3DB" w14:textId="77777777" w:rsidTr="000B2F5B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4317F" w14:textId="1E391DE3" w:rsidR="00F17394" w:rsidRPr="00A86F65" w:rsidRDefault="00D7696C" w:rsidP="00CA044B">
            <w:pPr>
              <w:spacing w:after="160" w:line="259" w:lineRule="auto"/>
            </w:pPr>
            <w:r w:rsidRPr="00A86F65">
              <w:lastRenderedPageBreak/>
              <w:t>Luka Purgar s.p.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B9893" w14:textId="42F96C71" w:rsidR="00F17394" w:rsidRPr="00A86F65" w:rsidRDefault="00F83576" w:rsidP="00CA044B">
            <w:pPr>
              <w:spacing w:after="160" w:line="259" w:lineRule="auto"/>
            </w:pPr>
            <w:r w:rsidRPr="00A86F65">
              <w:t xml:space="preserve">Oblikovanje plakata in pasice za potrebe </w:t>
            </w:r>
            <w:r w:rsidR="00AF2720" w:rsidRPr="00A86F65">
              <w:t>FB oglaševanja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90529" w14:textId="407904EA" w:rsidR="00F17394" w:rsidRPr="00A86F65" w:rsidRDefault="00AF2720" w:rsidP="000B2F5B">
            <w:pPr>
              <w:spacing w:after="160" w:line="259" w:lineRule="auto"/>
              <w:jc w:val="center"/>
            </w:pPr>
            <w:r w:rsidRPr="00A86F65">
              <w:t>340,00 €</w:t>
            </w:r>
          </w:p>
        </w:tc>
      </w:tr>
      <w:tr w:rsidR="00EE4CDA" w:rsidRPr="00A86F65" w14:paraId="1A17A73B" w14:textId="77777777" w:rsidTr="000B2F5B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EA7F1" w14:textId="1E905C65" w:rsidR="00EE4CDA" w:rsidRPr="00A86F65" w:rsidRDefault="00D941E1" w:rsidP="00CA044B">
            <w:r w:rsidRPr="00A86F65">
              <w:t>Mestne storitve d.o.o.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D9BA5" w14:textId="54584C33" w:rsidR="00EE4CDA" w:rsidRPr="00A86F65" w:rsidRDefault="00EE4CDA" w:rsidP="00CA044B">
            <w:r w:rsidRPr="00A86F65">
              <w:t>Plakatiranje na območju MONG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8F3A5" w14:textId="0F8DD1BA" w:rsidR="00EE4CDA" w:rsidRPr="00A86F65" w:rsidRDefault="00D941E1" w:rsidP="000B2F5B">
            <w:pPr>
              <w:jc w:val="center"/>
            </w:pPr>
            <w:r w:rsidRPr="00A86F65">
              <w:t>1.015,04 €</w:t>
            </w:r>
          </w:p>
        </w:tc>
      </w:tr>
      <w:tr w:rsidR="002A62E6" w:rsidRPr="00A86F65" w14:paraId="169F9C94" w14:textId="77777777" w:rsidTr="000B2F5B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2EF50" w14:textId="244908AA" w:rsidR="002A62E6" w:rsidRPr="00A86F65" w:rsidRDefault="002A62E6" w:rsidP="00CA044B">
            <w:r w:rsidRPr="00A86F65">
              <w:t>Mestne storitve d.o.o.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39260" w14:textId="792E1B0A" w:rsidR="002A62E6" w:rsidRPr="00A86F65" w:rsidRDefault="002A62E6" w:rsidP="00CA044B">
            <w:r w:rsidRPr="00A86F65">
              <w:t xml:space="preserve">Stroški izdaje dovoljenja </w:t>
            </w:r>
            <w:r w:rsidR="00216CC1" w:rsidRPr="00A86F65">
              <w:t>in odškodnina za uporabo javne površine prireditve »Martinova kuhna«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33D32" w14:textId="536EF115" w:rsidR="002A62E6" w:rsidRPr="00A86F65" w:rsidRDefault="002A62E6" w:rsidP="000B2F5B">
            <w:pPr>
              <w:jc w:val="center"/>
            </w:pPr>
            <w:r w:rsidRPr="00A86F65">
              <w:t>56,43 €</w:t>
            </w:r>
          </w:p>
        </w:tc>
      </w:tr>
      <w:tr w:rsidR="00F17394" w:rsidRPr="00A86F65" w14:paraId="4567D07A" w14:textId="77777777" w:rsidTr="000B2F5B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C2749DB" w14:textId="2285FF5B" w:rsidR="00F17394" w:rsidRPr="00A86F65" w:rsidRDefault="00D7696C" w:rsidP="00CA044B">
            <w:pPr>
              <w:spacing w:after="160" w:line="259" w:lineRule="auto"/>
            </w:pPr>
            <w:r w:rsidRPr="00A86F65">
              <w:t>Patricija Furlan s.p.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A493379" w14:textId="71F7A78D" w:rsidR="00F17394" w:rsidRPr="00A86F65" w:rsidRDefault="001A3151" w:rsidP="00CA044B">
            <w:pPr>
              <w:spacing w:after="160" w:line="259" w:lineRule="auto"/>
            </w:pPr>
            <w:r w:rsidRPr="00A86F65">
              <w:t>Pogostitev v Peklu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548656E" w14:textId="7DBE64B0" w:rsidR="00F17394" w:rsidRPr="00A86F65" w:rsidRDefault="001A3151" w:rsidP="000B2F5B">
            <w:pPr>
              <w:spacing w:after="160" w:line="259" w:lineRule="auto"/>
              <w:jc w:val="center"/>
            </w:pPr>
            <w:r w:rsidRPr="00A86F65">
              <w:t>650,00 €</w:t>
            </w:r>
          </w:p>
        </w:tc>
      </w:tr>
      <w:tr w:rsidR="00F17394" w:rsidRPr="00A86F65" w14:paraId="579C688A" w14:textId="77777777" w:rsidTr="000B2F5B">
        <w:trPr>
          <w:trHeight w:val="420"/>
        </w:trPr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5B5E8" w14:textId="77777777" w:rsidR="00F17394" w:rsidRPr="00A86F65" w:rsidRDefault="00F17394" w:rsidP="00CA044B">
            <w:pPr>
              <w:spacing w:after="160" w:line="259" w:lineRule="auto"/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05A19" w14:textId="77777777" w:rsidR="00F17394" w:rsidRPr="00A86F65" w:rsidRDefault="00F17394" w:rsidP="00CA044B">
            <w:pPr>
              <w:spacing w:after="160" w:line="259" w:lineRule="auto"/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D6299" w14:textId="6922AAFF" w:rsidR="00F17394" w:rsidRPr="00A86F65" w:rsidRDefault="005C7829" w:rsidP="000B2F5B">
            <w:pPr>
              <w:spacing w:after="160" w:line="259" w:lineRule="auto"/>
              <w:jc w:val="center"/>
              <w:rPr>
                <w:b/>
                <w:bCs/>
              </w:rPr>
            </w:pPr>
            <w:r w:rsidRPr="00A86F65">
              <w:rPr>
                <w:b/>
                <w:bCs/>
              </w:rPr>
              <w:t>4.</w:t>
            </w:r>
            <w:r w:rsidR="00D229D4" w:rsidRPr="00A86F65">
              <w:rPr>
                <w:b/>
                <w:bCs/>
              </w:rPr>
              <w:t xml:space="preserve">484,75 </w:t>
            </w:r>
            <w:r w:rsidR="00D229D4" w:rsidRPr="00A86F65">
              <w:t>€</w:t>
            </w:r>
          </w:p>
        </w:tc>
      </w:tr>
    </w:tbl>
    <w:p w14:paraId="0D2BA53E" w14:textId="77777777" w:rsidR="000479D1" w:rsidRPr="00A86F65" w:rsidRDefault="000479D1" w:rsidP="00832221">
      <w:pPr>
        <w:rPr>
          <w:b/>
          <w:bCs/>
        </w:rPr>
      </w:pPr>
    </w:p>
    <w:p w14:paraId="56723AD8" w14:textId="28F6F67C" w:rsidR="00FE78DC" w:rsidRPr="00A86F65" w:rsidRDefault="00FE78DC" w:rsidP="00832221">
      <w:pPr>
        <w:rPr>
          <w:b/>
          <w:bCs/>
          <w:color w:val="EE0000"/>
          <w:u w:val="single"/>
        </w:rPr>
      </w:pPr>
      <w:r w:rsidRPr="00A86F65">
        <w:rPr>
          <w:b/>
          <w:bCs/>
          <w:color w:val="EE0000"/>
          <w:u w:val="single"/>
        </w:rPr>
        <w:t>Leto 2024</w:t>
      </w:r>
      <w:r w:rsidR="003914AF" w:rsidRPr="00A86F65">
        <w:rPr>
          <w:b/>
          <w:bCs/>
          <w:color w:val="EE0000"/>
          <w:u w:val="single"/>
        </w:rPr>
        <w:t>:</w:t>
      </w:r>
    </w:p>
    <w:p w14:paraId="3A4D74DC" w14:textId="467CC7FA" w:rsidR="00832221" w:rsidRPr="00A86F65" w:rsidRDefault="00320D75" w:rsidP="00832221">
      <w:pPr>
        <w:rPr>
          <w:u w:val="single"/>
        </w:rPr>
      </w:pPr>
      <w:r w:rsidRPr="00A86F65">
        <w:t xml:space="preserve">Organizacija martinovanja na podeželju in v mestu je bila </w:t>
      </w:r>
      <w:r w:rsidR="003A5103" w:rsidRPr="00A86F65">
        <w:t xml:space="preserve">v letu 2024 </w:t>
      </w:r>
      <w:r w:rsidRPr="00A86F65">
        <w:t xml:space="preserve">predana </w:t>
      </w:r>
      <w:r w:rsidR="00832221" w:rsidRPr="00A86F65">
        <w:t>Javn</w:t>
      </w:r>
      <w:r w:rsidR="003A5103" w:rsidRPr="00A86F65">
        <w:t xml:space="preserve">emu </w:t>
      </w:r>
      <w:r w:rsidR="00832221" w:rsidRPr="00A86F65">
        <w:t>zavod</w:t>
      </w:r>
      <w:r w:rsidR="003A5103" w:rsidRPr="00A86F65">
        <w:t>u</w:t>
      </w:r>
      <w:r w:rsidR="00832221" w:rsidRPr="00A86F65">
        <w:t xml:space="preserve"> za turizem Nova Gorica in Vipavska dolina</w:t>
      </w:r>
      <w:r w:rsidR="003A5103" w:rsidRPr="00A86F65">
        <w:t>.</w:t>
      </w:r>
      <w:r w:rsidR="002D4539" w:rsidRPr="00A86F65">
        <w:t xml:space="preserve"> </w:t>
      </w:r>
    </w:p>
    <w:p w14:paraId="09013EA8" w14:textId="1F214FB4" w:rsidR="00B2380D" w:rsidRPr="00A86F65" w:rsidRDefault="00832221" w:rsidP="00832221">
      <w:r w:rsidRPr="00A86F65">
        <w:t xml:space="preserve">Za </w:t>
      </w:r>
      <w:r w:rsidR="002D4539" w:rsidRPr="00A86F65">
        <w:t>martinovanje na podeželju</w:t>
      </w:r>
      <w:r w:rsidRPr="00A86F65">
        <w:t>, ki se je odvil</w:t>
      </w:r>
      <w:r w:rsidR="002D4539" w:rsidRPr="00A86F65">
        <w:t>o</w:t>
      </w:r>
      <w:r w:rsidRPr="00A86F65">
        <w:t xml:space="preserve"> 16. novembra 202</w:t>
      </w:r>
      <w:r w:rsidR="003A5103" w:rsidRPr="00A86F65">
        <w:t>4</w:t>
      </w:r>
      <w:r w:rsidR="002D4539" w:rsidRPr="00A86F65">
        <w:t>,</w:t>
      </w:r>
      <w:r w:rsidRPr="00A86F65">
        <w:t xml:space="preserve"> v Zaloščah in Dornberku</w:t>
      </w:r>
      <w:r w:rsidR="002D4539" w:rsidRPr="00A86F65">
        <w:t>,</w:t>
      </w:r>
      <w:r w:rsidRPr="00A86F65">
        <w:t xml:space="preserve"> je bil koordinator takratni podžupan </w:t>
      </w:r>
      <w:r w:rsidR="000479D1" w:rsidRPr="00A86F65">
        <w:t>MONG</w:t>
      </w:r>
      <w:r w:rsidR="00643A36" w:rsidRPr="00A86F65">
        <w:t>, g.</w:t>
      </w:r>
      <w:r w:rsidR="000479D1" w:rsidRPr="00A86F65">
        <w:t xml:space="preserve"> </w:t>
      </w:r>
      <w:r w:rsidRPr="00A86F65">
        <w:t>Anton Harej. Javni zavod za turizem je za omenjeni dogodek imel predvidenih 3.000 EUR ter dodatno pomoč pri oglaševanju.</w:t>
      </w:r>
      <w:r w:rsidR="00FD68B0" w:rsidRPr="00A86F65">
        <w:t xml:space="preserve"> V </w:t>
      </w:r>
      <w:r w:rsidR="00001854" w:rsidRPr="00A86F65">
        <w:t xml:space="preserve">omenjeni </w:t>
      </w:r>
      <w:r w:rsidR="00FD68B0" w:rsidRPr="00A86F65">
        <w:t>dogod</w:t>
      </w:r>
      <w:r w:rsidR="00001854" w:rsidRPr="00A86F65">
        <w:t>ek</w:t>
      </w:r>
      <w:r w:rsidR="00FD68B0" w:rsidRPr="00A86F65">
        <w:t xml:space="preserve"> je bila vključena tudi </w:t>
      </w:r>
      <w:r w:rsidRPr="00A86F65">
        <w:t xml:space="preserve">RRA </w:t>
      </w:r>
      <w:r w:rsidR="00FD68B0" w:rsidRPr="00A86F65">
        <w:t>Severne Primorske</w:t>
      </w:r>
      <w:r w:rsidR="00A86F65">
        <w:t>,</w:t>
      </w:r>
      <w:r w:rsidR="00FD68B0" w:rsidRPr="00A86F65">
        <w:t xml:space="preserve"> in sicer v sklopu </w:t>
      </w:r>
      <w:r w:rsidR="003914AF" w:rsidRPr="00A86F65">
        <w:t>projekta Enotour</w:t>
      </w:r>
      <w:r w:rsidR="00001854" w:rsidRPr="00A86F65">
        <w:t xml:space="preserve"> 2</w:t>
      </w:r>
      <w:r w:rsidR="003914AF" w:rsidRPr="00A86F65">
        <w:t>, L</w:t>
      </w:r>
      <w:r w:rsidRPr="00A86F65">
        <w:t>AS v objemu sonca</w:t>
      </w:r>
      <w:r w:rsidR="009C7B6B" w:rsidRPr="00A86F65">
        <w:t>, ki je de</w:t>
      </w:r>
      <w:r w:rsidR="0050573B" w:rsidRPr="00A86F65">
        <w:t xml:space="preserve">lno sofinancirala dogodek. </w:t>
      </w:r>
      <w:r w:rsidR="00E207F1" w:rsidRPr="00A86F65">
        <w:t xml:space="preserve"> </w:t>
      </w:r>
    </w:p>
    <w:p w14:paraId="1902B10F" w14:textId="197A0F47" w:rsidR="00B2380D" w:rsidRPr="00A86F65" w:rsidRDefault="00B2380D" w:rsidP="00B2380D">
      <w:r w:rsidRPr="00A86F65">
        <w:t xml:space="preserve">Program dogodka na povezavi </w:t>
      </w:r>
      <w:hyperlink r:id="rId5" w:history="1">
        <w:r w:rsidR="007B71E3" w:rsidRPr="00A86F65">
          <w:rPr>
            <w:rStyle w:val="Hiperpovezava"/>
          </w:rPr>
          <w:t>https://dogodki.turizem-novagorica-vipavskadolina.si/sl/koledar-dogodkov/2024-11-16/2024102615490276/vinski-hrami-vipavske-doline:-martinovanje-na-podezelju/</w:t>
        </w:r>
      </w:hyperlink>
      <w:r w:rsidRPr="00A86F65">
        <w:t xml:space="preserve"> :</w:t>
      </w:r>
    </w:p>
    <w:p w14:paraId="192E0E3E" w14:textId="77777777" w:rsidR="007B71E3" w:rsidRPr="00A86F65" w:rsidRDefault="007B71E3" w:rsidP="007B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86F65">
        <w:rPr>
          <w:b/>
          <w:bCs/>
        </w:rPr>
        <w:t>Vinski hrami Vipavske doline: Martinovanje na podeželju</w:t>
      </w:r>
    </w:p>
    <w:p w14:paraId="03822028" w14:textId="3B6E9BDA" w:rsidR="007B71E3" w:rsidRPr="00A86F65" w:rsidRDefault="007B71E3" w:rsidP="007B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86F65">
        <w:rPr>
          <w:b/>
          <w:bCs/>
        </w:rPr>
        <w:t>Dornberk</w:t>
      </w:r>
      <w:r w:rsidR="00D03851" w:rsidRPr="00A86F65">
        <w:rPr>
          <w:b/>
          <w:bCs/>
        </w:rPr>
        <w:t xml:space="preserve"> in </w:t>
      </w:r>
      <w:r w:rsidRPr="00A86F65">
        <w:rPr>
          <w:b/>
          <w:bCs/>
        </w:rPr>
        <w:t>Zalošče</w:t>
      </w:r>
      <w:r w:rsidR="00D03851" w:rsidRPr="00A86F65">
        <w:rPr>
          <w:b/>
          <w:bCs/>
        </w:rPr>
        <w:t>,</w:t>
      </w:r>
      <w:r w:rsidRPr="00A86F65">
        <w:rPr>
          <w:b/>
          <w:bCs/>
        </w:rPr>
        <w:t> 16.11.2024</w:t>
      </w:r>
    </w:p>
    <w:p w14:paraId="6A28C73B" w14:textId="77777777" w:rsidR="007B71E3" w:rsidRPr="00A86F65" w:rsidRDefault="007B71E3" w:rsidP="007B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86F65">
        <w:t>Degustacija mladih vin in domačih dobrot po kmetijah:</w:t>
      </w:r>
      <w:r w:rsidRPr="00A86F65">
        <w:br/>
        <w:t>– 17.00 Turistična kmetija Pavlica, Dornberk; nastopa Godalni kvartet PRIMA</w:t>
      </w:r>
      <w:r w:rsidRPr="00A86F65">
        <w:br/>
        <w:t>– 18.30: Izletniška kmetija Baša, Dornberk</w:t>
      </w:r>
      <w:r w:rsidRPr="00A86F65">
        <w:br/>
        <w:t>– 20.00: Rikotova kmetija, Zalošče; nastopajo skupina Ikebana, MPZ Dornberški fantje, MPZ Napev Batuje</w:t>
      </w:r>
    </w:p>
    <w:p w14:paraId="39702376" w14:textId="77777777" w:rsidR="007B71E3" w:rsidRPr="00A86F65" w:rsidRDefault="007B71E3" w:rsidP="007B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86F65">
        <w:t>Da bo martinovanje povsem varno, bo organiziran prevoz na relaciji Nova Gorica–Dornberk–Nova Gorica. Za rezervacijo sedeža pišite na </w:t>
      </w:r>
      <w:hyperlink r:id="rId6" w:history="1">
        <w:r w:rsidRPr="00A86F65">
          <w:rPr>
            <w:rStyle w:val="Hiperpovezava"/>
          </w:rPr>
          <w:t>nova-gorica@vipavskadolina.si</w:t>
        </w:r>
      </w:hyperlink>
      <w:r w:rsidRPr="00A86F65">
        <w:t> ali pokličite na 05 330 46 00.</w:t>
      </w:r>
    </w:p>
    <w:p w14:paraId="1E0D3777" w14:textId="77777777" w:rsidR="007B71E3" w:rsidRPr="00A86F65" w:rsidRDefault="007B71E3" w:rsidP="007B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86F65">
        <w:t>Dopoldanski program: spoznavanje lokalnih vinsko-kulinaričnih posebnosti in kulturne dediščine v okviru promocije projekta ENOTOUR 2 – EU projekt Moj projekt 2024.</w:t>
      </w:r>
    </w:p>
    <w:p w14:paraId="7C15A2A6" w14:textId="77777777" w:rsidR="007B71E3" w:rsidRPr="00A86F65" w:rsidRDefault="007B71E3" w:rsidP="007B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86F65">
        <w:t>11.00 – obisk in dobrodošlica pri Hiši aleksandrink v Prvačini</w:t>
      </w:r>
      <w:r w:rsidRPr="00A86F65">
        <w:br/>
        <w:t>12.30 – pohod do vinograda, ogled teras, vinogradniška malica</w:t>
      </w:r>
      <w:r w:rsidRPr="00A86F65">
        <w:br/>
        <w:t>14.30 – ogled gradu Rihemberk</w:t>
      </w:r>
      <w:r w:rsidRPr="00A86F65">
        <w:br/>
        <w:t>16.00 – degustacija vin Konzorcija vinarjev Vipavske doline na Kmetiji Colja v Steskah</w:t>
      </w:r>
    </w:p>
    <w:p w14:paraId="432A4495" w14:textId="4D082011" w:rsidR="00B2380D" w:rsidRPr="00A86F65" w:rsidRDefault="007B71E3" w:rsidP="007B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86F65">
        <w:t>Prijave za dopoldanski del so obvezne na e-naslov </w:t>
      </w:r>
      <w:hyperlink r:id="rId7" w:history="1">
        <w:r w:rsidRPr="00A86F65">
          <w:rPr>
            <w:rStyle w:val="Hiperpovezava"/>
          </w:rPr>
          <w:t>nova-gorica@vipavskadolina.si</w:t>
        </w:r>
      </w:hyperlink>
      <w:r w:rsidRPr="00A86F65">
        <w:t> do zapolnitve mest.</w:t>
      </w:r>
    </w:p>
    <w:p w14:paraId="14E3A3ED" w14:textId="52EE4D70" w:rsidR="00885A68" w:rsidRPr="00A86F65" w:rsidRDefault="00885A68" w:rsidP="00885A68">
      <w:pPr>
        <w:rPr>
          <w:b/>
          <w:bCs/>
        </w:rPr>
      </w:pPr>
      <w:r w:rsidRPr="00A86F65">
        <w:rPr>
          <w:b/>
          <w:bCs/>
        </w:rPr>
        <w:lastRenderedPageBreak/>
        <w:t>STROŠKI MARTINOVANJA NA PODEŽELJU, 16. 11. 2024, ki jih je krila JZT NG IN VD:</w:t>
      </w:r>
    </w:p>
    <w:tbl>
      <w:tblPr>
        <w:tblStyle w:val="Tabelamrea"/>
        <w:tblW w:w="9356" w:type="dxa"/>
        <w:tblInd w:w="-147" w:type="dxa"/>
        <w:tblLook w:val="04A0" w:firstRow="1" w:lastRow="0" w:firstColumn="1" w:lastColumn="0" w:noHBand="0" w:noVBand="1"/>
      </w:tblPr>
      <w:tblGrid>
        <w:gridCol w:w="3828"/>
        <w:gridCol w:w="2835"/>
        <w:gridCol w:w="2693"/>
      </w:tblGrid>
      <w:tr w:rsidR="00832221" w:rsidRPr="00A86F65" w14:paraId="5F22CC69" w14:textId="77777777" w:rsidTr="00643A36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43690" w14:textId="77777777" w:rsidR="00832221" w:rsidRPr="00A86F65" w:rsidRDefault="00832221" w:rsidP="00832221">
            <w:pPr>
              <w:spacing w:after="160" w:line="259" w:lineRule="auto"/>
              <w:rPr>
                <w:b/>
                <w:bCs/>
              </w:rPr>
            </w:pPr>
            <w:r w:rsidRPr="00A86F65">
              <w:rPr>
                <w:b/>
                <w:bCs/>
              </w:rPr>
              <w:t xml:space="preserve">PONUDNIK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E03FD" w14:textId="77777777" w:rsidR="00832221" w:rsidRPr="00A86F65" w:rsidRDefault="00832221" w:rsidP="00832221">
            <w:pPr>
              <w:spacing w:after="160" w:line="259" w:lineRule="auto"/>
              <w:rPr>
                <w:b/>
                <w:bCs/>
              </w:rPr>
            </w:pPr>
            <w:r w:rsidRPr="00A86F65">
              <w:rPr>
                <w:b/>
                <w:bCs/>
              </w:rPr>
              <w:t>OPIS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BB3F0" w14:textId="77777777" w:rsidR="00832221" w:rsidRPr="00A86F65" w:rsidRDefault="00832221" w:rsidP="00832221">
            <w:pPr>
              <w:spacing w:after="160" w:line="259" w:lineRule="auto"/>
              <w:rPr>
                <w:b/>
                <w:bCs/>
              </w:rPr>
            </w:pPr>
            <w:r w:rsidRPr="00A86F65">
              <w:rPr>
                <w:b/>
                <w:bCs/>
              </w:rPr>
              <w:t>ZNESEK (z DDV)</w:t>
            </w:r>
          </w:p>
        </w:tc>
      </w:tr>
      <w:tr w:rsidR="00832221" w:rsidRPr="00A86F65" w14:paraId="79AF1737" w14:textId="77777777" w:rsidTr="00643A36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8CA42" w14:textId="77777777" w:rsidR="00832221" w:rsidRPr="00A86F65" w:rsidRDefault="00832221" w:rsidP="00832221">
            <w:pPr>
              <w:spacing w:after="160" w:line="259" w:lineRule="auto"/>
            </w:pPr>
            <w:r w:rsidRPr="00A86F65">
              <w:t xml:space="preserve">ZA HEC- Društvo za razvijanje idej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43851" w14:textId="055A27B1" w:rsidR="00832221" w:rsidRPr="00A86F65" w:rsidRDefault="00832221" w:rsidP="00832221">
            <w:pPr>
              <w:spacing w:after="160" w:line="259" w:lineRule="auto"/>
            </w:pPr>
            <w:r w:rsidRPr="00A86F65">
              <w:t xml:space="preserve">nastop </w:t>
            </w:r>
            <w:r w:rsidR="00035DC3" w:rsidRPr="00A86F65">
              <w:t>Ikebana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15C4F" w14:textId="77777777" w:rsidR="00832221" w:rsidRPr="00A86F65" w:rsidRDefault="00832221" w:rsidP="00414230">
            <w:pPr>
              <w:spacing w:after="160" w:line="259" w:lineRule="auto"/>
              <w:jc w:val="center"/>
            </w:pPr>
            <w:r w:rsidRPr="00A86F65">
              <w:t>950,00 €</w:t>
            </w:r>
          </w:p>
        </w:tc>
      </w:tr>
      <w:tr w:rsidR="00832221" w:rsidRPr="00A86F65" w14:paraId="4AB0D00E" w14:textId="77777777" w:rsidTr="00643A36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A94FC" w14:textId="77777777" w:rsidR="00832221" w:rsidRPr="00A86F65" w:rsidRDefault="00832221" w:rsidP="00832221">
            <w:pPr>
              <w:spacing w:after="160" w:line="259" w:lineRule="auto"/>
            </w:pPr>
            <w:r w:rsidRPr="00A86F65">
              <w:t>Romina Šinigoj s.p.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27911" w14:textId="77777777" w:rsidR="00832221" w:rsidRPr="00A86F65" w:rsidRDefault="00832221" w:rsidP="00832221">
            <w:pPr>
              <w:spacing w:after="160" w:line="259" w:lineRule="auto"/>
            </w:pPr>
            <w:r w:rsidRPr="00A86F65">
              <w:t>pomoč pri organizaciji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B3BC6" w14:textId="77777777" w:rsidR="00832221" w:rsidRPr="00A86F65" w:rsidRDefault="00832221" w:rsidP="00414230">
            <w:pPr>
              <w:spacing w:after="160" w:line="259" w:lineRule="auto"/>
              <w:jc w:val="center"/>
            </w:pPr>
            <w:r w:rsidRPr="00A86F65">
              <w:t>150,00 €</w:t>
            </w:r>
          </w:p>
        </w:tc>
      </w:tr>
      <w:tr w:rsidR="00832221" w:rsidRPr="00A86F65" w14:paraId="108E0B99" w14:textId="77777777" w:rsidTr="00643A36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7A9B" w14:textId="77777777" w:rsidR="00832221" w:rsidRPr="00A86F65" w:rsidRDefault="00832221" w:rsidP="00832221">
            <w:pPr>
              <w:spacing w:after="160" w:line="259" w:lineRule="auto"/>
            </w:pPr>
            <w:r w:rsidRPr="00A86F65">
              <w:t>Misenplas d.o.o.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E7E21" w14:textId="77777777" w:rsidR="00832221" w:rsidRPr="00A86F65" w:rsidRDefault="00832221" w:rsidP="00832221">
            <w:pPr>
              <w:spacing w:after="160" w:line="259" w:lineRule="auto"/>
            </w:pPr>
            <w:r w:rsidRPr="00A86F65">
              <w:t>pogostitev na dogodku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9682B" w14:textId="77777777" w:rsidR="00832221" w:rsidRPr="00A86F65" w:rsidRDefault="00832221" w:rsidP="00414230">
            <w:pPr>
              <w:spacing w:after="160" w:line="259" w:lineRule="auto"/>
              <w:jc w:val="center"/>
            </w:pPr>
            <w:r w:rsidRPr="00A86F65">
              <w:t>660,00 €</w:t>
            </w:r>
          </w:p>
        </w:tc>
      </w:tr>
      <w:tr w:rsidR="00832221" w:rsidRPr="00A86F65" w14:paraId="4FEE564A" w14:textId="77777777" w:rsidTr="00643A36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F951F" w14:textId="77777777" w:rsidR="00832221" w:rsidRPr="00A86F65" w:rsidRDefault="00832221" w:rsidP="00832221">
            <w:pPr>
              <w:spacing w:after="160" w:line="259" w:lineRule="auto"/>
            </w:pPr>
            <w:r w:rsidRPr="00A86F65">
              <w:t>Glasbeno društvo NOVA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88400" w14:textId="77777777" w:rsidR="00832221" w:rsidRPr="00A86F65" w:rsidRDefault="00832221" w:rsidP="00832221">
            <w:pPr>
              <w:spacing w:after="160" w:line="259" w:lineRule="auto"/>
            </w:pPr>
            <w:r w:rsidRPr="00A86F65">
              <w:t>nastop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E79D" w14:textId="77777777" w:rsidR="00832221" w:rsidRPr="00A86F65" w:rsidRDefault="00832221" w:rsidP="00414230">
            <w:pPr>
              <w:spacing w:after="160" w:line="259" w:lineRule="auto"/>
              <w:jc w:val="center"/>
            </w:pPr>
            <w:r w:rsidRPr="00A86F65">
              <w:t>273,75 €</w:t>
            </w:r>
          </w:p>
        </w:tc>
      </w:tr>
      <w:tr w:rsidR="00832221" w:rsidRPr="00A86F65" w14:paraId="47BC50DD" w14:textId="77777777" w:rsidTr="00643A36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13013" w14:textId="77777777" w:rsidR="00832221" w:rsidRPr="00A86F65" w:rsidRDefault="00832221" w:rsidP="00832221">
            <w:pPr>
              <w:spacing w:after="160" w:line="259" w:lineRule="auto"/>
            </w:pPr>
            <w:r w:rsidRPr="00A86F65">
              <w:t>Dušan Kovačič s.p.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DFE8D" w14:textId="77777777" w:rsidR="00832221" w:rsidRPr="00A86F65" w:rsidRDefault="00832221" w:rsidP="00832221">
            <w:pPr>
              <w:spacing w:after="160" w:line="259" w:lineRule="auto"/>
            </w:pPr>
            <w:r w:rsidRPr="00A86F65">
              <w:t>stojnice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B4328" w14:textId="77777777" w:rsidR="00832221" w:rsidRPr="00A86F65" w:rsidRDefault="00832221" w:rsidP="00414230">
            <w:pPr>
              <w:spacing w:after="160" w:line="259" w:lineRule="auto"/>
              <w:jc w:val="center"/>
            </w:pPr>
            <w:r w:rsidRPr="00A86F65">
              <w:t>244,00 €</w:t>
            </w:r>
          </w:p>
        </w:tc>
      </w:tr>
      <w:tr w:rsidR="00832221" w:rsidRPr="00A86F65" w14:paraId="7E3E4232" w14:textId="77777777" w:rsidTr="00643A36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70761" w14:textId="77777777" w:rsidR="00832221" w:rsidRPr="00A86F65" w:rsidRDefault="00832221" w:rsidP="00832221">
            <w:pPr>
              <w:spacing w:after="160" w:line="259" w:lineRule="auto"/>
            </w:pPr>
            <w:r w:rsidRPr="00A86F65">
              <w:t>Tadej Pavlica - d.d.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2C697" w14:textId="77777777" w:rsidR="00832221" w:rsidRPr="00A86F65" w:rsidRDefault="00832221" w:rsidP="00832221">
            <w:pPr>
              <w:spacing w:after="160" w:line="259" w:lineRule="auto"/>
            </w:pPr>
            <w:r w:rsidRPr="00A86F65">
              <w:t>ponudnik na stojnici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96B19" w14:textId="77777777" w:rsidR="00832221" w:rsidRPr="00A86F65" w:rsidRDefault="00832221" w:rsidP="00414230">
            <w:pPr>
              <w:spacing w:after="160" w:line="259" w:lineRule="auto"/>
              <w:jc w:val="center"/>
            </w:pPr>
            <w:r w:rsidRPr="00A86F65">
              <w:t>250,00 €</w:t>
            </w:r>
          </w:p>
        </w:tc>
      </w:tr>
      <w:tr w:rsidR="00832221" w:rsidRPr="00A86F65" w14:paraId="44DF60B1" w14:textId="77777777" w:rsidTr="00643A36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E6722" w14:textId="77777777" w:rsidR="00832221" w:rsidRPr="00A86F65" w:rsidRDefault="00832221" w:rsidP="00832221">
            <w:pPr>
              <w:spacing w:after="160" w:line="259" w:lineRule="auto"/>
            </w:pPr>
            <w:r w:rsidRPr="00A86F65">
              <w:t>KTD Osek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75DA4" w14:textId="77777777" w:rsidR="00832221" w:rsidRPr="00A86F65" w:rsidRDefault="00832221" w:rsidP="00832221">
            <w:pPr>
              <w:spacing w:after="160" w:line="259" w:lineRule="auto"/>
            </w:pPr>
            <w:r w:rsidRPr="00A86F65">
              <w:t>ponudnik na stojnici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031B2" w14:textId="77777777" w:rsidR="00832221" w:rsidRPr="00A86F65" w:rsidRDefault="00832221" w:rsidP="00414230">
            <w:pPr>
              <w:spacing w:after="160" w:line="259" w:lineRule="auto"/>
              <w:jc w:val="center"/>
            </w:pPr>
            <w:r w:rsidRPr="00A86F65">
              <w:t>250,00 €</w:t>
            </w:r>
          </w:p>
        </w:tc>
      </w:tr>
      <w:tr w:rsidR="00832221" w:rsidRPr="00A86F65" w14:paraId="0C7472F6" w14:textId="77777777" w:rsidTr="00643A36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88D36C6" w14:textId="77777777" w:rsidR="00832221" w:rsidRPr="00A86F65" w:rsidRDefault="00832221" w:rsidP="00832221">
            <w:pPr>
              <w:spacing w:after="160" w:line="259" w:lineRule="auto"/>
            </w:pPr>
            <w:r w:rsidRPr="00A86F65">
              <w:t>Danilo Baša - d.d.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C7B26EA" w14:textId="77777777" w:rsidR="00832221" w:rsidRPr="00A86F65" w:rsidRDefault="00832221" w:rsidP="00832221">
            <w:pPr>
              <w:spacing w:after="160" w:line="259" w:lineRule="auto"/>
            </w:pPr>
            <w:r w:rsidRPr="00A86F65">
              <w:t>ponudnik na stojnici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B90C8CE" w14:textId="77777777" w:rsidR="00832221" w:rsidRPr="00A86F65" w:rsidRDefault="00832221" w:rsidP="00414230">
            <w:pPr>
              <w:spacing w:after="160" w:line="259" w:lineRule="auto"/>
              <w:jc w:val="center"/>
            </w:pPr>
            <w:r w:rsidRPr="00A86F65">
              <w:t>273,75 €</w:t>
            </w:r>
          </w:p>
        </w:tc>
      </w:tr>
      <w:tr w:rsidR="00832221" w:rsidRPr="00A86F65" w14:paraId="13AA1CF9" w14:textId="77777777" w:rsidTr="00643A36">
        <w:trPr>
          <w:trHeight w:val="420"/>
        </w:trPr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AFEF6" w14:textId="77777777" w:rsidR="00832221" w:rsidRPr="00A86F65" w:rsidRDefault="00832221" w:rsidP="00832221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41B08" w14:textId="77777777" w:rsidR="00832221" w:rsidRPr="00A86F65" w:rsidRDefault="00832221" w:rsidP="00832221">
            <w:pPr>
              <w:spacing w:after="160" w:line="259" w:lineRule="auto"/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B874" w14:textId="77777777" w:rsidR="00832221" w:rsidRPr="00A86F65" w:rsidRDefault="00832221" w:rsidP="00414230">
            <w:pPr>
              <w:spacing w:after="160" w:line="259" w:lineRule="auto"/>
              <w:jc w:val="center"/>
              <w:rPr>
                <w:b/>
                <w:bCs/>
              </w:rPr>
            </w:pPr>
            <w:r w:rsidRPr="00A86F65">
              <w:rPr>
                <w:b/>
                <w:bCs/>
              </w:rPr>
              <w:t>3.051,50 €</w:t>
            </w:r>
          </w:p>
        </w:tc>
      </w:tr>
    </w:tbl>
    <w:p w14:paraId="6B2E62EF" w14:textId="26390085" w:rsidR="00533C28" w:rsidRPr="00A86F65" w:rsidRDefault="00533C28" w:rsidP="00832221"/>
    <w:p w14:paraId="57680EB2" w14:textId="3E9B5D96" w:rsidR="00832221" w:rsidRPr="00A86F65" w:rsidRDefault="00391B2D" w:rsidP="00832221">
      <w:r w:rsidRPr="00A86F65">
        <w:t xml:space="preserve">Zbrani so stroški martinovanja, ki jih je kril JZT. </w:t>
      </w:r>
      <w:r w:rsidR="00EB2C9A" w:rsidRPr="00A86F65">
        <w:t>Za  dodatne stroške</w:t>
      </w:r>
      <w:r w:rsidR="00832221" w:rsidRPr="00A86F65">
        <w:t xml:space="preserve"> in prihodk</w:t>
      </w:r>
      <w:r w:rsidR="00EB2C9A" w:rsidRPr="00A86F65">
        <w:t>e</w:t>
      </w:r>
      <w:r w:rsidR="00832221" w:rsidRPr="00A86F65">
        <w:t xml:space="preserve"> za navedeno martinovanje na podeželju 2024 ter poteka prireditve se je potrebno obrniti direktno na koordinatorja, </w:t>
      </w:r>
      <w:r w:rsidR="000A3F1E" w:rsidRPr="00A86F65">
        <w:t xml:space="preserve">g. </w:t>
      </w:r>
      <w:r w:rsidR="00832221" w:rsidRPr="00A86F65">
        <w:t xml:space="preserve">Antona Hareja. </w:t>
      </w:r>
    </w:p>
    <w:p w14:paraId="6B344720" w14:textId="77777777" w:rsidR="0054402F" w:rsidRPr="00A86F65" w:rsidRDefault="0054402F" w:rsidP="00832221">
      <w:pPr>
        <w:rPr>
          <w:b/>
          <w:bCs/>
        </w:rPr>
      </w:pPr>
    </w:p>
    <w:p w14:paraId="501575FA" w14:textId="77777777" w:rsidR="008F162F" w:rsidRPr="00A86F65" w:rsidRDefault="008F162F" w:rsidP="00832221"/>
    <w:p w14:paraId="3FC9EE7C" w14:textId="77777777" w:rsidR="00832221" w:rsidRPr="00A86F65" w:rsidRDefault="00832221" w:rsidP="00832221"/>
    <w:p w14:paraId="55EE69A8" w14:textId="77777777" w:rsidR="00235D99" w:rsidRDefault="00235D99"/>
    <w:sectPr w:rsidR="0023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41CA3"/>
    <w:multiLevelType w:val="multilevel"/>
    <w:tmpl w:val="9ADEB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66281"/>
    <w:multiLevelType w:val="multilevel"/>
    <w:tmpl w:val="69D8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028795">
    <w:abstractNumId w:val="1"/>
  </w:num>
  <w:num w:numId="2" w16cid:durableId="27722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D3"/>
    <w:rsid w:val="00001854"/>
    <w:rsid w:val="000160A9"/>
    <w:rsid w:val="00035DC3"/>
    <w:rsid w:val="000479D1"/>
    <w:rsid w:val="000567F3"/>
    <w:rsid w:val="000A3F1E"/>
    <w:rsid w:val="000B2F5B"/>
    <w:rsid w:val="000E42EC"/>
    <w:rsid w:val="001410A1"/>
    <w:rsid w:val="001A3151"/>
    <w:rsid w:val="001B3D17"/>
    <w:rsid w:val="0020071B"/>
    <w:rsid w:val="002063A2"/>
    <w:rsid w:val="00216CC1"/>
    <w:rsid w:val="00222322"/>
    <w:rsid w:val="0023036A"/>
    <w:rsid w:val="00235D99"/>
    <w:rsid w:val="00241882"/>
    <w:rsid w:val="0028348A"/>
    <w:rsid w:val="002A62E6"/>
    <w:rsid w:val="002B53BA"/>
    <w:rsid w:val="002B7506"/>
    <w:rsid w:val="002C7CCA"/>
    <w:rsid w:val="002D4539"/>
    <w:rsid w:val="002D730F"/>
    <w:rsid w:val="002E4E71"/>
    <w:rsid w:val="002E573D"/>
    <w:rsid w:val="002F68D5"/>
    <w:rsid w:val="00320D75"/>
    <w:rsid w:val="003444FD"/>
    <w:rsid w:val="003914AF"/>
    <w:rsid w:val="00391B2D"/>
    <w:rsid w:val="003A5103"/>
    <w:rsid w:val="003B62EA"/>
    <w:rsid w:val="00414230"/>
    <w:rsid w:val="0043464D"/>
    <w:rsid w:val="00461B39"/>
    <w:rsid w:val="00462C9C"/>
    <w:rsid w:val="004C6724"/>
    <w:rsid w:val="0050573B"/>
    <w:rsid w:val="00533C28"/>
    <w:rsid w:val="0054402F"/>
    <w:rsid w:val="005C4DA1"/>
    <w:rsid w:val="005C7829"/>
    <w:rsid w:val="005E340D"/>
    <w:rsid w:val="00643210"/>
    <w:rsid w:val="00643A36"/>
    <w:rsid w:val="00661084"/>
    <w:rsid w:val="00675188"/>
    <w:rsid w:val="0068727B"/>
    <w:rsid w:val="00692E79"/>
    <w:rsid w:val="006E1C52"/>
    <w:rsid w:val="00700F47"/>
    <w:rsid w:val="0079732D"/>
    <w:rsid w:val="007B6DC2"/>
    <w:rsid w:val="007B71E3"/>
    <w:rsid w:val="007D13DA"/>
    <w:rsid w:val="007D26C7"/>
    <w:rsid w:val="00832221"/>
    <w:rsid w:val="00885A68"/>
    <w:rsid w:val="008F162F"/>
    <w:rsid w:val="00917C59"/>
    <w:rsid w:val="009613AB"/>
    <w:rsid w:val="009C7B6B"/>
    <w:rsid w:val="00A035E4"/>
    <w:rsid w:val="00A16BEF"/>
    <w:rsid w:val="00A37057"/>
    <w:rsid w:val="00A43599"/>
    <w:rsid w:val="00A65783"/>
    <w:rsid w:val="00A71735"/>
    <w:rsid w:val="00A86F65"/>
    <w:rsid w:val="00AD69FA"/>
    <w:rsid w:val="00AD6F8F"/>
    <w:rsid w:val="00AF2720"/>
    <w:rsid w:val="00B15CBC"/>
    <w:rsid w:val="00B2380D"/>
    <w:rsid w:val="00B73AE1"/>
    <w:rsid w:val="00B740C0"/>
    <w:rsid w:val="00BE1BF8"/>
    <w:rsid w:val="00BE5B46"/>
    <w:rsid w:val="00BE750A"/>
    <w:rsid w:val="00BE7A5F"/>
    <w:rsid w:val="00BE7E86"/>
    <w:rsid w:val="00C1710D"/>
    <w:rsid w:val="00C20DDF"/>
    <w:rsid w:val="00C6231D"/>
    <w:rsid w:val="00C70AD9"/>
    <w:rsid w:val="00C85C7B"/>
    <w:rsid w:val="00C965D8"/>
    <w:rsid w:val="00C9698B"/>
    <w:rsid w:val="00CC4B92"/>
    <w:rsid w:val="00D03851"/>
    <w:rsid w:val="00D229D4"/>
    <w:rsid w:val="00D30A40"/>
    <w:rsid w:val="00D40FFE"/>
    <w:rsid w:val="00D54E8A"/>
    <w:rsid w:val="00D574C5"/>
    <w:rsid w:val="00D7641A"/>
    <w:rsid w:val="00D7696C"/>
    <w:rsid w:val="00D941E1"/>
    <w:rsid w:val="00DF34BD"/>
    <w:rsid w:val="00E171C6"/>
    <w:rsid w:val="00E207F1"/>
    <w:rsid w:val="00E56B97"/>
    <w:rsid w:val="00E617D3"/>
    <w:rsid w:val="00EA5CE9"/>
    <w:rsid w:val="00EB2C9A"/>
    <w:rsid w:val="00EC74C5"/>
    <w:rsid w:val="00EE4CDA"/>
    <w:rsid w:val="00EF066F"/>
    <w:rsid w:val="00F0718C"/>
    <w:rsid w:val="00F17394"/>
    <w:rsid w:val="00F222B9"/>
    <w:rsid w:val="00F83576"/>
    <w:rsid w:val="00FA2BAC"/>
    <w:rsid w:val="00FD68B0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6001"/>
  <w15:chartTrackingRefBased/>
  <w15:docId w15:val="{281AE5FF-6054-48D1-934E-171044F0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61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61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61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61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61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61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61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61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61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61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61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61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617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617D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617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617D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617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617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61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61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61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61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61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617D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617D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617D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61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617D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617D3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83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2380D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23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a-gorica@vipavskadolin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a-gorica@vipavskadolina.si" TargetMode="External"/><Relationship Id="rId5" Type="http://schemas.openxmlformats.org/officeDocument/2006/relationships/hyperlink" Target="https://dogodki.turizem-novagorica-vipavskadolina.si/sl/koledar-dogodkov/2024-11-16/2024102615490276/vinski-hrami-vipavske-doline:-martinovanje-na-podezelj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729</Words>
  <Characters>4158</Characters>
  <Application>Microsoft Office Word</Application>
  <DocSecurity>0</DocSecurity>
  <Lines>34</Lines>
  <Paragraphs>9</Paragraphs>
  <ScaleCrop>false</ScaleCrop>
  <Company>Mestna obcina Nova Gorica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Testen</dc:creator>
  <cp:keywords/>
  <dc:description/>
  <cp:lastModifiedBy>Petra Konrad</cp:lastModifiedBy>
  <cp:revision>3</cp:revision>
  <dcterms:created xsi:type="dcterms:W3CDTF">2026-06-04T14:04:00Z</dcterms:created>
  <dcterms:modified xsi:type="dcterms:W3CDTF">2026-06-04T14:08:00Z</dcterms:modified>
</cp:coreProperties>
</file>