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463359B8" w:rsidR="0066085E" w:rsidRDefault="00173230" w:rsidP="0066085E">
      <w:pPr>
        <w:pStyle w:val="Nazivenote"/>
        <w:rPr>
          <w:b w:val="0"/>
          <w:bCs/>
        </w:rPr>
      </w:pPr>
      <w:r>
        <mc:AlternateContent>
          <mc:Choice Requires="wps">
            <w:drawing>
              <wp:anchor distT="45720" distB="45720" distL="114300" distR="114300" simplePos="0" relativeHeight="251661312" behindDoc="1" locked="0" layoutInCell="1" allowOverlap="1" wp14:anchorId="18D38E96" wp14:editId="21D126DF">
                <wp:simplePos x="0" y="0"/>
                <wp:positionH relativeFrom="column">
                  <wp:posOffset>4766945</wp:posOffset>
                </wp:positionH>
                <wp:positionV relativeFrom="paragraph">
                  <wp:posOffset>15240</wp:posOffset>
                </wp:positionV>
                <wp:extent cx="857250" cy="609600"/>
                <wp:effectExtent l="0" t="0" r="0" b="0"/>
                <wp:wrapTight wrapText="bothSides">
                  <wp:wrapPolygon edited="0">
                    <wp:start x="0" y="0"/>
                    <wp:lineTo x="0" y="20925"/>
                    <wp:lineTo x="21120" y="20925"/>
                    <wp:lineTo x="21120"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609600"/>
                        </a:xfrm>
                        <a:prstGeom prst="rect">
                          <a:avLst/>
                        </a:prstGeom>
                        <a:solidFill>
                          <a:srgbClr val="FFFFFF"/>
                        </a:solidFill>
                        <a:ln w="9525">
                          <a:noFill/>
                          <a:miter lim="800000"/>
                          <a:headEnd/>
                          <a:tailEnd/>
                        </a:ln>
                      </wps:spPr>
                      <wps:txbx>
                        <w:txbxContent>
                          <w:p w14:paraId="79C32D9A" w14:textId="2246FBDE" w:rsidR="00445A64" w:rsidRPr="000E5815" w:rsidRDefault="00173230" w:rsidP="00445A64">
                            <w:pPr>
                              <w:pStyle w:val="tevilka"/>
                              <w:rPr>
                                <w:sz w:val="80"/>
                                <w:szCs w:val="80"/>
                              </w:rPr>
                            </w:pPr>
                            <w:r>
                              <w:rPr>
                                <w:sz w:val="80"/>
                                <w:szCs w:val="80"/>
                              </w:rPr>
                              <w:t>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75.35pt;margin-top:1.2pt;width:67.5pt;height:48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" stroked="f">
                <v:textbox>
                  <w:txbxContent>
                    <w:p w14:paraId="79C32D9A" w14:textId="2246FBDE" w:rsidR="00445A64" w:rsidRPr="000E5815" w:rsidRDefault="00173230" w:rsidP="00445A64">
                      <w:pPr>
                        <w:pStyle w:val="tevilka"/>
                        <w:rPr>
                          <w:sz w:val="80"/>
                          <w:szCs w:val="80"/>
                        </w:rPr>
                      </w:pPr>
                      <w:r>
                        <w:rPr>
                          <w:sz w:val="80"/>
                          <w:szCs w:val="80"/>
                        </w:rPr>
                        <w:t>11</w:t>
                      </w:r>
                    </w:p>
                  </w:txbxContent>
                </v:textbox>
                <w10:wrap type="tight"/>
              </v:shape>
            </w:pict>
          </mc:Fallback>
        </mc:AlternateContent>
      </w:r>
      <w:r w:rsidR="009060A3">
        <mc:AlternateContent>
          <mc:Choice Requires="wps">
            <w:drawing>
              <wp:anchor distT="0" distB="0" distL="114300" distR="114300" simplePos="0" relativeHeight="251659264" behindDoc="0" locked="0" layoutInCell="1" allowOverlap="1" wp14:anchorId="4A5FC2D6" wp14:editId="446787E8">
                <wp:simplePos x="0" y="0"/>
                <wp:positionH relativeFrom="page">
                  <wp:posOffset>5613400</wp:posOffset>
                </wp:positionH>
                <wp:positionV relativeFrom="page">
                  <wp:posOffset>1079500</wp:posOffset>
                </wp:positionV>
                <wp:extent cx="914400" cy="914400"/>
                <wp:effectExtent l="0" t="0" r="19050" b="19050"/>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47EA57" id="Pravokotnik 18" o:spid="_x0000_s1026" alt="&quot;&quot;" style="position:absolute;margin-left:442pt;margin-top:85pt;width:1in;height:1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" filled="f" strokecolor="black [3213]" strokeweight="1pt">
                <w10:wrap anchorx="page" anchory="page"/>
              </v:rect>
            </w:pict>
          </mc:Fallback>
        </mc:AlternateContent>
      </w:r>
      <w:r w:rsidR="008F5DCA">
        <w:t>Župan</w:t>
      </w:r>
      <w:r w:rsidR="00A7398A">
        <w:t xml:space="preserve"> </w:t>
      </w:r>
      <w:r w:rsidR="00722FAC">
        <w:br/>
      </w:r>
      <w:r w:rsidR="002B08B0" w:rsidRPr="008802E3">
        <w:rPr>
          <w:b w:val="0"/>
          <w:bCs/>
        </w:rPr>
        <w:t>Trg Edvarda Kardelja 1, 5000 Nova Gorica</w:t>
      </w:r>
    </w:p>
    <w:p w14:paraId="77EDCABD" w14:textId="77777777" w:rsidR="0066085E" w:rsidRPr="0066085E" w:rsidRDefault="0066085E" w:rsidP="0066085E">
      <w:pPr>
        <w:pStyle w:val="Nazivenote"/>
      </w:pPr>
    </w:p>
    <w:p w14:paraId="5B6C62D8" w14:textId="43A20BD0" w:rsidR="0066085E" w:rsidRDefault="0066085E" w:rsidP="00BE5B70">
      <w:pPr>
        <w:pStyle w:val="stevilkadokumenta"/>
      </w:pPr>
      <w:r w:rsidRPr="00BE5B70">
        <w:rPr>
          <w:rStyle w:val="ZvezaZnak"/>
          <w:bCs/>
          <w:sz w:val="20"/>
          <w:u w:val="none"/>
        </w:rPr>
        <w:t xml:space="preserve">Številka: </w:t>
      </w:r>
      <w:r w:rsidR="00B72C6F">
        <w:rPr>
          <w:rStyle w:val="ZvezaZnak"/>
          <w:bCs/>
          <w:sz w:val="20"/>
          <w:u w:val="none"/>
        </w:rPr>
        <w:t>3500-0003/20217-827</w:t>
      </w:r>
      <w:r w:rsidR="00352A82" w:rsidRPr="00BE5B70">
        <w:rPr>
          <w:rStyle w:val="ZvezaZnak"/>
          <w:bCs/>
          <w:sz w:val="20"/>
          <w:u w:val="none"/>
        </w:rPr>
        <w:br/>
      </w:r>
      <w:r w:rsidRPr="00BE5B70">
        <w:t xml:space="preserve">Nova Gorica, dne </w:t>
      </w:r>
      <w:r w:rsidR="00A12815">
        <w:t>4</w:t>
      </w:r>
      <w:r w:rsidRPr="00BE5B70">
        <w:t xml:space="preserve">. </w:t>
      </w:r>
      <w:r w:rsidR="00A12815">
        <w:t>junij</w:t>
      </w:r>
      <w:r w:rsidR="00D94451">
        <w:t>a</w:t>
      </w:r>
      <w:r w:rsidRPr="00BE5B70">
        <w:t xml:space="preserve"> 202</w:t>
      </w:r>
      <w:r w:rsidR="00A12815">
        <w:t>6</w:t>
      </w:r>
    </w:p>
    <w:p w14:paraId="7731015D" w14:textId="77777777" w:rsidR="000807CE" w:rsidRPr="00BE5B70" w:rsidRDefault="000807CE" w:rsidP="00BE5B70">
      <w:pPr>
        <w:pStyle w:val="stevilkadokumenta"/>
        <w:rPr>
          <w:rStyle w:val="ZvezaZnak"/>
          <w:bCs/>
          <w:sz w:val="20"/>
          <w:u w:val="none"/>
        </w:rPr>
      </w:pPr>
    </w:p>
    <w:p w14:paraId="2D9E2EAD" w14:textId="28716D67" w:rsidR="000807CE" w:rsidRPr="009B227A" w:rsidRDefault="000807CE" w:rsidP="009B227A">
      <w:pPr>
        <w:pStyle w:val="gradivo"/>
        <w:spacing w:before="480" w:after="480"/>
        <w:rPr>
          <w:b/>
          <w:bCs w:val="0"/>
        </w:rPr>
      </w:pPr>
      <w:r w:rsidRPr="009B227A">
        <w:rPr>
          <w:b/>
          <w:bCs w:val="0"/>
        </w:rPr>
        <w:t>MESTNI SVET MESTNE OBČINE NOVA GORICA</w:t>
      </w:r>
    </w:p>
    <w:p w14:paraId="42663E32" w14:textId="598C01A2" w:rsidR="008802E3" w:rsidRDefault="0066085E" w:rsidP="00FB7287">
      <w:pPr>
        <w:ind w:left="4395" w:hanging="3686"/>
      </w:pPr>
      <w:r w:rsidRPr="00FB7287">
        <w:rPr>
          <w:b/>
          <w:bCs w:val="0"/>
        </w:rPr>
        <w:t>ZADEVA</w:t>
      </w:r>
      <w:r>
        <w:t>:</w:t>
      </w:r>
      <w:r>
        <w:tab/>
      </w:r>
      <w:r w:rsidRPr="0066085E">
        <w:t>PREDLOG ZA OBRAVNAVO NA SEJI MESTNEGA</w:t>
      </w:r>
      <w:r>
        <w:t xml:space="preserve"> </w:t>
      </w:r>
      <w:r w:rsidRPr="0066085E">
        <w:t>SVETA MESTNE OBČINE NOVA GORICA</w:t>
      </w:r>
    </w:p>
    <w:p w14:paraId="1D7223B1" w14:textId="3A684E56" w:rsidR="0066085E" w:rsidRDefault="0066085E" w:rsidP="009B227A">
      <w:pPr>
        <w:pStyle w:val="Naslov1"/>
        <w:spacing w:before="240" w:after="240"/>
        <w:ind w:left="4395" w:hanging="3686"/>
      </w:pPr>
      <w:r w:rsidRPr="00A9136F">
        <w:rPr>
          <w:sz w:val="20"/>
          <w:szCs w:val="20"/>
        </w:rPr>
        <w:t>NASLOV:</w:t>
      </w:r>
      <w:r>
        <w:tab/>
      </w:r>
      <w:r w:rsidR="00D94451" w:rsidRPr="00D94451">
        <w:rPr>
          <w:sz w:val="20"/>
          <w:szCs w:val="20"/>
        </w:rPr>
        <w:t>Predlog</w:t>
      </w:r>
      <w:r w:rsidR="00D94451">
        <w:t xml:space="preserve"> </w:t>
      </w:r>
      <w:r w:rsidR="00B72C6F">
        <w:rPr>
          <w:rStyle w:val="gradivoZnak"/>
          <w:rFonts w:eastAsiaTheme="majorEastAsia"/>
        </w:rPr>
        <w:t xml:space="preserve">Odloka o spremembah in dopolnitvah </w:t>
      </w:r>
      <w:r w:rsidR="00AF13ED">
        <w:rPr>
          <w:rStyle w:val="gradivoZnak"/>
          <w:rFonts w:eastAsiaTheme="majorEastAsia"/>
        </w:rPr>
        <w:t xml:space="preserve">Odloka o </w:t>
      </w:r>
      <w:r w:rsidR="00DC2765">
        <w:rPr>
          <w:rStyle w:val="gradivoZnak"/>
          <w:rFonts w:eastAsiaTheme="majorEastAsia"/>
        </w:rPr>
        <w:t>O</w:t>
      </w:r>
      <w:r w:rsidR="00B72C6F">
        <w:rPr>
          <w:rStyle w:val="gradivoZnak"/>
          <w:rFonts w:eastAsiaTheme="majorEastAsia"/>
        </w:rPr>
        <w:t>bčinske</w:t>
      </w:r>
      <w:r w:rsidR="00AF13ED">
        <w:rPr>
          <w:rStyle w:val="gradivoZnak"/>
          <w:rFonts w:eastAsiaTheme="majorEastAsia"/>
        </w:rPr>
        <w:t>m</w:t>
      </w:r>
      <w:r w:rsidR="00B72C6F">
        <w:rPr>
          <w:rStyle w:val="gradivoZnak"/>
          <w:rFonts w:eastAsiaTheme="majorEastAsia"/>
        </w:rPr>
        <w:t xml:space="preserve"> prostroske</w:t>
      </w:r>
      <w:r w:rsidR="00AF13ED">
        <w:rPr>
          <w:rStyle w:val="gradivoZnak"/>
          <w:rFonts w:eastAsiaTheme="majorEastAsia"/>
        </w:rPr>
        <w:t>m</w:t>
      </w:r>
      <w:r w:rsidR="00B72C6F">
        <w:rPr>
          <w:rStyle w:val="gradivoZnak"/>
          <w:rFonts w:eastAsiaTheme="majorEastAsia"/>
        </w:rPr>
        <w:t xml:space="preserve"> načrt</w:t>
      </w:r>
      <w:r w:rsidR="00AF13ED">
        <w:rPr>
          <w:rStyle w:val="gradivoZnak"/>
          <w:rFonts w:eastAsiaTheme="majorEastAsia"/>
        </w:rPr>
        <w:t>u</w:t>
      </w:r>
      <w:r w:rsidR="00B72C6F">
        <w:rPr>
          <w:rStyle w:val="gradivoZnak"/>
          <w:rFonts w:eastAsiaTheme="majorEastAsia"/>
        </w:rPr>
        <w:t xml:space="preserve"> Mestne občin Nova Gorica</w:t>
      </w:r>
      <w:r w:rsidR="00D94451">
        <w:rPr>
          <w:rStyle w:val="gradivoZnak"/>
          <w:rFonts w:eastAsiaTheme="majorEastAsia"/>
        </w:rPr>
        <w:t xml:space="preserve"> (</w:t>
      </w:r>
      <w:r w:rsidR="00747071">
        <w:rPr>
          <w:rStyle w:val="gradivoZnak"/>
          <w:rFonts w:eastAsiaTheme="majorEastAsia"/>
        </w:rPr>
        <w:t>drug</w:t>
      </w:r>
      <w:r w:rsidR="00D94451">
        <w:rPr>
          <w:rStyle w:val="gradivoZnak"/>
          <w:rFonts w:eastAsiaTheme="majorEastAsia"/>
        </w:rPr>
        <w:t>a</w:t>
      </w:r>
      <w:r w:rsidR="00747071">
        <w:rPr>
          <w:rStyle w:val="gradivoZnak"/>
          <w:rFonts w:eastAsiaTheme="majorEastAsia"/>
        </w:rPr>
        <w:t xml:space="preserve"> </w:t>
      </w:r>
      <w:r w:rsidR="00D94451">
        <w:rPr>
          <w:rStyle w:val="gradivoZnak"/>
          <w:rFonts w:eastAsiaTheme="majorEastAsia"/>
        </w:rPr>
        <w:t>obravnava)</w:t>
      </w:r>
    </w:p>
    <w:p w14:paraId="4EB48263" w14:textId="17316F2C" w:rsidR="0066085E" w:rsidRDefault="0066085E" w:rsidP="000E5815">
      <w:pPr>
        <w:ind w:left="4395" w:hanging="3686"/>
        <w:jc w:val="left"/>
      </w:pPr>
      <w:r w:rsidRPr="00FB7287">
        <w:rPr>
          <w:b/>
          <w:bCs w:val="0"/>
        </w:rPr>
        <w:t>GRADIVO PRIPRAVIL</w:t>
      </w:r>
      <w:r>
        <w:t>:</w:t>
      </w:r>
      <w:r>
        <w:tab/>
      </w:r>
      <w:r w:rsidRPr="000E5815">
        <w:rPr>
          <w:rStyle w:val="gradivoZnak"/>
        </w:rPr>
        <w:t xml:space="preserve">Mestna občina Nova Gorica, </w:t>
      </w:r>
      <w:r w:rsidR="00B72C6F">
        <w:rPr>
          <w:rStyle w:val="gradivoZnak"/>
        </w:rPr>
        <w:t>Služba</w:t>
      </w:r>
      <w:r w:rsidR="008631C4">
        <w:rPr>
          <w:rStyle w:val="gradivoZnak"/>
        </w:rPr>
        <w:t xml:space="preserve"> za okolje </w:t>
      </w:r>
      <w:r w:rsidR="00B72C6F">
        <w:rPr>
          <w:rStyle w:val="gradivoZnak"/>
        </w:rPr>
        <w:t xml:space="preserve"> in </w:t>
      </w:r>
      <w:r w:rsidR="008631C4">
        <w:rPr>
          <w:rStyle w:val="gradivoZnak"/>
        </w:rPr>
        <w:t xml:space="preserve">prostor </w:t>
      </w:r>
    </w:p>
    <w:p w14:paraId="2589E91B" w14:textId="4431B5AD" w:rsidR="0066085E" w:rsidRDefault="0066085E" w:rsidP="00FB7287">
      <w:pPr>
        <w:ind w:left="4395" w:hanging="3686"/>
      </w:pPr>
      <w:r w:rsidRPr="00FB7287">
        <w:rPr>
          <w:b/>
          <w:bCs w:val="0"/>
        </w:rPr>
        <w:t>IZDELOVALEC GRADIVA:</w:t>
      </w:r>
      <w:r w:rsidR="00FB7287">
        <w:tab/>
      </w:r>
      <w:r w:rsidR="000C624C">
        <w:t>LOCUS d.o.o.</w:t>
      </w:r>
    </w:p>
    <w:p w14:paraId="11F58982" w14:textId="4A46A480" w:rsidR="0066085E" w:rsidRPr="00FB7287" w:rsidRDefault="0066085E" w:rsidP="00FB7287">
      <w:pPr>
        <w:ind w:left="4395" w:hanging="3686"/>
        <w:rPr>
          <w:b/>
          <w:bCs w:val="0"/>
        </w:rPr>
      </w:pPr>
      <w:r w:rsidRPr="00FB7287">
        <w:rPr>
          <w:b/>
          <w:bCs w:val="0"/>
        </w:rPr>
        <w:t>POROČEVALEC:</w:t>
      </w:r>
      <w:r w:rsidR="00FB7287" w:rsidRPr="00FB7287">
        <w:t xml:space="preserve"> </w:t>
      </w:r>
      <w:r w:rsidR="00FB7287">
        <w:tab/>
      </w:r>
      <w:r w:rsidR="000C624C">
        <w:t>Erik Lasič</w:t>
      </w:r>
      <w:r w:rsidR="00D94451">
        <w:t>, vodja Službe za okolje in prostor</w:t>
      </w:r>
    </w:p>
    <w:p w14:paraId="75A8D632" w14:textId="72C24555" w:rsidR="0066085E" w:rsidRDefault="0066085E" w:rsidP="00FB7287">
      <w:pPr>
        <w:ind w:left="4395" w:hanging="3686"/>
      </w:pPr>
      <w:r w:rsidRPr="00FB7287">
        <w:rPr>
          <w:b/>
          <w:bCs w:val="0"/>
        </w:rPr>
        <w:t xml:space="preserve">PRISTOJNO DELOVNO </w:t>
      </w:r>
      <w:r w:rsidR="00D94451">
        <w:rPr>
          <w:b/>
          <w:bCs w:val="0"/>
        </w:rPr>
        <w:t>TELO</w:t>
      </w:r>
      <w:r>
        <w:t xml:space="preserve">: </w:t>
      </w:r>
      <w:r>
        <w:tab/>
      </w:r>
      <w:r w:rsidR="00D94451">
        <w:t>Odbor za prostor, Odbor za gospodarstvo</w:t>
      </w:r>
    </w:p>
    <w:p w14:paraId="4C9319DA" w14:textId="7B5A35DC" w:rsidR="0066085E" w:rsidRPr="00FB7287" w:rsidRDefault="0066085E" w:rsidP="00352A82">
      <w:pPr>
        <w:rPr>
          <w:b/>
          <w:bCs w:val="0"/>
        </w:rPr>
      </w:pPr>
      <w:r w:rsidRPr="00FB7287">
        <w:rPr>
          <w:b/>
          <w:bCs w:val="0"/>
        </w:rPr>
        <w:t xml:space="preserve">PREDLOG SKLEPA: </w:t>
      </w:r>
    </w:p>
    <w:p w14:paraId="7AA05322" w14:textId="7282887C" w:rsidR="000E5815" w:rsidRPr="00FB7287" w:rsidRDefault="00FB7287" w:rsidP="00FB7287">
      <w:r w:rsidRPr="0008026B">
        <w:t xml:space="preserve">Mestni svet Mestne občine Nova Gorica sprejme </w:t>
      </w:r>
      <w:r w:rsidR="00953490">
        <w:t xml:space="preserve">usklajeni </w:t>
      </w:r>
      <w:bookmarkStart w:id="0" w:name="_Hlk195615944"/>
      <w:r w:rsidR="00953490">
        <w:t xml:space="preserve">Odlok o </w:t>
      </w:r>
      <w:r w:rsidR="00C55713">
        <w:t>spremembah in dopolnitvah Občinskega prostroskega načrta Mestne občin Nova Gorica.</w:t>
      </w:r>
    </w:p>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14:paraId="0FF38549" w14:textId="77777777" w:rsidTr="00FB7287">
        <w:tc>
          <w:tcPr>
            <w:tcW w:w="3549" w:type="dxa"/>
          </w:tcPr>
          <w:p w14:paraId="1D1D813B" w14:textId="77777777" w:rsidR="00FB7287" w:rsidRPr="00E639CC" w:rsidRDefault="00FB7287" w:rsidP="00C818D4">
            <w:pPr>
              <w:pStyle w:val="Podpisoseba"/>
              <w:spacing w:before="0" w:after="0"/>
              <w:rPr>
                <w:b/>
                <w:color w:val="FFFFFF" w:themeColor="background1"/>
              </w:rPr>
            </w:pPr>
            <w:r w:rsidRPr="00E639CC">
              <w:rPr>
                <w:b/>
                <w:color w:val="FFFFFF" w:themeColor="background1"/>
              </w:rPr>
              <w:t>Desnik podpisnik</w:t>
            </w:r>
          </w:p>
        </w:tc>
      </w:tr>
      <w:tr w:rsidR="00FB7287" w14:paraId="6D021AA2" w14:textId="77777777" w:rsidTr="00FB7287">
        <w:tc>
          <w:tcPr>
            <w:tcW w:w="3549" w:type="dxa"/>
          </w:tcPr>
          <w:p w14:paraId="7F514CF4" w14:textId="77777777" w:rsidR="00FB7287" w:rsidRPr="00E639CC" w:rsidRDefault="00FB7287" w:rsidP="00C818D4">
            <w:pPr>
              <w:pStyle w:val="Podpisoseba"/>
              <w:spacing w:before="0" w:after="0"/>
              <w:rPr>
                <w:bCs w:val="0"/>
              </w:rPr>
            </w:pPr>
            <w:r w:rsidRPr="00E639CC">
              <w:rPr>
                <w:b/>
              </w:rPr>
              <w:t>Samo Turel</w:t>
            </w:r>
          </w:p>
        </w:tc>
      </w:tr>
      <w:tr w:rsidR="00FB7287" w14:paraId="1EDB9A6B" w14:textId="77777777" w:rsidTr="00FB7287">
        <w:trPr>
          <w:trHeight w:val="530"/>
        </w:trPr>
        <w:tc>
          <w:tcPr>
            <w:tcW w:w="3549" w:type="dxa"/>
          </w:tcPr>
          <w:p w14:paraId="07F6B71D" w14:textId="6527CB45" w:rsidR="00FB7287" w:rsidRPr="00E639CC" w:rsidRDefault="00D94451" w:rsidP="00C818D4">
            <w:pPr>
              <w:pStyle w:val="Podpisoseba"/>
              <w:spacing w:before="0" w:after="0"/>
              <w:rPr>
                <w:bCs w:val="0"/>
              </w:rPr>
            </w:pPr>
            <w:r>
              <w:t>Ž</w:t>
            </w:r>
            <w:r w:rsidR="00FB7287" w:rsidRPr="00E639CC">
              <w:t>upan</w:t>
            </w:r>
          </w:p>
        </w:tc>
      </w:tr>
      <w:bookmarkEnd w:id="0"/>
    </w:tbl>
    <w:p w14:paraId="44177559" w14:textId="77777777" w:rsidR="00FB7287" w:rsidRPr="00BE5B70" w:rsidRDefault="00FB7287" w:rsidP="00BE5B70">
      <w:pPr>
        <w:rPr>
          <w:rStyle w:val="ZvezaZnak"/>
          <w:bCs/>
          <w:sz w:val="20"/>
          <w:u w:val="none"/>
        </w:rPr>
      </w:pPr>
    </w:p>
    <w:p w14:paraId="1E28F88C" w14:textId="77777777" w:rsidR="0004790E" w:rsidRPr="00485669" w:rsidRDefault="0004790E" w:rsidP="00485669">
      <w:pPr>
        <w:pStyle w:val="LCNaslov2"/>
        <w:numPr>
          <w:ilvl w:val="0"/>
          <w:numId w:val="0"/>
        </w:numPr>
        <w:spacing w:before="240" w:after="0"/>
        <w:ind w:left="567"/>
        <w:rPr>
          <w:rFonts w:ascii="Verdana" w:eastAsiaTheme="minorHAnsi" w:hAnsi="Verdana" w:cstheme="minorHAnsi"/>
          <w:bCs w:val="0"/>
          <w:color w:val="auto"/>
          <w:sz w:val="20"/>
          <w:szCs w:val="22"/>
          <w:lang w:eastAsia="sl-SI"/>
        </w:rPr>
      </w:pPr>
      <w:r w:rsidRPr="00485669">
        <w:rPr>
          <w:rFonts w:ascii="Verdana" w:eastAsiaTheme="minorHAnsi" w:hAnsi="Verdana" w:cstheme="minorHAnsi"/>
          <w:bCs w:val="0"/>
          <w:color w:val="auto"/>
          <w:sz w:val="20"/>
          <w:szCs w:val="22"/>
          <w:lang w:eastAsia="sl-SI"/>
        </w:rPr>
        <w:t>Tekstualni del:</w:t>
      </w:r>
    </w:p>
    <w:p w14:paraId="24D3E5BB" w14:textId="77777777" w:rsidR="0004790E" w:rsidRPr="00485669" w:rsidRDefault="0004790E" w:rsidP="00485669">
      <w:pPr>
        <w:pStyle w:val="Odstavekseznama"/>
        <w:numPr>
          <w:ilvl w:val="0"/>
          <w:numId w:val="12"/>
        </w:numPr>
        <w:spacing w:after="0" w:line="254" w:lineRule="auto"/>
        <w:ind w:left="993" w:right="0" w:hanging="426"/>
      </w:pPr>
      <w:r w:rsidRPr="00485669">
        <w:t>Odlok o Občinskem prostorskem načrtu Mestne občine Nova Gorica - neuradno prečiščeno besed z vidnimi popravki</w:t>
      </w:r>
    </w:p>
    <w:p w14:paraId="70210CB9" w14:textId="77777777" w:rsidR="0004790E" w:rsidRPr="00485669" w:rsidRDefault="0004790E" w:rsidP="0004790E">
      <w:pPr>
        <w:pStyle w:val="Odstavekseznama"/>
        <w:numPr>
          <w:ilvl w:val="1"/>
          <w:numId w:val="12"/>
        </w:numPr>
        <w:spacing w:after="0" w:line="254" w:lineRule="auto"/>
        <w:ind w:right="0"/>
      </w:pPr>
      <w:r w:rsidRPr="00485669">
        <w:t>Priloga 1 – vrste dovoljenih osnovnih objektov, ki se lahko gradijo na stavbnih namenskih rabah</w:t>
      </w:r>
    </w:p>
    <w:p w14:paraId="3EF21496" w14:textId="77777777" w:rsidR="0004790E" w:rsidRPr="00485669" w:rsidRDefault="0004790E" w:rsidP="0004790E">
      <w:pPr>
        <w:pStyle w:val="Odstavekseznama"/>
        <w:numPr>
          <w:ilvl w:val="1"/>
          <w:numId w:val="12"/>
        </w:numPr>
        <w:spacing w:after="0" w:line="254" w:lineRule="auto"/>
        <w:ind w:right="0"/>
      </w:pPr>
      <w:r w:rsidRPr="00485669">
        <w:t>Priloga 2 – regulacijske črte v prostoru</w:t>
      </w:r>
    </w:p>
    <w:p w14:paraId="680C903D" w14:textId="77777777" w:rsidR="0004790E" w:rsidRPr="00485669" w:rsidRDefault="0004790E" w:rsidP="0004790E">
      <w:pPr>
        <w:pStyle w:val="Odstavekseznama"/>
        <w:numPr>
          <w:ilvl w:val="1"/>
          <w:numId w:val="12"/>
        </w:numPr>
        <w:spacing w:after="0" w:line="254" w:lineRule="auto"/>
        <w:ind w:right="0"/>
      </w:pPr>
      <w:r w:rsidRPr="00485669">
        <w:t>Priloga 3 – grafični podrobni prostorski izvedbeni pogoji za posamezne Enote urejanja prostora</w:t>
      </w:r>
    </w:p>
    <w:p w14:paraId="45065485" w14:textId="77777777" w:rsidR="0004790E" w:rsidRPr="00485669" w:rsidRDefault="0004790E" w:rsidP="0004790E">
      <w:pPr>
        <w:pStyle w:val="Odstavekseznama"/>
        <w:numPr>
          <w:ilvl w:val="1"/>
          <w:numId w:val="12"/>
        </w:numPr>
        <w:spacing w:after="0" w:line="254" w:lineRule="auto"/>
        <w:ind w:right="0"/>
      </w:pPr>
      <w:r w:rsidRPr="00485669">
        <w:t>Priloga 4 – enote urejanja prostora s podrobnimi prostorskimi izvedbenimi pogoji in usmeritvami za načrtovanje OPPN</w:t>
      </w:r>
    </w:p>
    <w:p w14:paraId="1EE53C6C" w14:textId="77777777" w:rsidR="0004790E" w:rsidRPr="00485669" w:rsidRDefault="0004790E" w:rsidP="00485669">
      <w:pPr>
        <w:pStyle w:val="LCNaslov2"/>
        <w:numPr>
          <w:ilvl w:val="0"/>
          <w:numId w:val="0"/>
        </w:numPr>
        <w:spacing w:before="240" w:after="0"/>
        <w:ind w:left="567"/>
        <w:rPr>
          <w:rFonts w:ascii="Verdana" w:eastAsiaTheme="minorHAnsi" w:hAnsi="Verdana" w:cstheme="minorHAnsi"/>
          <w:bCs w:val="0"/>
          <w:color w:val="auto"/>
          <w:sz w:val="20"/>
          <w:szCs w:val="22"/>
          <w:lang w:eastAsia="sl-SI"/>
        </w:rPr>
      </w:pPr>
      <w:r w:rsidRPr="00485669">
        <w:rPr>
          <w:rFonts w:ascii="Verdana" w:eastAsiaTheme="minorHAnsi" w:hAnsi="Verdana" w:cstheme="minorHAnsi"/>
          <w:bCs w:val="0"/>
          <w:color w:val="auto"/>
          <w:sz w:val="20"/>
          <w:szCs w:val="22"/>
          <w:lang w:eastAsia="sl-SI"/>
        </w:rPr>
        <w:lastRenderedPageBreak/>
        <w:t xml:space="preserve"> Grafični del:</w:t>
      </w:r>
    </w:p>
    <w:p w14:paraId="5B4BC75C" w14:textId="77777777" w:rsidR="0004790E" w:rsidRPr="00485669" w:rsidRDefault="0004790E" w:rsidP="00485669">
      <w:pPr>
        <w:pStyle w:val="Odstavekseznama"/>
        <w:numPr>
          <w:ilvl w:val="0"/>
          <w:numId w:val="12"/>
        </w:numPr>
        <w:spacing w:after="0" w:line="254" w:lineRule="auto"/>
        <w:ind w:left="993" w:right="0" w:hanging="426"/>
      </w:pPr>
      <w:r w:rsidRPr="00485669">
        <w:t>Strateški del</w:t>
      </w:r>
    </w:p>
    <w:p w14:paraId="052C033F" w14:textId="77777777" w:rsidR="0004790E" w:rsidRPr="00485669" w:rsidRDefault="0004790E" w:rsidP="0004790E">
      <w:pPr>
        <w:pStyle w:val="Odstavekseznama"/>
        <w:numPr>
          <w:ilvl w:val="1"/>
          <w:numId w:val="12"/>
        </w:numPr>
        <w:autoSpaceDE w:val="0"/>
        <w:autoSpaceDN w:val="0"/>
        <w:adjustRightInd w:val="0"/>
        <w:spacing w:after="0" w:line="240" w:lineRule="auto"/>
        <w:ind w:right="0"/>
        <w:rPr>
          <w:rFonts w:cstheme="minorHAnsi"/>
        </w:rPr>
      </w:pPr>
      <w:r w:rsidRPr="00485669">
        <w:rPr>
          <w:rFonts w:cstheme="minorHAnsi"/>
        </w:rPr>
        <w:t>Karta 1: Zasnova prostorskega razvoja</w:t>
      </w:r>
    </w:p>
    <w:p w14:paraId="04852DCE" w14:textId="77777777" w:rsidR="0004790E" w:rsidRPr="00485669" w:rsidRDefault="0004790E" w:rsidP="0004790E">
      <w:pPr>
        <w:pStyle w:val="Odstavekseznama"/>
        <w:numPr>
          <w:ilvl w:val="1"/>
          <w:numId w:val="12"/>
        </w:numPr>
        <w:autoSpaceDE w:val="0"/>
        <w:autoSpaceDN w:val="0"/>
        <w:adjustRightInd w:val="0"/>
        <w:spacing w:after="0" w:line="240" w:lineRule="auto"/>
        <w:ind w:right="0"/>
        <w:rPr>
          <w:rFonts w:cstheme="minorHAnsi"/>
        </w:rPr>
      </w:pPr>
      <w:r w:rsidRPr="00485669">
        <w:rPr>
          <w:rFonts w:cstheme="minorHAnsi"/>
        </w:rPr>
        <w:t>Karta 4.1: Dejavnosti in naravni viri</w:t>
      </w:r>
    </w:p>
    <w:p w14:paraId="043AE7DE" w14:textId="77777777" w:rsidR="0004790E" w:rsidRPr="00485669" w:rsidRDefault="0004790E" w:rsidP="00485669">
      <w:pPr>
        <w:pStyle w:val="Odstavekseznama"/>
        <w:numPr>
          <w:ilvl w:val="0"/>
          <w:numId w:val="12"/>
        </w:numPr>
        <w:spacing w:after="0" w:line="254" w:lineRule="auto"/>
        <w:ind w:left="993" w:right="0" w:hanging="426"/>
      </w:pPr>
      <w:r w:rsidRPr="00485669">
        <w:t>Izvedbeni del NRP</w:t>
      </w:r>
    </w:p>
    <w:p w14:paraId="62DDF3AE" w14:textId="77777777" w:rsidR="0004790E" w:rsidRPr="00485669" w:rsidRDefault="0004790E" w:rsidP="00485669">
      <w:pPr>
        <w:pStyle w:val="Odstavekseznama"/>
        <w:numPr>
          <w:ilvl w:val="0"/>
          <w:numId w:val="12"/>
        </w:numPr>
        <w:spacing w:after="0" w:line="254" w:lineRule="auto"/>
        <w:ind w:left="993" w:right="0" w:hanging="426"/>
      </w:pPr>
      <w:r w:rsidRPr="00485669">
        <w:t>Izvedbeni del GJI</w:t>
      </w:r>
    </w:p>
    <w:p w14:paraId="0E63EAD7" w14:textId="23D34017" w:rsidR="0004790E" w:rsidRPr="00485669" w:rsidRDefault="00C01E33" w:rsidP="00485669">
      <w:pPr>
        <w:pStyle w:val="LCNaslov2"/>
        <w:numPr>
          <w:ilvl w:val="0"/>
          <w:numId w:val="0"/>
        </w:numPr>
        <w:spacing w:before="240" w:after="0"/>
        <w:ind w:left="567"/>
        <w:rPr>
          <w:rFonts w:ascii="Verdana" w:eastAsiaTheme="minorHAnsi" w:hAnsi="Verdana" w:cstheme="minorHAnsi"/>
          <w:bCs w:val="0"/>
          <w:color w:val="auto"/>
          <w:sz w:val="20"/>
          <w:szCs w:val="22"/>
          <w:lang w:eastAsia="sl-SI"/>
        </w:rPr>
      </w:pPr>
      <w:r w:rsidRPr="00485669">
        <w:rPr>
          <w:rFonts w:ascii="Verdana" w:eastAsiaTheme="minorHAnsi" w:hAnsi="Verdana" w:cstheme="minorHAnsi"/>
          <w:bCs w:val="0"/>
          <w:color w:val="auto"/>
          <w:sz w:val="20"/>
          <w:szCs w:val="22"/>
          <w:lang w:eastAsia="sl-SI"/>
        </w:rPr>
        <w:t>Priloge</w:t>
      </w:r>
      <w:r w:rsidR="0004790E" w:rsidRPr="00485669">
        <w:rPr>
          <w:rFonts w:ascii="Verdana" w:eastAsiaTheme="minorHAnsi" w:hAnsi="Verdana" w:cstheme="minorHAnsi"/>
          <w:bCs w:val="0"/>
          <w:color w:val="auto"/>
          <w:sz w:val="20"/>
          <w:szCs w:val="22"/>
          <w:lang w:eastAsia="sl-SI"/>
        </w:rPr>
        <w:t>:</w:t>
      </w:r>
    </w:p>
    <w:p w14:paraId="2A34E830" w14:textId="77777777" w:rsidR="0004790E" w:rsidRPr="00485669" w:rsidRDefault="0004790E" w:rsidP="00485669">
      <w:pPr>
        <w:pStyle w:val="Odstavekseznama"/>
        <w:numPr>
          <w:ilvl w:val="0"/>
          <w:numId w:val="12"/>
        </w:numPr>
        <w:spacing w:after="0" w:line="254" w:lineRule="auto"/>
        <w:ind w:left="993" w:right="0" w:hanging="426"/>
      </w:pPr>
      <w:r w:rsidRPr="00485669">
        <w:t>skladnost z nadrejenim aktom</w:t>
      </w:r>
    </w:p>
    <w:p w14:paraId="4DB5D997" w14:textId="77777777" w:rsidR="00485669" w:rsidRPr="00485669" w:rsidRDefault="00485669" w:rsidP="00485669">
      <w:pPr>
        <w:pStyle w:val="Odstavekseznama"/>
        <w:numPr>
          <w:ilvl w:val="0"/>
          <w:numId w:val="12"/>
        </w:numPr>
        <w:spacing w:after="0" w:line="254" w:lineRule="auto"/>
        <w:ind w:left="993" w:right="0" w:hanging="426"/>
      </w:pPr>
      <w:r w:rsidRPr="00485669">
        <w:t xml:space="preserve">prikaz stanja prostora </w:t>
      </w:r>
    </w:p>
    <w:p w14:paraId="54696306" w14:textId="77777777" w:rsidR="00485669" w:rsidRPr="00485669" w:rsidRDefault="00485669" w:rsidP="00485669">
      <w:pPr>
        <w:pStyle w:val="Odstavekseznama"/>
        <w:numPr>
          <w:ilvl w:val="0"/>
          <w:numId w:val="12"/>
        </w:numPr>
        <w:spacing w:after="0" w:line="254" w:lineRule="auto"/>
        <w:ind w:left="993" w:right="0" w:hanging="426"/>
      </w:pPr>
      <w:r w:rsidRPr="00485669">
        <w:t xml:space="preserve">strokovne podlage </w:t>
      </w:r>
    </w:p>
    <w:p w14:paraId="6A08CFF8" w14:textId="77777777" w:rsidR="00485669" w:rsidRPr="00485669" w:rsidRDefault="00485669" w:rsidP="00485669">
      <w:pPr>
        <w:pStyle w:val="Odstavekseznama"/>
        <w:numPr>
          <w:ilvl w:val="1"/>
          <w:numId w:val="12"/>
        </w:numPr>
        <w:autoSpaceDE w:val="0"/>
        <w:autoSpaceDN w:val="0"/>
        <w:adjustRightInd w:val="0"/>
        <w:spacing w:after="0" w:line="240" w:lineRule="auto"/>
        <w:ind w:right="0"/>
        <w:rPr>
          <w:rFonts w:cstheme="minorHAnsi"/>
        </w:rPr>
      </w:pPr>
      <w:r w:rsidRPr="00485669">
        <w:rPr>
          <w:rFonts w:cstheme="minorHAnsi"/>
        </w:rPr>
        <w:t xml:space="preserve">Krajinska zasnova MONG, Locus d.o.o, avgust 2020, </w:t>
      </w:r>
    </w:p>
    <w:p w14:paraId="6F1F416C" w14:textId="77777777" w:rsidR="00485669" w:rsidRPr="00485669" w:rsidRDefault="00485669" w:rsidP="00485669">
      <w:pPr>
        <w:pStyle w:val="Odstavekseznama"/>
        <w:numPr>
          <w:ilvl w:val="1"/>
          <w:numId w:val="12"/>
        </w:numPr>
        <w:autoSpaceDE w:val="0"/>
        <w:autoSpaceDN w:val="0"/>
        <w:adjustRightInd w:val="0"/>
        <w:spacing w:after="0" w:line="240" w:lineRule="auto"/>
        <w:ind w:right="0"/>
        <w:rPr>
          <w:rFonts w:cstheme="minorHAnsi"/>
        </w:rPr>
      </w:pPr>
      <w:r w:rsidRPr="00485669">
        <w:rPr>
          <w:rFonts w:cstheme="minorHAnsi"/>
        </w:rPr>
        <w:t>Umestitev kampov v prostor Mestne občine Nova Gorica, Locus d.o.o., november 2022</w:t>
      </w:r>
    </w:p>
    <w:p w14:paraId="1D1DAE65" w14:textId="77777777" w:rsidR="00485669" w:rsidRPr="00485669" w:rsidRDefault="00485669" w:rsidP="00485669">
      <w:pPr>
        <w:pStyle w:val="Odstavekseznama"/>
        <w:numPr>
          <w:ilvl w:val="1"/>
          <w:numId w:val="12"/>
        </w:numPr>
        <w:autoSpaceDE w:val="0"/>
        <w:autoSpaceDN w:val="0"/>
        <w:adjustRightInd w:val="0"/>
        <w:spacing w:after="0" w:line="240" w:lineRule="auto"/>
        <w:ind w:right="0"/>
        <w:rPr>
          <w:rFonts w:cstheme="minorHAnsi"/>
        </w:rPr>
      </w:pPr>
      <w:r w:rsidRPr="00485669">
        <w:rPr>
          <w:rFonts w:cstheme="minorHAnsi"/>
        </w:rPr>
        <w:t>Hidrološko-hidravlična analiza celovitih oziroma omilitvenih ukrepov za izvedbo protipoplavnih ukrepov na vodotoku Liskur, Hidrolab d.o.o., november 2022, dopolnitev junij 2023</w:t>
      </w:r>
    </w:p>
    <w:p w14:paraId="16B80A5F" w14:textId="77777777" w:rsidR="00485669" w:rsidRPr="00485669" w:rsidRDefault="00485669" w:rsidP="00485669">
      <w:pPr>
        <w:pStyle w:val="Odstavekseznama"/>
        <w:numPr>
          <w:ilvl w:val="1"/>
          <w:numId w:val="12"/>
        </w:numPr>
        <w:autoSpaceDE w:val="0"/>
        <w:autoSpaceDN w:val="0"/>
        <w:adjustRightInd w:val="0"/>
        <w:spacing w:after="0" w:line="240" w:lineRule="auto"/>
        <w:ind w:right="0"/>
        <w:rPr>
          <w:rFonts w:cstheme="minorHAnsi"/>
        </w:rPr>
      </w:pPr>
      <w:r w:rsidRPr="00485669">
        <w:rPr>
          <w:rFonts w:cstheme="minorHAnsi"/>
        </w:rPr>
        <w:t>Strokovna obrazložitev v zvezi z območjem redkih poplav med Kolodvorsko in Prvomajsko ulico, Hidrolab d.o.o.,junij 2022</w:t>
      </w:r>
    </w:p>
    <w:p w14:paraId="2D72A266" w14:textId="77777777" w:rsidR="00485669" w:rsidRPr="00485669" w:rsidRDefault="00485669" w:rsidP="00485669">
      <w:pPr>
        <w:pStyle w:val="Odstavekseznama"/>
        <w:numPr>
          <w:ilvl w:val="1"/>
          <w:numId w:val="12"/>
        </w:numPr>
        <w:autoSpaceDE w:val="0"/>
        <w:autoSpaceDN w:val="0"/>
        <w:adjustRightInd w:val="0"/>
        <w:spacing w:after="0" w:line="240" w:lineRule="auto"/>
        <w:ind w:right="0"/>
        <w:rPr>
          <w:rFonts w:cstheme="minorHAnsi"/>
        </w:rPr>
      </w:pPr>
      <w:r w:rsidRPr="00485669">
        <w:rPr>
          <w:rFonts w:cstheme="minorHAnsi"/>
        </w:rPr>
        <w:t>Ocena vpliva posega na plazljiva območja – za poseg SD OPN za mestno občino Nova Gorica, Strokovne podlage po vsebini geotehničnega poročila skladno s prilogo 8 splošnih smernic s področja upravljanja z vodami, IRGO Consulting d.o.o., št. projekta 3030781, avgust 2025.</w:t>
      </w:r>
    </w:p>
    <w:p w14:paraId="21CCEC43" w14:textId="77777777" w:rsidR="00485669" w:rsidRPr="00485669" w:rsidRDefault="00485669" w:rsidP="00485669">
      <w:pPr>
        <w:pStyle w:val="Odstavekseznama"/>
        <w:numPr>
          <w:ilvl w:val="1"/>
          <w:numId w:val="12"/>
        </w:numPr>
        <w:autoSpaceDE w:val="0"/>
        <w:autoSpaceDN w:val="0"/>
        <w:adjustRightInd w:val="0"/>
        <w:spacing w:after="0" w:line="240" w:lineRule="auto"/>
        <w:ind w:right="0"/>
        <w:rPr>
          <w:rFonts w:cstheme="minorHAnsi"/>
        </w:rPr>
      </w:pPr>
      <w:r w:rsidRPr="00485669">
        <w:rPr>
          <w:rFonts w:cstheme="minorHAnsi"/>
        </w:rPr>
        <w:t>Ocena vpliva posega na plazljiva območja – za ločena zemljišča naročnika X Race Camp d. o. o, IRGO, februar 2026</w:t>
      </w:r>
    </w:p>
    <w:p w14:paraId="4D908B93" w14:textId="77777777" w:rsidR="00485669" w:rsidRPr="00485669" w:rsidRDefault="00485669" w:rsidP="00485669">
      <w:pPr>
        <w:pStyle w:val="Odstavekseznama"/>
        <w:numPr>
          <w:ilvl w:val="1"/>
          <w:numId w:val="12"/>
        </w:numPr>
        <w:autoSpaceDE w:val="0"/>
        <w:autoSpaceDN w:val="0"/>
        <w:adjustRightInd w:val="0"/>
        <w:spacing w:after="0" w:line="240" w:lineRule="auto"/>
        <w:ind w:right="0"/>
        <w:rPr>
          <w:rFonts w:cstheme="minorHAnsi"/>
        </w:rPr>
      </w:pPr>
      <w:r w:rsidRPr="00485669">
        <w:rPr>
          <w:rFonts w:cstheme="minorHAnsi"/>
        </w:rPr>
        <w:t>Ocena vpliva posega na plazljiva območja – za nadomestna kmetijska zemljišča na parcelah 3140/1, 3141, k. o.  2311 - Vitovlje, IRGO, februar 2026</w:t>
      </w:r>
    </w:p>
    <w:p w14:paraId="3D4759F3" w14:textId="77777777" w:rsidR="00485669" w:rsidRPr="00485669" w:rsidRDefault="00485669" w:rsidP="00485669">
      <w:pPr>
        <w:pStyle w:val="Odstavekseznama"/>
        <w:numPr>
          <w:ilvl w:val="1"/>
          <w:numId w:val="12"/>
        </w:numPr>
        <w:autoSpaceDE w:val="0"/>
        <w:autoSpaceDN w:val="0"/>
        <w:adjustRightInd w:val="0"/>
        <w:spacing w:after="0" w:line="240" w:lineRule="auto"/>
        <w:ind w:right="0"/>
        <w:rPr>
          <w:rFonts w:cstheme="minorHAnsi"/>
        </w:rPr>
      </w:pPr>
      <w:r w:rsidRPr="00485669">
        <w:rPr>
          <w:rFonts w:cstheme="minorHAnsi"/>
        </w:rPr>
        <w:t>Elaborat nadomestnih kmetijskih zemljišč za potrebe mestne občine Nova Gorica, Agrarius d.o.o. pedološke raziskave in projektiranje, 2025.</w:t>
      </w:r>
    </w:p>
    <w:p w14:paraId="7552870E" w14:textId="77777777" w:rsidR="00485669" w:rsidRPr="00485669" w:rsidRDefault="00485669" w:rsidP="00485669">
      <w:pPr>
        <w:pStyle w:val="Odstavekseznama"/>
        <w:numPr>
          <w:ilvl w:val="0"/>
          <w:numId w:val="12"/>
        </w:numPr>
        <w:spacing w:after="0" w:line="254" w:lineRule="auto"/>
        <w:ind w:left="993" w:right="0" w:hanging="426"/>
      </w:pPr>
      <w:r w:rsidRPr="00485669">
        <w:t>obrazložitev in utemeljitev akta, vključno z</w:t>
      </w:r>
    </w:p>
    <w:p w14:paraId="7A1424BC" w14:textId="77777777" w:rsidR="00485669" w:rsidRPr="00485669" w:rsidRDefault="00485669" w:rsidP="00485669">
      <w:pPr>
        <w:pStyle w:val="Odstavekseznama"/>
        <w:numPr>
          <w:ilvl w:val="1"/>
          <w:numId w:val="12"/>
        </w:numPr>
        <w:autoSpaceDE w:val="0"/>
        <w:autoSpaceDN w:val="0"/>
        <w:adjustRightInd w:val="0"/>
        <w:spacing w:after="0" w:line="240" w:lineRule="auto"/>
        <w:ind w:right="0"/>
        <w:rPr>
          <w:rFonts w:cstheme="minorHAnsi"/>
        </w:rPr>
      </w:pPr>
      <w:r w:rsidRPr="00485669">
        <w:rPr>
          <w:rFonts w:cstheme="minorHAnsi"/>
        </w:rPr>
        <w:t>Bilancami namenske rabe prostora</w:t>
      </w:r>
    </w:p>
    <w:p w14:paraId="71D23BDA" w14:textId="77777777" w:rsidR="00485669" w:rsidRPr="00485669" w:rsidRDefault="00485669" w:rsidP="00485669">
      <w:pPr>
        <w:pStyle w:val="Odstavekseznama"/>
        <w:numPr>
          <w:ilvl w:val="1"/>
          <w:numId w:val="12"/>
        </w:numPr>
        <w:autoSpaceDE w:val="0"/>
        <w:autoSpaceDN w:val="0"/>
        <w:adjustRightInd w:val="0"/>
        <w:spacing w:after="0" w:line="240" w:lineRule="auto"/>
        <w:ind w:right="0"/>
        <w:rPr>
          <w:rFonts w:cstheme="minorHAnsi"/>
        </w:rPr>
      </w:pPr>
      <w:r w:rsidRPr="00485669">
        <w:rPr>
          <w:rFonts w:cstheme="minorHAnsi"/>
        </w:rPr>
        <w:t xml:space="preserve">Pregledno karto - pregled lokacij pobud </w:t>
      </w:r>
    </w:p>
    <w:p w14:paraId="294F0844" w14:textId="77777777" w:rsidR="00485669" w:rsidRPr="00485669" w:rsidRDefault="00485669" w:rsidP="00485669">
      <w:pPr>
        <w:pStyle w:val="Odstavekseznama"/>
        <w:numPr>
          <w:ilvl w:val="0"/>
          <w:numId w:val="12"/>
        </w:numPr>
        <w:spacing w:after="0" w:line="254" w:lineRule="auto"/>
        <w:ind w:left="993" w:right="0" w:hanging="426"/>
      </w:pPr>
      <w:r w:rsidRPr="00485669">
        <w:t>okoljsko poročilo</w:t>
      </w:r>
    </w:p>
    <w:p w14:paraId="57FCEC19" w14:textId="77777777" w:rsidR="00485669" w:rsidRPr="00485669" w:rsidRDefault="00485669" w:rsidP="00485669">
      <w:pPr>
        <w:pStyle w:val="Odstavekseznama"/>
        <w:numPr>
          <w:ilvl w:val="0"/>
          <w:numId w:val="12"/>
        </w:numPr>
        <w:spacing w:after="0" w:line="254" w:lineRule="auto"/>
        <w:ind w:left="993" w:right="0" w:hanging="426"/>
      </w:pPr>
      <w:r w:rsidRPr="00485669">
        <w:t>pridobljena prva mnenja</w:t>
      </w:r>
    </w:p>
    <w:p w14:paraId="1CFA5B4B" w14:textId="77777777" w:rsidR="00485669" w:rsidRPr="00485669" w:rsidRDefault="00485669" w:rsidP="00485669">
      <w:pPr>
        <w:pStyle w:val="Odstavekseznama"/>
        <w:numPr>
          <w:ilvl w:val="0"/>
          <w:numId w:val="12"/>
        </w:numPr>
        <w:spacing w:after="0" w:line="254" w:lineRule="auto"/>
        <w:ind w:left="993" w:right="0" w:hanging="426"/>
      </w:pPr>
      <w:r w:rsidRPr="00485669">
        <w:t>pridobljena druga mnenja</w:t>
      </w:r>
    </w:p>
    <w:p w14:paraId="4B8D086A" w14:textId="77777777" w:rsidR="00485669" w:rsidRPr="00485669" w:rsidRDefault="00485669" w:rsidP="00485669">
      <w:pPr>
        <w:pStyle w:val="Odstavekseznama"/>
        <w:numPr>
          <w:ilvl w:val="0"/>
          <w:numId w:val="12"/>
        </w:numPr>
        <w:spacing w:after="0" w:line="254" w:lineRule="auto"/>
        <w:ind w:left="993" w:right="0" w:hanging="426"/>
      </w:pPr>
      <w:r w:rsidRPr="00485669">
        <w:t>povzetek za javnost</w:t>
      </w:r>
    </w:p>
    <w:p w14:paraId="29F8F0D4" w14:textId="77777777" w:rsidR="001C491B" w:rsidRPr="001C491B" w:rsidRDefault="001C491B" w:rsidP="00485669">
      <w:pPr>
        <w:pStyle w:val="Odstavekseznama"/>
        <w:numPr>
          <w:ilvl w:val="0"/>
          <w:numId w:val="12"/>
        </w:numPr>
        <w:spacing w:after="0" w:line="254" w:lineRule="auto"/>
        <w:ind w:left="993" w:right="0" w:hanging="426"/>
        <w:sectPr w:rsidR="001C491B" w:rsidRPr="001C491B" w:rsidSect="00E217AD">
          <w:headerReference w:type="default" r:id="rId10"/>
          <w:footerReference w:type="default" r:id="rId11"/>
          <w:headerReference w:type="first" r:id="rId12"/>
          <w:footerReference w:type="first" r:id="rId13"/>
          <w:pgSz w:w="11906" w:h="16838"/>
          <w:pgMar w:top="1418" w:right="1418" w:bottom="1418" w:left="1418" w:header="1304" w:footer="454" w:gutter="0"/>
          <w:cols w:space="708"/>
          <w:titlePg/>
          <w:docGrid w:linePitch="360"/>
        </w:sectPr>
      </w:pPr>
    </w:p>
    <w:p w14:paraId="5E21157B" w14:textId="7FC4E293" w:rsidR="00731380" w:rsidRDefault="007A42B0" w:rsidP="00731380">
      <w:pPr>
        <w:pStyle w:val="Nazivenote"/>
        <w:rPr>
          <w:b w:val="0"/>
          <w:bCs/>
        </w:rPr>
      </w:pPr>
      <w:r>
        <w:lastRenderedPageBreak/>
        <w:t>Oddelek za okolje, prostor in javno infrastrukturo</w:t>
      </w:r>
      <w:r w:rsidR="00731380">
        <w:br/>
      </w:r>
      <w:r w:rsidR="00731380" w:rsidRPr="008802E3">
        <w:rPr>
          <w:b w:val="0"/>
          <w:bCs/>
        </w:rPr>
        <w:t>Trg Edvarda Kardelja 1, 5000 Nova Gorica</w:t>
      </w:r>
    </w:p>
    <w:p w14:paraId="603D3EF9" w14:textId="77777777" w:rsidR="00731380" w:rsidRPr="0066085E" w:rsidRDefault="00731380" w:rsidP="00BE5B70">
      <w:pPr>
        <w:pStyle w:val="stevilkadokumenta"/>
      </w:pPr>
    </w:p>
    <w:p w14:paraId="77FE7CE8" w14:textId="7D6B2138" w:rsidR="00425EF7" w:rsidRDefault="00D94451" w:rsidP="00D94451">
      <w:pPr>
        <w:pStyle w:val="Naslov1"/>
      </w:pPr>
      <w:r>
        <w:t>Obrazložitev</w:t>
      </w:r>
    </w:p>
    <w:p w14:paraId="6E6417A4" w14:textId="33E9B6C6" w:rsidR="00D1432B" w:rsidRPr="00CF5A31" w:rsidRDefault="00D1432B" w:rsidP="00D94451">
      <w:pPr>
        <w:pStyle w:val="Naslov1"/>
        <w:numPr>
          <w:ilvl w:val="0"/>
          <w:numId w:val="20"/>
        </w:numPr>
      </w:pPr>
      <w:r w:rsidRPr="00CF5A31">
        <w:t>Razlogi, ki utemeljujejo potrebo po odloku</w:t>
      </w:r>
    </w:p>
    <w:p w14:paraId="30CEEA6D" w14:textId="77777777" w:rsidR="00CF5A31" w:rsidRPr="00CF5A31" w:rsidRDefault="00CF5A31" w:rsidP="00D94451">
      <w:pPr>
        <w:jc w:val="left"/>
        <w:rPr>
          <w:rFonts w:cstheme="minorHAnsi"/>
        </w:rPr>
      </w:pPr>
      <w:r w:rsidRPr="00CF5A31">
        <w:rPr>
          <w:rFonts w:cstheme="minorHAnsi"/>
        </w:rPr>
        <w:t xml:space="preserve">Občinski prostorski načrt Mestne občine Nova Gorica je stopil v veljavo decembra 2012 (Uradni list RS, št. 95/12, v nadaljevanju: OPN). </w:t>
      </w:r>
    </w:p>
    <w:p w14:paraId="0D04198A" w14:textId="77777777" w:rsidR="00CF5A31" w:rsidRPr="00CF5A31" w:rsidRDefault="00CF5A31" w:rsidP="00D94451">
      <w:pPr>
        <w:jc w:val="left"/>
        <w:rPr>
          <w:rFonts w:cstheme="minorHAnsi"/>
        </w:rPr>
      </w:pPr>
      <w:r w:rsidRPr="00CF5A31">
        <w:rPr>
          <w:rFonts w:cstheme="minorHAnsi"/>
        </w:rPr>
        <w:t>Pri uporabi OPN so se izkazale potrebe po korekcijah v tekstualnem delu OPN. V obdobju po sprejemu OPN sta bili sprejeti le dve obsežnejši spremembi - Odlok o spremembi Odloka o občinskem prostorskem načrtu Mestne občine Nova Gorica (Uradni list RS, št. 10/14) in Odlok o spremembah in dopolnitvah Odloka o Občinskem prostorskem načrtu Mestne občine Nova Gorica (Uradni list RS, št. 63/17; v nadaljevanju: SD5 OPN). Obe spremembi sta se nanašali le na izvedbeni del odloka. Bistvena lastnost spremembe SD5 OPN je bila, da spreminjanje zemljišč iz nestavbne v stavbno namensko rabo ni bilo predmet postopka.</w:t>
      </w:r>
    </w:p>
    <w:p w14:paraId="7154709D" w14:textId="77777777" w:rsidR="00CF5A31" w:rsidRDefault="00CF5A31" w:rsidP="00D94451">
      <w:pPr>
        <w:jc w:val="left"/>
        <w:rPr>
          <w:rFonts w:cstheme="minorHAnsi"/>
        </w:rPr>
      </w:pPr>
      <w:r w:rsidRPr="00CF5A31">
        <w:rPr>
          <w:rFonts w:cstheme="minorHAnsi"/>
        </w:rPr>
        <w:t>Glede na navedena dejstva in številne pobude vezane na razvoj gospodarskih dejavnosti (turizma, kmetijstva – vinogradništvo, sadjarstvo, obrti in ostalih), ki se nanašajo predvsem na spremembe osnovne namenske rabe zemljišč iz nestavbne v stavbno namensko rabo, je župan Mestne občine Nova Gorica sprejel Sklep o začetku priprave sprememb in dopolnitev št. 7 Občinskega prostorskega načrta Mestne občine Nova Gorica (Uradni list RS, št. 56/17).</w:t>
      </w:r>
    </w:p>
    <w:p w14:paraId="43E91BC6" w14:textId="0AB29EE5" w:rsidR="00D1432B" w:rsidRPr="002F511B" w:rsidRDefault="00D1432B" w:rsidP="0029344C">
      <w:pPr>
        <w:pStyle w:val="Naslov1"/>
        <w:numPr>
          <w:ilvl w:val="0"/>
          <w:numId w:val="20"/>
        </w:numPr>
      </w:pPr>
      <w:r w:rsidRPr="002F511B">
        <w:t>Obseg in vsebina spremembe</w:t>
      </w:r>
    </w:p>
    <w:p w14:paraId="401AC874" w14:textId="77777777" w:rsidR="002F511B" w:rsidRPr="002F511B" w:rsidRDefault="002F511B" w:rsidP="00D94451">
      <w:pPr>
        <w:jc w:val="left"/>
        <w:rPr>
          <w:rFonts w:cstheme="minorHAnsi"/>
        </w:rPr>
      </w:pPr>
      <w:r w:rsidRPr="002F511B">
        <w:rPr>
          <w:rFonts w:cstheme="minorHAnsi"/>
        </w:rPr>
        <w:t xml:space="preserve">Spremembe in dopolnitve št. 7 Občinskega prostorskega načrta Mestne občine Nova Gorica (v nadaljevanju: SD7 OPN) se nanašajo na celotno območje občine. Predmet sprememb in dopolnitev se nanaša na določila odloka OPN, spremembe in dopolnitve grafičnih prilog podrobnih prostorskih izvedbenih pogojev, spremembe osnovne namenske rabe zemljišč, določitev podrobnejše namenske rabe stavbnih zemljišč, sprememba načinov urejanja, uskladitev strateških kart OPN ter odprava tehničnih napak. </w:t>
      </w:r>
    </w:p>
    <w:p w14:paraId="5E88DD89" w14:textId="77777777" w:rsidR="002F511B" w:rsidRPr="002F511B" w:rsidRDefault="002F511B" w:rsidP="00D94451">
      <w:pPr>
        <w:jc w:val="left"/>
        <w:rPr>
          <w:rFonts w:cstheme="minorHAnsi"/>
        </w:rPr>
      </w:pPr>
      <w:r w:rsidRPr="002F511B">
        <w:rPr>
          <w:rFonts w:cstheme="minorHAnsi"/>
        </w:rPr>
        <w:t xml:space="preserve">S sklepom o začetku priprave SD7 OPN je bilo opredeljeno, da je predmet načrtovanja SD7 OPN izvedbeni del OPN in vključitev pobud, ki se nanašajo izključno na gospodarski razvoj (turizem, obrt, kmetijstvo in drugo) in razvoj javne infrastrukture. Po pridobitvi prvih mnenj nosilcev urejanja prostora (v nadaljevanju: NUP) je bila z njihove strani podana zahteva, da se skladno z njihovimi mnenji dopolnijo tudi nekatere vsebine vezane na strateški del odloka. Prav tako so predmet sprememb uskladitve z novo Uredbo o razvrščanju objektov (Uradni list </w:t>
      </w:r>
      <w:r w:rsidRPr="002F511B">
        <w:rPr>
          <w:rFonts w:cstheme="minorHAnsi"/>
        </w:rPr>
        <w:lastRenderedPageBreak/>
        <w:t xml:space="preserve">RS, št. 96/22) in Gradbenim zakonom </w:t>
      </w:r>
      <w:bookmarkStart w:id="1" w:name="_Hlk134179875"/>
      <w:r w:rsidRPr="002F511B">
        <w:rPr>
          <w:rFonts w:cstheme="minorHAnsi"/>
        </w:rPr>
        <w:t xml:space="preserve">(Uradni list RS, št. 199/21 in 105/22 – ZZNŠPP, 133/23, 85/24 – ZAID-A, 47/25 – odl. US in 75/25; v nadaljevanju: Gradbeni zakon). </w:t>
      </w:r>
      <w:bookmarkEnd w:id="1"/>
      <w:r w:rsidRPr="002F511B">
        <w:rPr>
          <w:rFonts w:cstheme="minorHAnsi"/>
        </w:rPr>
        <w:t xml:space="preserve">Vključeni so tudi popravki oziroma dopolnitve prostorskih izvedbenih pogojev, ki so se izkazali za potrebne, zaradi izboljšave izvajanja določil OPN, zaradi neskladij znotraj akta in zahtev NUP. </w:t>
      </w:r>
    </w:p>
    <w:p w14:paraId="14F90A6F" w14:textId="43A7B0FA" w:rsidR="002F511B" w:rsidRPr="002F511B" w:rsidRDefault="002F511B" w:rsidP="002F511B">
      <w:pPr>
        <w:rPr>
          <w:highlight w:val="yellow"/>
        </w:rPr>
      </w:pPr>
      <w:r w:rsidRPr="002F511B">
        <w:rPr>
          <w:rFonts w:cstheme="minorHAnsi"/>
        </w:rPr>
        <w:t xml:space="preserve">Predlagane spremembe in dopolnitve SD7 OPN se tako nanašajo na spremembo osnovne in podrobne namenske rabe prostora in na spremembo ali dopolnitev prostorsko izvedbenih pogojev. Glede na pridobljena prva mnenja NUP se dopolnjuje tudi grafični del strateškega dela OPN in sicer Karta 1 – Zasnova prostorskega razvoja in Karta 4.1 – Usmeritve za razvoj v krajini – dejavnosti in naravni viri.  </w:t>
      </w:r>
    </w:p>
    <w:p w14:paraId="714A5039" w14:textId="1B103C9E" w:rsidR="00D1432B" w:rsidRPr="0029344C" w:rsidRDefault="00757B08" w:rsidP="009060A3">
      <w:pPr>
        <w:rPr>
          <w:b/>
          <w:bCs w:val="0"/>
          <w:color w:val="2F5496" w:themeColor="accent1" w:themeShade="BF"/>
        </w:rPr>
      </w:pPr>
      <w:r w:rsidRPr="0029344C">
        <w:rPr>
          <w:b/>
          <w:bCs w:val="0"/>
          <w:color w:val="2F5496" w:themeColor="accent1" w:themeShade="BF"/>
        </w:rPr>
        <w:t>Bistveni sklopi sprememb SD7 OPN</w:t>
      </w:r>
    </w:p>
    <w:p w14:paraId="7C3DCACA" w14:textId="77777777" w:rsidR="004D58F4" w:rsidRPr="008047F2" w:rsidRDefault="004D58F4" w:rsidP="00426B10">
      <w:pPr>
        <w:pStyle w:val="Odstavekseznama"/>
        <w:numPr>
          <w:ilvl w:val="0"/>
          <w:numId w:val="19"/>
        </w:numPr>
        <w:spacing w:after="120" w:line="240" w:lineRule="auto"/>
        <w:ind w:left="993" w:right="0" w:hanging="284"/>
        <w:rPr>
          <w:rFonts w:cstheme="minorHAnsi"/>
        </w:rPr>
      </w:pPr>
      <w:r w:rsidRPr="008047F2">
        <w:rPr>
          <w:rFonts w:cstheme="minorHAnsi"/>
        </w:rPr>
        <w:t>Uporabljeni izrazi</w:t>
      </w:r>
    </w:p>
    <w:p w14:paraId="6999B3F2" w14:textId="77777777" w:rsidR="004D58F4" w:rsidRPr="008047F2" w:rsidRDefault="004D58F4" w:rsidP="004D58F4">
      <w:pPr>
        <w:rPr>
          <w:rFonts w:cstheme="minorHAnsi"/>
        </w:rPr>
      </w:pPr>
      <w:r w:rsidRPr="008047F2">
        <w:rPr>
          <w:rFonts w:cstheme="minorHAnsi"/>
        </w:rPr>
        <w:t>Pojmovnik se dopolni s termini, ki se s spremembo na novo uvajajo v akt ali v njem niso bili obrazloženi, in sicer glamping, bivanje, javna površina, odprti javni prostor, objekt v javni rabi, osnovni objekt, pomožni objekt in mobilnostni načrt. Pojmi se v celotnem odloku uskladijo z Gradbenim zakonom.</w:t>
      </w:r>
    </w:p>
    <w:p w14:paraId="489941D3" w14:textId="77777777" w:rsidR="004D58F4" w:rsidRPr="008047F2" w:rsidRDefault="004D58F4" w:rsidP="00426B10">
      <w:pPr>
        <w:pStyle w:val="Odstavekseznama"/>
        <w:numPr>
          <w:ilvl w:val="0"/>
          <w:numId w:val="19"/>
        </w:numPr>
        <w:spacing w:after="120" w:line="240" w:lineRule="auto"/>
        <w:ind w:left="993" w:right="0" w:hanging="284"/>
        <w:rPr>
          <w:rFonts w:cstheme="minorHAnsi"/>
        </w:rPr>
      </w:pPr>
      <w:r w:rsidRPr="008047F2">
        <w:rPr>
          <w:rFonts w:cstheme="minorHAnsi"/>
        </w:rPr>
        <w:t>Usmeritve za razvoj turizma in rekreacije v naravnem okolju</w:t>
      </w:r>
    </w:p>
    <w:p w14:paraId="3A7F1F9B" w14:textId="77777777" w:rsidR="004D58F4" w:rsidRPr="008047F2" w:rsidRDefault="004D58F4" w:rsidP="004D58F4">
      <w:pPr>
        <w:rPr>
          <w:rFonts w:cstheme="minorHAnsi"/>
        </w:rPr>
      </w:pPr>
      <w:r w:rsidRPr="008047F2">
        <w:rPr>
          <w:rFonts w:cstheme="minorHAnsi"/>
        </w:rPr>
        <w:t>Vsebina člena se dopolni na podlagi izdelane strokovne podlage Krajinska zasnova Mestne občine Nova Gorica in sicer predvsem z območji lokalne prepoznavnosti ter usmeritvami za mrežo peš in kolesarskih poti.</w:t>
      </w:r>
    </w:p>
    <w:p w14:paraId="39EC62FD" w14:textId="77777777" w:rsidR="004D58F4" w:rsidRPr="008047F2" w:rsidRDefault="004D58F4" w:rsidP="00426B10">
      <w:pPr>
        <w:pStyle w:val="Odstavekseznama"/>
        <w:numPr>
          <w:ilvl w:val="0"/>
          <w:numId w:val="19"/>
        </w:numPr>
        <w:spacing w:after="120" w:line="240" w:lineRule="auto"/>
        <w:ind w:left="993" w:right="0" w:hanging="284"/>
        <w:rPr>
          <w:rFonts w:cstheme="minorHAnsi"/>
        </w:rPr>
      </w:pPr>
      <w:r w:rsidRPr="008047F2">
        <w:rPr>
          <w:rFonts w:cstheme="minorHAnsi"/>
        </w:rPr>
        <w:t xml:space="preserve">Osnovni in pomožni objekt </w:t>
      </w:r>
    </w:p>
    <w:p w14:paraId="3C9E4A0B" w14:textId="77777777" w:rsidR="004D58F4" w:rsidRPr="008047F2" w:rsidRDefault="004D58F4" w:rsidP="00D94451">
      <w:pPr>
        <w:jc w:val="left"/>
        <w:rPr>
          <w:rFonts w:cstheme="minorHAnsi"/>
        </w:rPr>
      </w:pPr>
      <w:r w:rsidRPr="008047F2">
        <w:rPr>
          <w:rFonts w:cstheme="minorHAnsi"/>
        </w:rPr>
        <w:t xml:space="preserve">Uskladitev OPN z Uredbo o razvrščanju objektov je sistemska in zato najobsežnejša sprememba. V akt se uvaja nova regulacija preko osnovnih in pomožnih objektov, kot to priporoča Tehnična smernica za razvrščanje objektov TSG–V–006:2022. Regulacija umeščanja po vrstah stavbnih namenskih rab se konkretizira glede na vrste objektov le za osnovne stavbe, pomožne stavbe pa so regulirane le s splošnimi pogoji in ne taksativno. S predlagano spremembo se gradnja stavb v aktu ne naslanja več na vrsto objekta glede na zahtevnost (enostavni, nezahtevni, manj zahtevni, zahtevni), temveč na druge lastnosti objektov. V OPN se smiselno prenesejo določila glede oblikovanja pomožnih (prej enostavnih in nezahtevnih) objektov. Z novo uredbo se med objekte štejejo tudi drugi gradbeni posegi, nekateri od teh v prejšnjem predpisu niso bili razvrščeni in posledično tudi v OPN slabše obravnavani. Posegi, ki so dovoljeni na kmetijskih, gozdnih, vodnih in drugih nestavbnih </w:t>
      </w:r>
      <w:r>
        <w:rPr>
          <w:rFonts w:cstheme="minorHAnsi"/>
        </w:rPr>
        <w:t xml:space="preserve">namenskih </w:t>
      </w:r>
      <w:r w:rsidRPr="008047F2">
        <w:rPr>
          <w:rFonts w:cstheme="minorHAnsi"/>
        </w:rPr>
        <w:t>rabah so skladni s področnimi zakonodajami. Osnovni objekti, ki se lahko gradijo na stavbnih namenskih rabah so po novem določeni v Prilogi 1. Priloga 1 ne obravnava več vrste dovoljenih enostavnih in nezahtevnih objektov.</w:t>
      </w:r>
    </w:p>
    <w:p w14:paraId="1F8B6270" w14:textId="77777777" w:rsidR="004D58F4" w:rsidRPr="008047F2" w:rsidRDefault="004D58F4" w:rsidP="00D94451">
      <w:pPr>
        <w:pStyle w:val="Odstavekseznama"/>
        <w:numPr>
          <w:ilvl w:val="0"/>
          <w:numId w:val="19"/>
        </w:numPr>
        <w:spacing w:after="120" w:line="240" w:lineRule="auto"/>
        <w:ind w:left="993" w:right="0" w:hanging="284"/>
        <w:jc w:val="left"/>
        <w:rPr>
          <w:rFonts w:cstheme="minorHAnsi"/>
        </w:rPr>
      </w:pPr>
      <w:r w:rsidRPr="008047F2">
        <w:rPr>
          <w:rFonts w:cstheme="minorHAnsi"/>
        </w:rPr>
        <w:t xml:space="preserve">Parkirni normativi </w:t>
      </w:r>
    </w:p>
    <w:p w14:paraId="414C1F61" w14:textId="77777777" w:rsidR="004D58F4" w:rsidRPr="008047F2" w:rsidRDefault="004D58F4" w:rsidP="00D94451">
      <w:pPr>
        <w:jc w:val="left"/>
        <w:rPr>
          <w:rFonts w:cstheme="minorHAnsi"/>
        </w:rPr>
      </w:pPr>
      <w:r w:rsidRPr="008047F2">
        <w:rPr>
          <w:rFonts w:cstheme="minorHAnsi"/>
        </w:rPr>
        <w:t xml:space="preserve">Spremenijo se določila o dimenzioniranju števila parkirnih mest, s čimer se akt prilagaja usmeritvam iz Celostne prometnega strategije ter splošni usmeritvi razvoja občine k trajnostnejšemu načrtovanju in mobilnosti. Parkirni normativi se </w:t>
      </w:r>
      <w:r w:rsidRPr="008047F2">
        <w:rPr>
          <w:rFonts w:cstheme="minorHAnsi"/>
        </w:rPr>
        <w:lastRenderedPageBreak/>
        <w:t>zmanjšujejo za osebna vozila za stanovanjske objekte in dvigujejo za kolesa. Pomembna je uvedba mehanizma mobilnostnega načrta, ki lahko za izbrane družbene dejavnosti normative tudi spreminja.</w:t>
      </w:r>
    </w:p>
    <w:p w14:paraId="205CAB06" w14:textId="77777777" w:rsidR="004D58F4" w:rsidRPr="008047F2" w:rsidRDefault="004D58F4" w:rsidP="00D94451">
      <w:pPr>
        <w:pStyle w:val="Odstavekseznama"/>
        <w:numPr>
          <w:ilvl w:val="0"/>
          <w:numId w:val="19"/>
        </w:numPr>
        <w:spacing w:after="120" w:line="240" w:lineRule="auto"/>
        <w:ind w:left="993" w:right="0" w:hanging="284"/>
        <w:jc w:val="left"/>
        <w:rPr>
          <w:rFonts w:cstheme="minorHAnsi"/>
        </w:rPr>
      </w:pPr>
      <w:r w:rsidRPr="008047F2">
        <w:rPr>
          <w:rFonts w:cstheme="minorHAnsi"/>
        </w:rPr>
        <w:t xml:space="preserve">Oblikovanje jasnejših določil </w:t>
      </w:r>
    </w:p>
    <w:p w14:paraId="1E19D668" w14:textId="77777777" w:rsidR="004D58F4" w:rsidRPr="008047F2" w:rsidRDefault="004D58F4" w:rsidP="00D94451">
      <w:pPr>
        <w:jc w:val="left"/>
        <w:rPr>
          <w:rFonts w:cstheme="minorHAnsi"/>
        </w:rPr>
      </w:pPr>
      <w:r w:rsidRPr="008047F2">
        <w:rPr>
          <w:rFonts w:cstheme="minorHAnsi"/>
        </w:rPr>
        <w:t>Na podlagi uporabe OPN so v SD7 OPN predlagane določene izboljšave jasnosti navedb v odloku OPN, ki se nanašajo predvsem na določila o odmikih, velikostih objektov, oblikovanje objektov, velikosti in oblike parcele objekta in varstva kulturne dediščine. Določajo se tudi dovoljena odstopanja pri načrtovanju z OPPN.</w:t>
      </w:r>
    </w:p>
    <w:p w14:paraId="6043035C" w14:textId="77777777" w:rsidR="004D58F4" w:rsidRDefault="004D58F4" w:rsidP="00D94451">
      <w:pPr>
        <w:pStyle w:val="Odstavekseznama"/>
        <w:numPr>
          <w:ilvl w:val="0"/>
          <w:numId w:val="19"/>
        </w:numPr>
        <w:spacing w:after="120" w:line="240" w:lineRule="auto"/>
        <w:ind w:left="993" w:right="0" w:hanging="284"/>
        <w:jc w:val="left"/>
        <w:rPr>
          <w:rFonts w:cstheme="minorHAnsi"/>
        </w:rPr>
      </w:pPr>
      <w:r w:rsidRPr="008047F2">
        <w:rPr>
          <w:rFonts w:cstheme="minorHAnsi"/>
        </w:rPr>
        <w:t>Podrobni prostorski izvedbeni pogoji – tekst in grafični del – bistvene spremembe</w:t>
      </w:r>
    </w:p>
    <w:p w14:paraId="7B23F70F" w14:textId="77777777" w:rsidR="0002073C" w:rsidRDefault="0002073C" w:rsidP="00D94451">
      <w:pPr>
        <w:pStyle w:val="Odstavekseznama"/>
        <w:spacing w:after="0" w:line="240" w:lineRule="auto"/>
        <w:ind w:right="0"/>
        <w:jc w:val="left"/>
        <w:rPr>
          <w:rFonts w:cstheme="minorHAnsi"/>
        </w:rPr>
      </w:pPr>
    </w:p>
    <w:p w14:paraId="44260473" w14:textId="20D3DF23" w:rsidR="0002073C" w:rsidRDefault="0002073C" w:rsidP="00D94451">
      <w:pPr>
        <w:pStyle w:val="Odstavekseznama"/>
        <w:spacing w:after="0" w:line="240" w:lineRule="auto"/>
        <w:ind w:right="0"/>
        <w:jc w:val="left"/>
        <w:rPr>
          <w:rFonts w:cstheme="minorHAnsi"/>
        </w:rPr>
      </w:pPr>
      <w:r>
        <w:rPr>
          <w:rFonts w:cstheme="minorHAnsi"/>
        </w:rPr>
        <w:t xml:space="preserve">Tabela podrobnih prostorsko-izvedbenih pogojev se oblikujejo kot Priloga 4 k odloku in ne več kot del odloka (prejšnji 109. člen). Tabelo se dopolni </w:t>
      </w:r>
      <w:r w:rsidRPr="00AE1A76">
        <w:rPr>
          <w:rFonts w:cstheme="minorHAnsi"/>
        </w:rPr>
        <w:t>s podrobnimi PIP in usmeritvami za OPPN; vključene so nove oziroma spremenjene EUP, sklici na grafične PPIP, omilitvene ukrepe in dodane opombe vezane na izdelane strokovne podlage za posege na plazljivih območjih.</w:t>
      </w:r>
    </w:p>
    <w:p w14:paraId="018579A9" w14:textId="77777777" w:rsidR="0002073C" w:rsidRDefault="0002073C" w:rsidP="00D94451">
      <w:pPr>
        <w:pStyle w:val="Odstavekseznama"/>
        <w:spacing w:after="0"/>
        <w:jc w:val="left"/>
        <w:rPr>
          <w:rFonts w:cstheme="minorHAnsi"/>
        </w:rPr>
      </w:pPr>
    </w:p>
    <w:p w14:paraId="7898FF9D" w14:textId="77777777" w:rsidR="0002073C" w:rsidRPr="008047F2" w:rsidRDefault="0002073C" w:rsidP="00D94451">
      <w:pPr>
        <w:pStyle w:val="Odstavekseznama"/>
        <w:spacing w:after="0" w:line="240" w:lineRule="auto"/>
        <w:ind w:right="0"/>
        <w:jc w:val="left"/>
        <w:rPr>
          <w:rFonts w:cstheme="minorHAnsi"/>
        </w:rPr>
      </w:pPr>
      <w:r w:rsidRPr="008047F2">
        <w:rPr>
          <w:rFonts w:cstheme="minorHAnsi"/>
        </w:rPr>
        <w:t xml:space="preserve">Kampi, glampingi </w:t>
      </w:r>
    </w:p>
    <w:p w14:paraId="20932538" w14:textId="77777777" w:rsidR="0002073C" w:rsidRPr="008047F2" w:rsidRDefault="0002073C" w:rsidP="00D94451">
      <w:pPr>
        <w:pStyle w:val="Odstavekseznama"/>
        <w:ind w:left="709"/>
        <w:jc w:val="left"/>
        <w:rPr>
          <w:rFonts w:cstheme="minorHAnsi"/>
        </w:rPr>
      </w:pPr>
      <w:r w:rsidRPr="008047F2">
        <w:rPr>
          <w:rFonts w:cstheme="minorHAnsi"/>
        </w:rPr>
        <w:t>Kampi in sorodne namestitve so načrtovani v EUP BR-11/07, BR-11/08, LK-03/272, LV-07/04, OS-06/06, PS-03/02, ŠE-03/02, ŠM-09/472, TR-11/05, ZA-04/06 in ZA-04/07. Za vse EUP so izdelani grafični PPIP v Prilogi 3. Umeščanje in usmeritve za oblikovanje kampov so bile podane na podlagi strokovne podlage Krajinska zasnova Mestne občine Nova Gorica in strokovne podlage Umestitev kampov v prostor Mestne občine Nova Gorica.</w:t>
      </w:r>
    </w:p>
    <w:p w14:paraId="4807AC09" w14:textId="77777777" w:rsidR="0002073C" w:rsidRPr="008047F2" w:rsidRDefault="0002073C" w:rsidP="00D94451">
      <w:pPr>
        <w:pStyle w:val="Odstavekseznama"/>
        <w:jc w:val="left"/>
        <w:rPr>
          <w:rFonts w:cstheme="minorHAnsi"/>
          <w:sz w:val="22"/>
        </w:rPr>
      </w:pPr>
    </w:p>
    <w:p w14:paraId="695FB52D" w14:textId="77777777" w:rsidR="0002073C" w:rsidRPr="008047F2" w:rsidRDefault="0002073C" w:rsidP="00D94451">
      <w:pPr>
        <w:pStyle w:val="Odstavekseznama"/>
        <w:spacing w:after="0" w:line="240" w:lineRule="auto"/>
        <w:ind w:right="0"/>
        <w:jc w:val="left"/>
        <w:rPr>
          <w:rFonts w:cstheme="minorHAnsi"/>
        </w:rPr>
      </w:pPr>
      <w:r w:rsidRPr="008047F2">
        <w:rPr>
          <w:rFonts w:cstheme="minorHAnsi"/>
        </w:rPr>
        <w:t>KR-01/01 in KR-01/02</w:t>
      </w:r>
    </w:p>
    <w:p w14:paraId="17B66C5F" w14:textId="77777777" w:rsidR="0002073C" w:rsidRPr="008047F2" w:rsidRDefault="0002073C" w:rsidP="00D94451">
      <w:pPr>
        <w:pStyle w:val="Odstavekseznama"/>
        <w:ind w:left="709"/>
        <w:jc w:val="left"/>
        <w:rPr>
          <w:rFonts w:cstheme="minorHAnsi"/>
        </w:rPr>
      </w:pPr>
      <w:r w:rsidRPr="008047F2">
        <w:rPr>
          <w:rFonts w:cstheme="minorHAnsi"/>
        </w:rPr>
        <w:t>Ukinitev ZN Pavšičevo. PIA je skoraj v celoti izveden, zato se akt ukine in nadomesti s tekstualnimi in grafičnimi PPIP v Prilogi 3.</w:t>
      </w:r>
    </w:p>
    <w:p w14:paraId="4C683700" w14:textId="77777777" w:rsidR="0002073C" w:rsidRPr="008047F2" w:rsidRDefault="0002073C" w:rsidP="00D94451">
      <w:pPr>
        <w:pStyle w:val="Odstavekseznama"/>
        <w:spacing w:after="0"/>
        <w:jc w:val="left"/>
        <w:rPr>
          <w:rFonts w:cstheme="minorHAnsi"/>
        </w:rPr>
      </w:pPr>
    </w:p>
    <w:p w14:paraId="5512E792" w14:textId="77777777" w:rsidR="0002073C" w:rsidRPr="008047F2" w:rsidRDefault="0002073C" w:rsidP="00D94451">
      <w:pPr>
        <w:pStyle w:val="Odstavekseznama"/>
        <w:spacing w:after="0" w:line="240" w:lineRule="auto"/>
        <w:ind w:right="0"/>
        <w:jc w:val="left"/>
        <w:rPr>
          <w:rFonts w:cstheme="minorHAnsi"/>
        </w:rPr>
      </w:pPr>
      <w:r w:rsidRPr="008047F2">
        <w:rPr>
          <w:rFonts w:cstheme="minorHAnsi"/>
        </w:rPr>
        <w:t>KR-16/02</w:t>
      </w:r>
    </w:p>
    <w:p w14:paraId="514AAD72" w14:textId="77777777" w:rsidR="0002073C" w:rsidRPr="008047F2" w:rsidRDefault="0002073C" w:rsidP="00D94451">
      <w:pPr>
        <w:pStyle w:val="Odstavekseznama"/>
        <w:ind w:left="709"/>
        <w:jc w:val="left"/>
        <w:rPr>
          <w:rFonts w:cstheme="minorHAnsi"/>
        </w:rPr>
      </w:pPr>
      <w:r w:rsidRPr="008047F2">
        <w:rPr>
          <w:rFonts w:cstheme="minorHAnsi"/>
        </w:rPr>
        <w:t>Za območje Borštnikovega se predvidi urejanje z OPPN. Podane so usmeritve za urejanja.</w:t>
      </w:r>
    </w:p>
    <w:p w14:paraId="38ECCD59" w14:textId="77777777" w:rsidR="0002073C" w:rsidRPr="008047F2" w:rsidRDefault="0002073C" w:rsidP="00D94451">
      <w:pPr>
        <w:pStyle w:val="Odstavekseznama"/>
        <w:jc w:val="left"/>
        <w:rPr>
          <w:rFonts w:cstheme="minorHAnsi"/>
          <w:sz w:val="22"/>
        </w:rPr>
      </w:pPr>
    </w:p>
    <w:p w14:paraId="6F8EAE7D" w14:textId="77777777" w:rsidR="0002073C" w:rsidRPr="008047F2" w:rsidRDefault="0002073C" w:rsidP="00D94451">
      <w:pPr>
        <w:pStyle w:val="Odstavekseznama"/>
        <w:spacing w:after="0" w:line="240" w:lineRule="auto"/>
        <w:ind w:right="0"/>
        <w:jc w:val="left"/>
        <w:rPr>
          <w:rFonts w:cstheme="minorHAnsi"/>
        </w:rPr>
      </w:pPr>
      <w:r w:rsidRPr="008047F2">
        <w:rPr>
          <w:rFonts w:cstheme="minorHAnsi"/>
        </w:rPr>
        <w:t xml:space="preserve">NG-19/02 </w:t>
      </w:r>
    </w:p>
    <w:p w14:paraId="4FC8E579" w14:textId="77777777" w:rsidR="0002073C" w:rsidRPr="00E57F63" w:rsidRDefault="0002073C" w:rsidP="00D94451">
      <w:pPr>
        <w:pStyle w:val="Odstavekseznama"/>
        <w:ind w:left="709"/>
        <w:jc w:val="left"/>
        <w:rPr>
          <w:rFonts w:cstheme="minorHAnsi"/>
        </w:rPr>
      </w:pPr>
      <w:r w:rsidRPr="008047F2">
        <w:rPr>
          <w:rFonts w:cstheme="minorHAnsi"/>
        </w:rPr>
        <w:t>Na območju se načrtuje razvoj obstoječe gospodarske dejavnosti. Predpišejo se tekstualni PIP in GM v Prilogi 2.</w:t>
      </w:r>
    </w:p>
    <w:p w14:paraId="69183ABB" w14:textId="77777777" w:rsidR="0002073C" w:rsidRPr="008047F2" w:rsidRDefault="0002073C" w:rsidP="00D94451">
      <w:pPr>
        <w:pStyle w:val="Odstavekseznama"/>
        <w:jc w:val="left"/>
        <w:rPr>
          <w:rFonts w:cstheme="minorHAnsi"/>
          <w:sz w:val="22"/>
        </w:rPr>
      </w:pPr>
    </w:p>
    <w:p w14:paraId="619207BA" w14:textId="77777777" w:rsidR="0002073C" w:rsidRPr="008047F2" w:rsidRDefault="0002073C" w:rsidP="00D94451">
      <w:pPr>
        <w:pStyle w:val="Odstavekseznama"/>
        <w:spacing w:after="0" w:line="240" w:lineRule="auto"/>
        <w:ind w:right="0"/>
        <w:jc w:val="left"/>
        <w:rPr>
          <w:rFonts w:cstheme="minorHAnsi"/>
        </w:rPr>
      </w:pPr>
      <w:r w:rsidRPr="008047F2">
        <w:rPr>
          <w:rFonts w:cstheme="minorHAnsi"/>
        </w:rPr>
        <w:t xml:space="preserve">ŠM-07 </w:t>
      </w:r>
    </w:p>
    <w:p w14:paraId="283BC14D" w14:textId="5B2451CE" w:rsidR="0002073C" w:rsidRPr="0002073C" w:rsidRDefault="0002073C" w:rsidP="00D94451">
      <w:pPr>
        <w:pStyle w:val="Odstavekseznama"/>
        <w:ind w:left="709"/>
        <w:jc w:val="left"/>
        <w:rPr>
          <w:rFonts w:cstheme="minorHAnsi"/>
        </w:rPr>
      </w:pPr>
      <w:r w:rsidRPr="008047F2">
        <w:rPr>
          <w:rFonts w:cstheme="minorHAnsi"/>
        </w:rPr>
        <w:t>Območje zaselka Šmihel se ureja na podlagi LN za vplivno območje plazu Šmihel v MONG. Veljavni državni izvedbeni akt ureja sanacijo plazu, izpuščena pa so določila za ureditve lokalnega pomena, posebej za ureditve poselitve. Zaradi navedene situacije prebivalci zaselka že od leta 2006 nimajo pravne podlage za vse vrste gradenj na svojih nepremičninah. Akt je trenutno v spreminjanju. Ker vsebinske razmejitve med državnim in občinskim prostorskim aktom z vidika urejanja poselitve še niso sprejete, se je MONG odločila, da v OPN predhodno vključi določila za urejanje te problematike. Usmeritve za gradnjo so podane tudi v Prilogi 3.</w:t>
      </w:r>
    </w:p>
    <w:p w14:paraId="4A327B46" w14:textId="77777777" w:rsidR="0002073C" w:rsidRDefault="0002073C" w:rsidP="00D94451">
      <w:pPr>
        <w:pStyle w:val="Odstavekseznama"/>
        <w:spacing w:after="0" w:line="240" w:lineRule="auto"/>
        <w:ind w:right="0"/>
        <w:jc w:val="left"/>
        <w:rPr>
          <w:rFonts w:cstheme="minorHAnsi"/>
        </w:rPr>
      </w:pPr>
    </w:p>
    <w:p w14:paraId="17736FE1" w14:textId="1B6343F3" w:rsidR="0002073C" w:rsidRPr="008047F2" w:rsidRDefault="0002073C" w:rsidP="00D94451">
      <w:pPr>
        <w:pStyle w:val="Odstavekseznama"/>
        <w:spacing w:after="0" w:line="240" w:lineRule="auto"/>
        <w:ind w:right="0"/>
        <w:jc w:val="left"/>
        <w:rPr>
          <w:rFonts w:cstheme="minorHAnsi"/>
        </w:rPr>
      </w:pPr>
      <w:r w:rsidRPr="008047F2">
        <w:rPr>
          <w:rFonts w:cstheme="minorHAnsi"/>
        </w:rPr>
        <w:lastRenderedPageBreak/>
        <w:t>KR-29</w:t>
      </w:r>
    </w:p>
    <w:p w14:paraId="4297DA76" w14:textId="77777777" w:rsidR="0002073C" w:rsidRDefault="0002073C" w:rsidP="00D94451">
      <w:pPr>
        <w:pStyle w:val="Odstavekseznama"/>
        <w:ind w:left="709"/>
        <w:jc w:val="left"/>
        <w:rPr>
          <w:rFonts w:cstheme="minorHAnsi"/>
        </w:rPr>
      </w:pPr>
      <w:r w:rsidRPr="008047F2">
        <w:rPr>
          <w:rFonts w:cstheme="minorHAnsi"/>
        </w:rPr>
        <w:t xml:space="preserve">Območje poslovne cone Kromberk </w:t>
      </w:r>
      <w:r>
        <w:rPr>
          <w:rFonts w:cstheme="minorHAnsi"/>
        </w:rPr>
        <w:t xml:space="preserve">zahod </w:t>
      </w:r>
      <w:r w:rsidRPr="008047F2">
        <w:rPr>
          <w:rFonts w:cstheme="minorHAnsi"/>
        </w:rPr>
        <w:t>se bo urejalo celovito z OPPN. Za akt so podane usmeritve, tako v tekstualnem kot grafičnem delu v Prilogi 3.</w:t>
      </w:r>
    </w:p>
    <w:p w14:paraId="56A4C4E5" w14:textId="77777777" w:rsidR="0002073C" w:rsidRDefault="0002073C" w:rsidP="00D94451">
      <w:pPr>
        <w:pStyle w:val="Odstavekseznama"/>
        <w:ind w:left="709"/>
        <w:jc w:val="left"/>
        <w:rPr>
          <w:rFonts w:cstheme="minorHAnsi"/>
        </w:rPr>
      </w:pPr>
    </w:p>
    <w:p w14:paraId="0A2271D7" w14:textId="77777777" w:rsidR="0002073C" w:rsidRPr="00F239B1" w:rsidRDefault="0002073C" w:rsidP="00D94451">
      <w:pPr>
        <w:pStyle w:val="Odstavekseznama"/>
        <w:spacing w:after="0" w:line="240" w:lineRule="auto"/>
        <w:ind w:right="0"/>
        <w:jc w:val="left"/>
        <w:rPr>
          <w:rFonts w:cstheme="minorHAnsi"/>
        </w:rPr>
      </w:pPr>
      <w:r w:rsidRPr="00F239B1">
        <w:rPr>
          <w:rFonts w:cstheme="minorHAnsi"/>
        </w:rPr>
        <w:t>LV – 05/01 in LV-05/04</w:t>
      </w:r>
    </w:p>
    <w:p w14:paraId="6676071E" w14:textId="77777777" w:rsidR="0002073C" w:rsidRDefault="0002073C" w:rsidP="00D94451">
      <w:pPr>
        <w:pStyle w:val="Odstavekseznama"/>
        <w:spacing w:after="0"/>
        <w:jc w:val="left"/>
        <w:rPr>
          <w:rFonts w:cstheme="minorHAnsi"/>
        </w:rPr>
      </w:pPr>
      <w:r w:rsidRPr="00F239B1">
        <w:rPr>
          <w:rFonts w:cstheme="minorHAnsi"/>
        </w:rPr>
        <w:t>Urejanje osrednjega območja Lokvi je v veljavnem odloku predvideno z javnim natečajem. Predlaga se urejanje na podlagi strokovne podlage, ki jo potrdi strokovna služba MONG.</w:t>
      </w:r>
    </w:p>
    <w:p w14:paraId="58FBE4B6" w14:textId="77777777" w:rsidR="0002073C" w:rsidRPr="008047F2" w:rsidRDefault="0002073C" w:rsidP="00D94451">
      <w:pPr>
        <w:pStyle w:val="Odstavekseznama"/>
        <w:jc w:val="left"/>
        <w:rPr>
          <w:rFonts w:cstheme="minorHAnsi"/>
          <w:sz w:val="22"/>
        </w:rPr>
      </w:pPr>
    </w:p>
    <w:p w14:paraId="5281F9A6" w14:textId="77777777" w:rsidR="0002073C" w:rsidRPr="008047F2" w:rsidRDefault="0002073C" w:rsidP="00D94451">
      <w:pPr>
        <w:pStyle w:val="Odstavekseznama"/>
        <w:spacing w:after="0"/>
        <w:jc w:val="left"/>
        <w:rPr>
          <w:rFonts w:cstheme="minorHAnsi"/>
        </w:rPr>
      </w:pPr>
      <w:r w:rsidRPr="008047F2">
        <w:rPr>
          <w:rFonts w:cstheme="minorHAnsi"/>
        </w:rPr>
        <w:t>Spremembe v nadaljevanju naštetih EUP se nanašajo na vnos drugih gospodarskih pobud in sicer ZA-04/05 (konjereja), BA-05/02 (obrtna gospodarska dejavnost), BT-03/01 (OPPN za hlev za govedo), GR-03/227 (lovska koča), PR-03/03 (vinska klet), PR-05/01 (obrtna gospodarska dejavnost), PR-09/02 (objekti za konje in spravilo sena), ŠE-09/06 (umestitev kmetijskih objektov), OS-06/06 (parkirišče za avtodome), ZA-05/03 (gospodarsko poslopje).</w:t>
      </w:r>
    </w:p>
    <w:p w14:paraId="5F5345D8" w14:textId="77777777" w:rsidR="0002073C" w:rsidRPr="008047F2" w:rsidRDefault="0002073C" w:rsidP="00D94451">
      <w:pPr>
        <w:pStyle w:val="Odstavekseznama"/>
        <w:spacing w:after="0"/>
        <w:jc w:val="left"/>
        <w:rPr>
          <w:rFonts w:cstheme="minorHAnsi"/>
        </w:rPr>
      </w:pPr>
    </w:p>
    <w:p w14:paraId="18AB68EE" w14:textId="77777777" w:rsidR="0002073C" w:rsidRPr="008047F2" w:rsidRDefault="0002073C" w:rsidP="00D94451">
      <w:pPr>
        <w:pStyle w:val="Odstavekseznama"/>
        <w:spacing w:after="0"/>
        <w:jc w:val="left"/>
        <w:rPr>
          <w:rFonts w:cstheme="minorHAnsi"/>
        </w:rPr>
      </w:pPr>
      <w:r w:rsidRPr="008047F2">
        <w:rPr>
          <w:rFonts w:cstheme="minorHAnsi"/>
        </w:rPr>
        <w:t>Določila so usklajena s Prilogo 2, smernicami nosilcev NUP, terminologijo Gradbenega zakona in Uredbe o razvrščanju objektov, drugimi spremenjenimi pravnimi akti, ažuriranjem (recimo ŠE-11/08 - vris veljavnega OPPN kmetijsko gospodarstvo Cernatič v Šempasu) in drugimi pripombami tehnične narave.</w:t>
      </w:r>
    </w:p>
    <w:p w14:paraId="4D91DAA6" w14:textId="77777777" w:rsidR="00757B08" w:rsidRDefault="00757B08" w:rsidP="009060A3">
      <w:pPr>
        <w:rPr>
          <w:b/>
          <w:bCs w:val="0"/>
        </w:rPr>
      </w:pPr>
    </w:p>
    <w:p w14:paraId="4E4068F2" w14:textId="3121E4EE" w:rsidR="00757B08" w:rsidRPr="0029344C" w:rsidRDefault="0022391F" w:rsidP="009060A3">
      <w:pPr>
        <w:rPr>
          <w:b/>
          <w:bCs w:val="0"/>
          <w:color w:val="2F5496" w:themeColor="accent1" w:themeShade="BF"/>
        </w:rPr>
      </w:pPr>
      <w:r w:rsidRPr="0029344C">
        <w:rPr>
          <w:b/>
          <w:bCs w:val="0"/>
          <w:color w:val="2F5496" w:themeColor="accent1" w:themeShade="BF"/>
        </w:rPr>
        <w:t>Podrobnejša obrazložitev po členih odloka</w:t>
      </w:r>
    </w:p>
    <w:tbl>
      <w:tblPr>
        <w:tblStyle w:val="Tabelamrea"/>
        <w:tblW w:w="8789" w:type="dxa"/>
        <w:jc w:val="center"/>
        <w:tblBorders>
          <w:top w:val="single" w:sz="4" w:space="0" w:color="7BA4DB"/>
          <w:left w:val="single" w:sz="4" w:space="0" w:color="7BA4DB"/>
          <w:bottom w:val="single" w:sz="4" w:space="0" w:color="7BA4DB"/>
          <w:right w:val="single" w:sz="4" w:space="0" w:color="7BA4DB"/>
          <w:insideH w:val="single" w:sz="4" w:space="0" w:color="7BA4DB"/>
          <w:insideV w:val="single" w:sz="4" w:space="0" w:color="7BA4DB"/>
        </w:tblBorders>
        <w:tblLayout w:type="fixed"/>
        <w:tblLook w:val="04A0" w:firstRow="1" w:lastRow="0" w:firstColumn="1" w:lastColumn="0" w:noHBand="0" w:noVBand="1"/>
      </w:tblPr>
      <w:tblGrid>
        <w:gridCol w:w="1276"/>
        <w:gridCol w:w="1703"/>
        <w:gridCol w:w="5810"/>
      </w:tblGrid>
      <w:tr w:rsidR="00026D5B" w14:paraId="108D5EEF" w14:textId="77777777" w:rsidTr="00F37918">
        <w:trPr>
          <w:cantSplit/>
          <w:tblHeader/>
          <w:jc w:val="center"/>
        </w:trPr>
        <w:tc>
          <w:tcPr>
            <w:tcW w:w="1276" w:type="dxa"/>
            <w:shd w:val="clear" w:color="auto" w:fill="7BA4DB"/>
          </w:tcPr>
          <w:p w14:paraId="5656E29A" w14:textId="77777777" w:rsidR="00026D5B" w:rsidRPr="07DF7145" w:rsidRDefault="00026D5B" w:rsidP="00290D8B">
            <w:pPr>
              <w:spacing w:line="259" w:lineRule="auto"/>
              <w:ind w:left="171"/>
              <w:jc w:val="left"/>
              <w:rPr>
                <w:rFonts w:ascii="Arial" w:hAnsi="Arial"/>
                <w:b/>
                <w:color w:val="FFFFFF" w:themeColor="background1"/>
                <w:sz w:val="16"/>
                <w:szCs w:val="16"/>
              </w:rPr>
            </w:pPr>
            <w:r>
              <w:rPr>
                <w:rFonts w:ascii="Arial" w:hAnsi="Arial"/>
                <w:b/>
                <w:color w:val="FFFFFF" w:themeColor="background1"/>
                <w:sz w:val="16"/>
                <w:szCs w:val="16"/>
              </w:rPr>
              <w:t>Člen novele OPN</w:t>
            </w:r>
          </w:p>
        </w:tc>
        <w:tc>
          <w:tcPr>
            <w:tcW w:w="1703" w:type="dxa"/>
            <w:shd w:val="clear" w:color="auto" w:fill="7BA4DB"/>
          </w:tcPr>
          <w:p w14:paraId="5E4016B2" w14:textId="77777777" w:rsidR="00026D5B" w:rsidRPr="00AE1A76" w:rsidRDefault="00026D5B" w:rsidP="00290D8B">
            <w:pPr>
              <w:spacing w:line="259" w:lineRule="auto"/>
              <w:ind w:left="171"/>
              <w:jc w:val="left"/>
              <w:rPr>
                <w:color w:val="FFFFFF" w:themeColor="background1"/>
              </w:rPr>
            </w:pPr>
            <w:r w:rsidRPr="07DF7145">
              <w:rPr>
                <w:rFonts w:ascii="Arial" w:hAnsi="Arial"/>
                <w:b/>
                <w:color w:val="FFFFFF" w:themeColor="background1"/>
                <w:sz w:val="16"/>
                <w:szCs w:val="16"/>
              </w:rPr>
              <w:t xml:space="preserve">Člen </w:t>
            </w:r>
            <w:r>
              <w:rPr>
                <w:rFonts w:ascii="Arial" w:hAnsi="Arial"/>
                <w:b/>
                <w:color w:val="FFFFFF" w:themeColor="background1"/>
                <w:sz w:val="16"/>
                <w:szCs w:val="16"/>
              </w:rPr>
              <w:t xml:space="preserve">obstoječega </w:t>
            </w:r>
            <w:r w:rsidRPr="07DF7145">
              <w:rPr>
                <w:rFonts w:ascii="Arial" w:hAnsi="Arial"/>
                <w:b/>
                <w:color w:val="FFFFFF" w:themeColor="background1"/>
                <w:sz w:val="16"/>
                <w:szCs w:val="16"/>
              </w:rPr>
              <w:t xml:space="preserve"> OPN</w:t>
            </w:r>
          </w:p>
        </w:tc>
        <w:tc>
          <w:tcPr>
            <w:tcW w:w="5810" w:type="dxa"/>
            <w:shd w:val="clear" w:color="auto" w:fill="7BA4DB"/>
          </w:tcPr>
          <w:p w14:paraId="5BB381F4" w14:textId="77777777" w:rsidR="00026D5B" w:rsidRPr="00AE1A76" w:rsidRDefault="00026D5B" w:rsidP="00290D8B">
            <w:pPr>
              <w:ind w:left="171" w:right="165"/>
              <w:jc w:val="center"/>
              <w:rPr>
                <w:color w:val="FFFFFF" w:themeColor="background1"/>
              </w:rPr>
            </w:pPr>
            <w:r w:rsidRPr="00AE1A76">
              <w:rPr>
                <w:rFonts w:ascii="Arial" w:hAnsi="Arial"/>
                <w:b/>
                <w:color w:val="FFFFFF" w:themeColor="background1"/>
                <w:sz w:val="16"/>
              </w:rPr>
              <w:t>Obrazložitev spremembe</w:t>
            </w:r>
          </w:p>
        </w:tc>
      </w:tr>
      <w:tr w:rsidR="00026D5B" w14:paraId="4AF5799C" w14:textId="77777777" w:rsidTr="00F37918">
        <w:trPr>
          <w:cantSplit/>
          <w:jc w:val="center"/>
        </w:trPr>
        <w:tc>
          <w:tcPr>
            <w:tcW w:w="1276" w:type="dxa"/>
          </w:tcPr>
          <w:p w14:paraId="1A7FC2E1" w14:textId="77777777" w:rsidR="00026D5B" w:rsidRPr="00AE1A76" w:rsidRDefault="00026D5B" w:rsidP="00290D8B">
            <w:pPr>
              <w:ind w:left="171"/>
            </w:pPr>
            <w:r>
              <w:t>1. člen</w:t>
            </w:r>
          </w:p>
        </w:tc>
        <w:tc>
          <w:tcPr>
            <w:tcW w:w="1703" w:type="dxa"/>
          </w:tcPr>
          <w:p w14:paraId="3263F33A" w14:textId="77777777" w:rsidR="00026D5B" w:rsidRDefault="00026D5B" w:rsidP="00290D8B">
            <w:pPr>
              <w:ind w:left="171"/>
            </w:pPr>
            <w:r w:rsidRPr="00AE1A76">
              <w:t>1. člen</w:t>
            </w:r>
          </w:p>
        </w:tc>
        <w:tc>
          <w:tcPr>
            <w:tcW w:w="5810" w:type="dxa"/>
          </w:tcPr>
          <w:p w14:paraId="3F76C878" w14:textId="77777777" w:rsidR="00026D5B" w:rsidRDefault="00026D5B" w:rsidP="00290D8B">
            <w:pPr>
              <w:ind w:left="171" w:right="165"/>
            </w:pPr>
            <w:r w:rsidRPr="00AE1A76">
              <w:t>Tehnični popravek.</w:t>
            </w:r>
          </w:p>
        </w:tc>
      </w:tr>
      <w:tr w:rsidR="00026D5B" w14:paraId="138C7781" w14:textId="77777777" w:rsidTr="00F37918">
        <w:trPr>
          <w:cantSplit/>
          <w:jc w:val="center"/>
        </w:trPr>
        <w:tc>
          <w:tcPr>
            <w:tcW w:w="1276" w:type="dxa"/>
          </w:tcPr>
          <w:p w14:paraId="46474397" w14:textId="77777777" w:rsidR="00026D5B" w:rsidRPr="00AE1A76" w:rsidRDefault="00026D5B" w:rsidP="00290D8B">
            <w:pPr>
              <w:ind w:left="171"/>
            </w:pPr>
            <w:r>
              <w:t>2. člen</w:t>
            </w:r>
          </w:p>
        </w:tc>
        <w:tc>
          <w:tcPr>
            <w:tcW w:w="1703" w:type="dxa"/>
          </w:tcPr>
          <w:p w14:paraId="36F8E39A" w14:textId="77777777" w:rsidR="00026D5B" w:rsidRDefault="00026D5B" w:rsidP="00290D8B">
            <w:pPr>
              <w:ind w:left="171"/>
            </w:pPr>
            <w:r w:rsidRPr="00AE1A76">
              <w:t>2. člen</w:t>
            </w:r>
          </w:p>
        </w:tc>
        <w:tc>
          <w:tcPr>
            <w:tcW w:w="5810" w:type="dxa"/>
          </w:tcPr>
          <w:p w14:paraId="05406C6E" w14:textId="77777777" w:rsidR="00026D5B" w:rsidRDefault="00026D5B" w:rsidP="00290D8B">
            <w:pPr>
              <w:ind w:left="171" w:right="165"/>
            </w:pPr>
            <w:r w:rsidRPr="00AE1A76">
              <w:t>Popravljeni so naslovi prilog: Priloga 1 se nanaša na osnovne objekte na stavbnih namenskih rabah, Priloga 2 na regulacijske črte, dodana je Priloga 3 – grafični PPIP za posamezne EUP.</w:t>
            </w:r>
            <w:r>
              <w:t xml:space="preserve"> Dopolnjene grafični del.  Doda se priloga 4 v katero se zaradi preglednosti prenese določila podrobnih prostorsko-izvedbenih pogojev, ki so bili do sedaj del 109. člena odloka.</w:t>
            </w:r>
          </w:p>
        </w:tc>
      </w:tr>
      <w:tr w:rsidR="00026D5B" w14:paraId="6659878B" w14:textId="77777777" w:rsidTr="00F37918">
        <w:trPr>
          <w:cantSplit/>
          <w:jc w:val="center"/>
        </w:trPr>
        <w:tc>
          <w:tcPr>
            <w:tcW w:w="1276" w:type="dxa"/>
          </w:tcPr>
          <w:p w14:paraId="0ED1448B" w14:textId="77777777" w:rsidR="00026D5B" w:rsidRPr="00AE1A76" w:rsidRDefault="00026D5B" w:rsidP="00290D8B">
            <w:pPr>
              <w:ind w:left="171"/>
            </w:pPr>
            <w:r>
              <w:lastRenderedPageBreak/>
              <w:t>3. člen</w:t>
            </w:r>
          </w:p>
        </w:tc>
        <w:tc>
          <w:tcPr>
            <w:tcW w:w="1703" w:type="dxa"/>
          </w:tcPr>
          <w:p w14:paraId="0D3F3036" w14:textId="77777777" w:rsidR="00026D5B" w:rsidRDefault="00026D5B" w:rsidP="00290D8B">
            <w:pPr>
              <w:ind w:left="171"/>
            </w:pPr>
            <w:r w:rsidRPr="00AE1A76">
              <w:t>3. člen</w:t>
            </w:r>
          </w:p>
        </w:tc>
        <w:tc>
          <w:tcPr>
            <w:tcW w:w="5810" w:type="dxa"/>
          </w:tcPr>
          <w:p w14:paraId="4C29456F" w14:textId="77777777" w:rsidR="00026D5B" w:rsidRDefault="00026D5B" w:rsidP="00290D8B">
            <w:pPr>
              <w:ind w:left="171" w:right="165"/>
            </w:pPr>
            <w:r w:rsidRPr="00AE1A76">
              <w:t>Pojmovnik se dopolni s termini, ki se s spremembo na novo uvajajo v akt ali v njem niso bili obrazloženi in sicer bivanje, glamping, kap, javna površina, komunalna oprema, kratkotrajna nastanitev, proizvod dan na trg kot celota, mobilnostni načrt, novogradnja, novo zgrajen objekt, objekt v javni rabi, odprt javni prostor, osnovni objekt, gradbena parcela, pomožni objekt, prizidava in vzdrževanje objekta. Pojmi se v celotnem odloku uskladijo z Gradbenim zakonom.</w:t>
            </w:r>
            <w:r>
              <w:t xml:space="preserve"> Pojmovnik se je preštevilčilo na način, da je urejen po abecednem redu.</w:t>
            </w:r>
          </w:p>
        </w:tc>
      </w:tr>
      <w:tr w:rsidR="00026D5B" w14:paraId="705D5B4F" w14:textId="77777777" w:rsidTr="00F37918">
        <w:trPr>
          <w:cantSplit/>
          <w:jc w:val="center"/>
        </w:trPr>
        <w:tc>
          <w:tcPr>
            <w:tcW w:w="1276" w:type="dxa"/>
          </w:tcPr>
          <w:p w14:paraId="13B1BFA2" w14:textId="77777777" w:rsidR="00026D5B" w:rsidRPr="00AE1A76" w:rsidRDefault="00026D5B" w:rsidP="00290D8B">
            <w:pPr>
              <w:ind w:left="171"/>
            </w:pPr>
            <w:r>
              <w:t>4. člen</w:t>
            </w:r>
          </w:p>
        </w:tc>
        <w:tc>
          <w:tcPr>
            <w:tcW w:w="1703" w:type="dxa"/>
          </w:tcPr>
          <w:p w14:paraId="25115F0D" w14:textId="77777777" w:rsidR="00026D5B" w:rsidRDefault="00026D5B" w:rsidP="00290D8B">
            <w:pPr>
              <w:ind w:left="171"/>
            </w:pPr>
            <w:r w:rsidRPr="00AE1A76">
              <w:t>17. člen</w:t>
            </w:r>
          </w:p>
        </w:tc>
        <w:tc>
          <w:tcPr>
            <w:tcW w:w="5810" w:type="dxa"/>
          </w:tcPr>
          <w:p w14:paraId="26784E37" w14:textId="77777777" w:rsidR="00026D5B" w:rsidRDefault="00026D5B" w:rsidP="00290D8B">
            <w:pPr>
              <w:ind w:left="171" w:right="165"/>
            </w:pPr>
            <w:r w:rsidRPr="00AE1A76">
              <w:t>Posodobi se zasnova prometne infrastrukture, zlasti določila o železniški infrastrukturi: navezava na TEN-T, vloga postaje Nova Gorica, Bohinjska proga, premestitev dela tovornih tirnih kapacitet na območje železniške postaje Prvačina, ohranitev potniške postaje s postajo za avtovlake, izvennivojska križanja ter novo potniško postajališče v Solkanu.</w:t>
            </w:r>
            <w:r>
              <w:t xml:space="preserve"> Dodano glede na prvo branje na osnovi pogojev NUP.</w:t>
            </w:r>
          </w:p>
        </w:tc>
      </w:tr>
      <w:tr w:rsidR="00026D5B" w14:paraId="502112E4" w14:textId="77777777" w:rsidTr="00F37918">
        <w:trPr>
          <w:cantSplit/>
          <w:jc w:val="center"/>
        </w:trPr>
        <w:tc>
          <w:tcPr>
            <w:tcW w:w="1276" w:type="dxa"/>
          </w:tcPr>
          <w:p w14:paraId="4884E2E7" w14:textId="77777777" w:rsidR="00026D5B" w:rsidRPr="00AE1A76" w:rsidRDefault="00026D5B" w:rsidP="00290D8B">
            <w:pPr>
              <w:ind w:left="171"/>
            </w:pPr>
            <w:r>
              <w:t>5. člen</w:t>
            </w:r>
          </w:p>
        </w:tc>
        <w:tc>
          <w:tcPr>
            <w:tcW w:w="1703" w:type="dxa"/>
          </w:tcPr>
          <w:p w14:paraId="2D01A5D7" w14:textId="77777777" w:rsidR="00026D5B" w:rsidRDefault="00026D5B" w:rsidP="00290D8B">
            <w:pPr>
              <w:ind w:left="171"/>
            </w:pPr>
            <w:r w:rsidRPr="00AE1A76">
              <w:t>18. člen</w:t>
            </w:r>
          </w:p>
        </w:tc>
        <w:tc>
          <w:tcPr>
            <w:tcW w:w="5810" w:type="dxa"/>
          </w:tcPr>
          <w:p w14:paraId="3343EE7D" w14:textId="77777777" w:rsidR="00026D5B" w:rsidRDefault="00026D5B" w:rsidP="00290D8B">
            <w:pPr>
              <w:ind w:left="171" w:right="165"/>
            </w:pPr>
            <w:r w:rsidRPr="00AE1A76">
              <w:t>Določila o energetski infrastrukturi se popravljajo in dopolnjujejo na podlagi mnenj NUP.</w:t>
            </w:r>
          </w:p>
        </w:tc>
      </w:tr>
      <w:tr w:rsidR="00026D5B" w14:paraId="02EB0D97" w14:textId="77777777" w:rsidTr="00F37918">
        <w:trPr>
          <w:cantSplit/>
          <w:jc w:val="center"/>
        </w:trPr>
        <w:tc>
          <w:tcPr>
            <w:tcW w:w="1276" w:type="dxa"/>
          </w:tcPr>
          <w:p w14:paraId="1FDE9ABC" w14:textId="77777777" w:rsidR="00026D5B" w:rsidRPr="00AE1A76" w:rsidRDefault="00026D5B" w:rsidP="00290D8B">
            <w:pPr>
              <w:ind w:left="171"/>
            </w:pPr>
            <w:r>
              <w:t>6. člen</w:t>
            </w:r>
          </w:p>
        </w:tc>
        <w:tc>
          <w:tcPr>
            <w:tcW w:w="1703" w:type="dxa"/>
          </w:tcPr>
          <w:p w14:paraId="39E2D2F9" w14:textId="77777777" w:rsidR="00026D5B" w:rsidRDefault="00026D5B" w:rsidP="00290D8B">
            <w:pPr>
              <w:ind w:left="171"/>
            </w:pPr>
            <w:r w:rsidRPr="00AE1A76">
              <w:t>19. člen</w:t>
            </w:r>
          </w:p>
        </w:tc>
        <w:tc>
          <w:tcPr>
            <w:tcW w:w="5810" w:type="dxa"/>
          </w:tcPr>
          <w:p w14:paraId="4DC46888" w14:textId="77777777" w:rsidR="00026D5B" w:rsidRDefault="00026D5B" w:rsidP="00290D8B">
            <w:pPr>
              <w:ind w:left="171" w:right="165"/>
            </w:pPr>
            <w:r w:rsidRPr="00AE1A76">
              <w:t>Določila o okoljski infrastrukturi se terminološko in vsebinsko dopolnjujejo.</w:t>
            </w:r>
            <w:r>
              <w:t xml:space="preserve"> Dopolnitev glede na pogoje NUP.</w:t>
            </w:r>
          </w:p>
        </w:tc>
      </w:tr>
      <w:tr w:rsidR="00026D5B" w14:paraId="1606DF5A" w14:textId="77777777" w:rsidTr="00F37918">
        <w:trPr>
          <w:cantSplit/>
          <w:jc w:val="center"/>
        </w:trPr>
        <w:tc>
          <w:tcPr>
            <w:tcW w:w="1276" w:type="dxa"/>
          </w:tcPr>
          <w:p w14:paraId="0E7507B7" w14:textId="77777777" w:rsidR="00026D5B" w:rsidRPr="00AE1A76" w:rsidRDefault="00026D5B" w:rsidP="00290D8B">
            <w:pPr>
              <w:ind w:left="171"/>
            </w:pPr>
            <w:r>
              <w:t>7. člen</w:t>
            </w:r>
          </w:p>
        </w:tc>
        <w:tc>
          <w:tcPr>
            <w:tcW w:w="1703" w:type="dxa"/>
          </w:tcPr>
          <w:p w14:paraId="3AB5B141" w14:textId="77777777" w:rsidR="00026D5B" w:rsidRDefault="00026D5B" w:rsidP="00290D8B">
            <w:pPr>
              <w:ind w:left="171"/>
            </w:pPr>
            <w:r w:rsidRPr="00AE1A76">
              <w:t>20. člen</w:t>
            </w:r>
          </w:p>
        </w:tc>
        <w:tc>
          <w:tcPr>
            <w:tcW w:w="5810" w:type="dxa"/>
          </w:tcPr>
          <w:p w14:paraId="675DD6D0" w14:textId="77777777" w:rsidR="00026D5B" w:rsidRDefault="00026D5B" w:rsidP="00290D8B">
            <w:pPr>
              <w:ind w:left="171" w:right="165"/>
            </w:pPr>
            <w:r w:rsidRPr="00AE1A76">
              <w:t>Terminološka uskladitev naslova in besedila člena.</w:t>
            </w:r>
          </w:p>
        </w:tc>
      </w:tr>
      <w:tr w:rsidR="00026D5B" w14:paraId="4532136C" w14:textId="77777777" w:rsidTr="00F37918">
        <w:trPr>
          <w:cantSplit/>
          <w:jc w:val="center"/>
        </w:trPr>
        <w:tc>
          <w:tcPr>
            <w:tcW w:w="1276" w:type="dxa"/>
          </w:tcPr>
          <w:p w14:paraId="20B347DA" w14:textId="77777777" w:rsidR="00026D5B" w:rsidRPr="00AE1A76" w:rsidRDefault="00026D5B" w:rsidP="00290D8B">
            <w:pPr>
              <w:ind w:left="171"/>
            </w:pPr>
            <w:r>
              <w:t>8. člen</w:t>
            </w:r>
          </w:p>
        </w:tc>
        <w:tc>
          <w:tcPr>
            <w:tcW w:w="1703" w:type="dxa"/>
          </w:tcPr>
          <w:p w14:paraId="18D84CF7" w14:textId="77777777" w:rsidR="00026D5B" w:rsidRDefault="00026D5B" w:rsidP="00290D8B">
            <w:pPr>
              <w:ind w:left="171"/>
            </w:pPr>
            <w:r w:rsidRPr="00AE1A76">
              <w:t>21. člen</w:t>
            </w:r>
          </w:p>
        </w:tc>
        <w:tc>
          <w:tcPr>
            <w:tcW w:w="5810" w:type="dxa"/>
          </w:tcPr>
          <w:p w14:paraId="3D0D603F" w14:textId="77777777" w:rsidR="00026D5B" w:rsidRDefault="00026D5B" w:rsidP="00290D8B">
            <w:pPr>
              <w:ind w:left="171" w:right="165"/>
            </w:pPr>
            <w:r w:rsidRPr="00AE1A76">
              <w:t>Dopolnitev usmeritev na podlagi mnenj NUP in Krajinske zasnove MONG.</w:t>
            </w:r>
          </w:p>
        </w:tc>
      </w:tr>
      <w:tr w:rsidR="00026D5B" w14:paraId="645462CA" w14:textId="77777777" w:rsidTr="00F37918">
        <w:trPr>
          <w:cantSplit/>
          <w:jc w:val="center"/>
        </w:trPr>
        <w:tc>
          <w:tcPr>
            <w:tcW w:w="1276" w:type="dxa"/>
          </w:tcPr>
          <w:p w14:paraId="2D1FFB77" w14:textId="77777777" w:rsidR="00026D5B" w:rsidRPr="00AE1A76" w:rsidRDefault="00026D5B" w:rsidP="00290D8B">
            <w:pPr>
              <w:ind w:left="171"/>
            </w:pPr>
            <w:r>
              <w:t>9. člen</w:t>
            </w:r>
          </w:p>
        </w:tc>
        <w:tc>
          <w:tcPr>
            <w:tcW w:w="1703" w:type="dxa"/>
          </w:tcPr>
          <w:p w14:paraId="3EFEC6EB" w14:textId="77777777" w:rsidR="00026D5B" w:rsidRDefault="00026D5B" w:rsidP="00290D8B">
            <w:pPr>
              <w:ind w:left="171"/>
            </w:pPr>
            <w:r w:rsidRPr="00AE1A76">
              <w:t>24. člen</w:t>
            </w:r>
          </w:p>
        </w:tc>
        <w:tc>
          <w:tcPr>
            <w:tcW w:w="5810" w:type="dxa"/>
          </w:tcPr>
          <w:p w14:paraId="4F21F22C" w14:textId="77777777" w:rsidR="00026D5B" w:rsidRDefault="00026D5B" w:rsidP="00290D8B">
            <w:pPr>
              <w:ind w:left="171" w:right="165"/>
            </w:pPr>
            <w:r w:rsidRPr="00AE1A76">
              <w:t>Dopolnitev določil skladno z mnenjem NUP.</w:t>
            </w:r>
            <w:r>
              <w:t xml:space="preserve"> Iz varovanih območij se izloči rezervat Kromberški hrasti. </w:t>
            </w:r>
          </w:p>
        </w:tc>
      </w:tr>
      <w:tr w:rsidR="00026D5B" w14:paraId="0E736848" w14:textId="77777777" w:rsidTr="00F37918">
        <w:trPr>
          <w:cantSplit/>
          <w:jc w:val="center"/>
        </w:trPr>
        <w:tc>
          <w:tcPr>
            <w:tcW w:w="1276" w:type="dxa"/>
          </w:tcPr>
          <w:p w14:paraId="145ED34D" w14:textId="77777777" w:rsidR="00026D5B" w:rsidRPr="00AE1A76" w:rsidRDefault="00026D5B" w:rsidP="00290D8B">
            <w:pPr>
              <w:ind w:left="171"/>
            </w:pPr>
            <w:r>
              <w:t>10. člen</w:t>
            </w:r>
          </w:p>
        </w:tc>
        <w:tc>
          <w:tcPr>
            <w:tcW w:w="1703" w:type="dxa"/>
          </w:tcPr>
          <w:p w14:paraId="14DCE460" w14:textId="77777777" w:rsidR="00026D5B" w:rsidRDefault="00026D5B" w:rsidP="00290D8B">
            <w:pPr>
              <w:ind w:left="171"/>
            </w:pPr>
            <w:r w:rsidRPr="00AE1A76">
              <w:t>25. člen</w:t>
            </w:r>
          </w:p>
        </w:tc>
        <w:tc>
          <w:tcPr>
            <w:tcW w:w="5810" w:type="dxa"/>
          </w:tcPr>
          <w:p w14:paraId="79320193" w14:textId="77777777" w:rsidR="00026D5B" w:rsidRDefault="00026D5B" w:rsidP="00290D8B">
            <w:pPr>
              <w:ind w:left="171" w:right="165"/>
            </w:pPr>
            <w:r w:rsidRPr="00AE1A76">
              <w:t>Dopolnitev vsebin s področja voda in zmanjševanja poplavne ogroženosti.</w:t>
            </w:r>
            <w:r>
              <w:t xml:space="preserve"> Dopolnjeno glede na prvo branje. </w:t>
            </w:r>
          </w:p>
        </w:tc>
      </w:tr>
      <w:tr w:rsidR="00026D5B" w14:paraId="07B2C711" w14:textId="77777777" w:rsidTr="00F37918">
        <w:trPr>
          <w:cantSplit/>
          <w:jc w:val="center"/>
        </w:trPr>
        <w:tc>
          <w:tcPr>
            <w:tcW w:w="1276" w:type="dxa"/>
          </w:tcPr>
          <w:p w14:paraId="7C7439A4" w14:textId="77777777" w:rsidR="00026D5B" w:rsidRPr="00AE1A76" w:rsidRDefault="00026D5B" w:rsidP="00290D8B">
            <w:pPr>
              <w:ind w:left="171"/>
            </w:pPr>
            <w:r>
              <w:t>11. člen</w:t>
            </w:r>
          </w:p>
        </w:tc>
        <w:tc>
          <w:tcPr>
            <w:tcW w:w="1703" w:type="dxa"/>
          </w:tcPr>
          <w:p w14:paraId="11D43E38" w14:textId="77777777" w:rsidR="00026D5B" w:rsidRDefault="00026D5B" w:rsidP="00290D8B">
            <w:pPr>
              <w:ind w:left="171"/>
            </w:pPr>
            <w:r w:rsidRPr="00AE1A76">
              <w:t>27. člen</w:t>
            </w:r>
          </w:p>
        </w:tc>
        <w:tc>
          <w:tcPr>
            <w:tcW w:w="5810" w:type="dxa"/>
          </w:tcPr>
          <w:p w14:paraId="1663A4B7" w14:textId="77777777" w:rsidR="00026D5B" w:rsidRDefault="00026D5B" w:rsidP="00290D8B">
            <w:pPr>
              <w:ind w:left="171" w:right="165"/>
            </w:pPr>
            <w:r w:rsidRPr="00AE1A76">
              <w:t>Določila o turizmu in rekreaciji se dopolnjujejo na podlagi mnenj NUP in Krajinske zasnove MONG.</w:t>
            </w:r>
            <w:r>
              <w:t xml:space="preserve"> </w:t>
            </w:r>
          </w:p>
        </w:tc>
      </w:tr>
      <w:tr w:rsidR="00026D5B" w14:paraId="5AF753CF" w14:textId="77777777" w:rsidTr="00F37918">
        <w:trPr>
          <w:cantSplit/>
          <w:jc w:val="center"/>
        </w:trPr>
        <w:tc>
          <w:tcPr>
            <w:tcW w:w="1276" w:type="dxa"/>
          </w:tcPr>
          <w:p w14:paraId="708B8EB2" w14:textId="77777777" w:rsidR="00026D5B" w:rsidRPr="00AE1A76" w:rsidRDefault="00026D5B" w:rsidP="00290D8B">
            <w:pPr>
              <w:ind w:left="171"/>
            </w:pPr>
            <w:r>
              <w:lastRenderedPageBreak/>
              <w:t>12. člen</w:t>
            </w:r>
          </w:p>
        </w:tc>
        <w:tc>
          <w:tcPr>
            <w:tcW w:w="1703" w:type="dxa"/>
          </w:tcPr>
          <w:p w14:paraId="34EE335B" w14:textId="77777777" w:rsidR="00026D5B" w:rsidRDefault="00026D5B" w:rsidP="00290D8B">
            <w:pPr>
              <w:ind w:left="171"/>
            </w:pPr>
            <w:r w:rsidRPr="00AE1A76">
              <w:t>31. člen</w:t>
            </w:r>
          </w:p>
        </w:tc>
        <w:tc>
          <w:tcPr>
            <w:tcW w:w="5810" w:type="dxa"/>
          </w:tcPr>
          <w:p w14:paraId="31350B18" w14:textId="77777777" w:rsidR="00026D5B" w:rsidRDefault="00026D5B" w:rsidP="00290D8B">
            <w:pPr>
              <w:ind w:left="171" w:right="165"/>
            </w:pPr>
            <w:r w:rsidRPr="00AE1A76">
              <w:t>Določila o območjih izključne ter omejene in nadzorovane rabe za potrebe obrambe se posodabljajo skladno z mnenjem NUP.</w:t>
            </w:r>
          </w:p>
        </w:tc>
      </w:tr>
      <w:tr w:rsidR="00026D5B" w14:paraId="0CFA9008" w14:textId="77777777" w:rsidTr="00F37918">
        <w:trPr>
          <w:cantSplit/>
          <w:jc w:val="center"/>
        </w:trPr>
        <w:tc>
          <w:tcPr>
            <w:tcW w:w="1276" w:type="dxa"/>
          </w:tcPr>
          <w:p w14:paraId="5D571FF6" w14:textId="77777777" w:rsidR="00026D5B" w:rsidRPr="00AE1A76" w:rsidRDefault="00026D5B" w:rsidP="00290D8B">
            <w:pPr>
              <w:ind w:left="171"/>
            </w:pPr>
            <w:r>
              <w:t>13. člen</w:t>
            </w:r>
          </w:p>
        </w:tc>
        <w:tc>
          <w:tcPr>
            <w:tcW w:w="1703" w:type="dxa"/>
          </w:tcPr>
          <w:p w14:paraId="7272128E" w14:textId="77777777" w:rsidR="00026D5B" w:rsidRDefault="00026D5B" w:rsidP="00290D8B">
            <w:pPr>
              <w:ind w:left="171"/>
            </w:pPr>
            <w:r w:rsidRPr="00AE1A76">
              <w:t>33. člen</w:t>
            </w:r>
          </w:p>
        </w:tc>
        <w:tc>
          <w:tcPr>
            <w:tcW w:w="5810" w:type="dxa"/>
          </w:tcPr>
          <w:p w14:paraId="1D3ECAE6" w14:textId="77777777" w:rsidR="00026D5B" w:rsidRDefault="00026D5B" w:rsidP="00290D8B">
            <w:pPr>
              <w:ind w:left="171" w:right="165"/>
            </w:pPr>
            <w:r w:rsidRPr="00AE1A76">
              <w:t xml:space="preserve">Določila o prikazu stanja prostora se posodabljajo skladno z veljavnimi predpisi. </w:t>
            </w:r>
          </w:p>
        </w:tc>
      </w:tr>
      <w:tr w:rsidR="00026D5B" w14:paraId="75C150FC" w14:textId="77777777" w:rsidTr="00F37918">
        <w:trPr>
          <w:cantSplit/>
          <w:jc w:val="center"/>
        </w:trPr>
        <w:tc>
          <w:tcPr>
            <w:tcW w:w="1276" w:type="dxa"/>
          </w:tcPr>
          <w:p w14:paraId="03743869" w14:textId="77777777" w:rsidR="00026D5B" w:rsidRPr="00AE1A76" w:rsidRDefault="00026D5B" w:rsidP="00290D8B">
            <w:pPr>
              <w:ind w:left="171"/>
            </w:pPr>
            <w:r>
              <w:t>14. člen</w:t>
            </w:r>
          </w:p>
        </w:tc>
        <w:tc>
          <w:tcPr>
            <w:tcW w:w="1703" w:type="dxa"/>
          </w:tcPr>
          <w:p w14:paraId="1CA4BBC9" w14:textId="77777777" w:rsidR="00026D5B" w:rsidRDefault="00026D5B" w:rsidP="00290D8B">
            <w:pPr>
              <w:ind w:left="171"/>
            </w:pPr>
            <w:r w:rsidRPr="00AE1A76">
              <w:t>34. člen</w:t>
            </w:r>
          </w:p>
        </w:tc>
        <w:tc>
          <w:tcPr>
            <w:tcW w:w="5810" w:type="dxa"/>
          </w:tcPr>
          <w:p w14:paraId="76C4C4DD" w14:textId="77777777" w:rsidR="00026D5B" w:rsidRDefault="00026D5B" w:rsidP="00290D8B">
            <w:pPr>
              <w:ind w:left="171" w:right="165"/>
            </w:pPr>
            <w:r w:rsidRPr="00AE1A76">
              <w:t>Dopolnjujejo se določila glede natančnosti grafičnih prikazov, meja EUP in NRP, uporabljenih geodetskih/topografskih podlag, ZKN ter informativne narave prikaza zemljiških parcel.</w:t>
            </w:r>
          </w:p>
        </w:tc>
      </w:tr>
      <w:tr w:rsidR="00026D5B" w14:paraId="3E7AD876" w14:textId="77777777" w:rsidTr="00F37918">
        <w:trPr>
          <w:cantSplit/>
          <w:jc w:val="center"/>
        </w:trPr>
        <w:tc>
          <w:tcPr>
            <w:tcW w:w="1276" w:type="dxa"/>
          </w:tcPr>
          <w:p w14:paraId="144CD9BF" w14:textId="77777777" w:rsidR="00026D5B" w:rsidRPr="00AE1A76" w:rsidRDefault="00026D5B" w:rsidP="00290D8B">
            <w:pPr>
              <w:ind w:left="171"/>
              <w:rPr>
                <w:rFonts w:cstheme="minorHAnsi"/>
              </w:rPr>
            </w:pPr>
            <w:r>
              <w:rPr>
                <w:rFonts w:cstheme="minorHAnsi"/>
              </w:rPr>
              <w:t>15. člen</w:t>
            </w:r>
          </w:p>
        </w:tc>
        <w:tc>
          <w:tcPr>
            <w:tcW w:w="1703" w:type="dxa"/>
          </w:tcPr>
          <w:p w14:paraId="634A3426" w14:textId="77777777" w:rsidR="00026D5B" w:rsidRPr="00AE1A76" w:rsidRDefault="00026D5B" w:rsidP="00290D8B">
            <w:pPr>
              <w:ind w:left="171"/>
              <w:rPr>
                <w:rFonts w:cstheme="minorHAnsi"/>
              </w:rPr>
            </w:pPr>
            <w:r w:rsidRPr="00AE1A76">
              <w:rPr>
                <w:rFonts w:cstheme="minorHAnsi"/>
              </w:rPr>
              <w:t>36. člen</w:t>
            </w:r>
          </w:p>
        </w:tc>
        <w:tc>
          <w:tcPr>
            <w:tcW w:w="5810" w:type="dxa"/>
          </w:tcPr>
          <w:p w14:paraId="30BF85C0" w14:textId="77777777" w:rsidR="00026D5B" w:rsidRPr="00AE1A76" w:rsidRDefault="00026D5B" w:rsidP="00290D8B">
            <w:pPr>
              <w:ind w:left="171" w:right="165"/>
              <w:rPr>
                <w:rFonts w:cstheme="minorHAnsi"/>
              </w:rPr>
            </w:pPr>
            <w:r w:rsidRPr="00AE1A76">
              <w:rPr>
                <w:rFonts w:cstheme="minorHAnsi"/>
              </w:rPr>
              <w:t>Tehnični popravek.</w:t>
            </w:r>
          </w:p>
        </w:tc>
      </w:tr>
      <w:tr w:rsidR="00026D5B" w14:paraId="49909629" w14:textId="77777777" w:rsidTr="00F37918">
        <w:trPr>
          <w:cantSplit/>
          <w:jc w:val="center"/>
        </w:trPr>
        <w:tc>
          <w:tcPr>
            <w:tcW w:w="1276" w:type="dxa"/>
          </w:tcPr>
          <w:p w14:paraId="09CF0C2D" w14:textId="77777777" w:rsidR="00026D5B" w:rsidRPr="00E44C83" w:rsidRDefault="00026D5B" w:rsidP="00290D8B">
            <w:pPr>
              <w:ind w:left="171"/>
              <w:rPr>
                <w:rFonts w:cstheme="minorHAnsi"/>
              </w:rPr>
            </w:pPr>
            <w:r w:rsidRPr="00E44C83">
              <w:rPr>
                <w:rFonts w:cstheme="minorHAnsi"/>
              </w:rPr>
              <w:t>16. člen</w:t>
            </w:r>
          </w:p>
        </w:tc>
        <w:tc>
          <w:tcPr>
            <w:tcW w:w="1703" w:type="dxa"/>
          </w:tcPr>
          <w:p w14:paraId="6712BDA3" w14:textId="77777777" w:rsidR="00026D5B" w:rsidRPr="00E44C83" w:rsidRDefault="00026D5B" w:rsidP="00290D8B">
            <w:pPr>
              <w:ind w:left="171"/>
              <w:rPr>
                <w:rFonts w:cstheme="minorHAnsi"/>
              </w:rPr>
            </w:pPr>
            <w:r w:rsidRPr="00E44C83">
              <w:rPr>
                <w:rFonts w:cstheme="minorHAnsi"/>
              </w:rPr>
              <w:t>37. člen</w:t>
            </w:r>
          </w:p>
        </w:tc>
        <w:tc>
          <w:tcPr>
            <w:tcW w:w="5810" w:type="dxa"/>
          </w:tcPr>
          <w:p w14:paraId="55020542" w14:textId="77777777" w:rsidR="00026D5B" w:rsidRPr="00E44C83" w:rsidRDefault="00026D5B" w:rsidP="00290D8B">
            <w:pPr>
              <w:ind w:left="171" w:right="165"/>
              <w:rPr>
                <w:rFonts w:cstheme="minorHAnsi"/>
              </w:rPr>
            </w:pPr>
            <w:r w:rsidRPr="00E44C83">
              <w:rPr>
                <w:rFonts w:cstheme="minorHAnsi"/>
              </w:rPr>
              <w:t>Tehnični popravek.</w:t>
            </w:r>
          </w:p>
        </w:tc>
      </w:tr>
      <w:tr w:rsidR="00026D5B" w14:paraId="3D01707D" w14:textId="77777777" w:rsidTr="00F37918">
        <w:trPr>
          <w:cantSplit/>
          <w:jc w:val="center"/>
        </w:trPr>
        <w:tc>
          <w:tcPr>
            <w:tcW w:w="1276" w:type="dxa"/>
          </w:tcPr>
          <w:p w14:paraId="4ADD6CEC" w14:textId="77777777" w:rsidR="00026D5B" w:rsidRPr="00AE1A76" w:rsidRDefault="00026D5B" w:rsidP="00290D8B">
            <w:pPr>
              <w:ind w:left="171"/>
              <w:rPr>
                <w:rFonts w:cstheme="minorHAnsi"/>
              </w:rPr>
            </w:pPr>
            <w:r>
              <w:rPr>
                <w:rFonts w:cstheme="minorHAnsi"/>
              </w:rPr>
              <w:t>17. člen</w:t>
            </w:r>
          </w:p>
        </w:tc>
        <w:tc>
          <w:tcPr>
            <w:tcW w:w="1703" w:type="dxa"/>
          </w:tcPr>
          <w:p w14:paraId="2BA88542" w14:textId="77777777" w:rsidR="00026D5B" w:rsidRPr="00AE1A76" w:rsidRDefault="00026D5B" w:rsidP="00290D8B">
            <w:pPr>
              <w:ind w:left="171"/>
              <w:rPr>
                <w:rFonts w:cstheme="minorHAnsi"/>
              </w:rPr>
            </w:pPr>
            <w:r w:rsidRPr="00AE1A76">
              <w:rPr>
                <w:rFonts w:cstheme="minorHAnsi"/>
              </w:rPr>
              <w:t>38. člen</w:t>
            </w:r>
          </w:p>
        </w:tc>
        <w:tc>
          <w:tcPr>
            <w:tcW w:w="5810" w:type="dxa"/>
          </w:tcPr>
          <w:p w14:paraId="7B0D018D" w14:textId="77777777" w:rsidR="00026D5B" w:rsidRPr="00AE1A76" w:rsidRDefault="00026D5B" w:rsidP="00290D8B">
            <w:pPr>
              <w:ind w:left="171" w:right="165"/>
              <w:rPr>
                <w:rFonts w:cstheme="minorHAnsi"/>
              </w:rPr>
            </w:pPr>
            <w:r w:rsidRPr="00AE1A76">
              <w:rPr>
                <w:rFonts w:cstheme="minorHAnsi"/>
              </w:rPr>
              <w:t>Posodobitev preglednice vrst namenske rabe.</w:t>
            </w:r>
          </w:p>
        </w:tc>
      </w:tr>
      <w:tr w:rsidR="00026D5B" w14:paraId="76FA3641" w14:textId="77777777" w:rsidTr="00F37918">
        <w:trPr>
          <w:cantSplit/>
          <w:jc w:val="center"/>
        </w:trPr>
        <w:tc>
          <w:tcPr>
            <w:tcW w:w="1276" w:type="dxa"/>
          </w:tcPr>
          <w:p w14:paraId="7B454565" w14:textId="77777777" w:rsidR="00026D5B" w:rsidRPr="00AE1A76" w:rsidRDefault="00026D5B" w:rsidP="00290D8B">
            <w:pPr>
              <w:ind w:left="171"/>
              <w:rPr>
                <w:rFonts w:cstheme="minorHAnsi"/>
              </w:rPr>
            </w:pPr>
            <w:r>
              <w:rPr>
                <w:rFonts w:cstheme="minorHAnsi"/>
              </w:rPr>
              <w:t>18. člen</w:t>
            </w:r>
          </w:p>
        </w:tc>
        <w:tc>
          <w:tcPr>
            <w:tcW w:w="1703" w:type="dxa"/>
          </w:tcPr>
          <w:p w14:paraId="2B8439AA" w14:textId="77777777" w:rsidR="00026D5B" w:rsidRPr="00AE1A76" w:rsidRDefault="00026D5B" w:rsidP="00290D8B">
            <w:pPr>
              <w:ind w:left="171"/>
              <w:rPr>
                <w:rFonts w:cstheme="minorHAnsi"/>
              </w:rPr>
            </w:pPr>
            <w:r w:rsidRPr="00AE1A76">
              <w:rPr>
                <w:rFonts w:cstheme="minorHAnsi"/>
              </w:rPr>
              <w:t>39. člen</w:t>
            </w:r>
          </w:p>
        </w:tc>
        <w:tc>
          <w:tcPr>
            <w:tcW w:w="5810" w:type="dxa"/>
          </w:tcPr>
          <w:p w14:paraId="0AA4FFE9" w14:textId="77777777" w:rsidR="00026D5B" w:rsidRPr="00AE1A76" w:rsidRDefault="00026D5B" w:rsidP="00290D8B">
            <w:pPr>
              <w:ind w:left="171" w:right="165"/>
              <w:rPr>
                <w:rFonts w:cstheme="minorHAnsi"/>
              </w:rPr>
            </w:pPr>
            <w:r w:rsidRPr="00AE1A76">
              <w:rPr>
                <w:rFonts w:cstheme="minorHAnsi"/>
              </w:rPr>
              <w:t>Uskladitev določil z veljavno terminologijo.</w:t>
            </w:r>
          </w:p>
        </w:tc>
      </w:tr>
      <w:tr w:rsidR="00026D5B" w14:paraId="3B663F44" w14:textId="77777777" w:rsidTr="00F37918">
        <w:trPr>
          <w:cantSplit/>
          <w:jc w:val="center"/>
        </w:trPr>
        <w:tc>
          <w:tcPr>
            <w:tcW w:w="1276" w:type="dxa"/>
          </w:tcPr>
          <w:p w14:paraId="780046AF" w14:textId="77777777" w:rsidR="00026D5B" w:rsidRPr="00AE1A76" w:rsidRDefault="00026D5B" w:rsidP="00290D8B">
            <w:pPr>
              <w:ind w:left="171"/>
              <w:rPr>
                <w:rFonts w:cstheme="minorHAnsi"/>
              </w:rPr>
            </w:pPr>
            <w:r>
              <w:rPr>
                <w:rFonts w:cstheme="minorHAnsi"/>
              </w:rPr>
              <w:t>19. člen</w:t>
            </w:r>
          </w:p>
        </w:tc>
        <w:tc>
          <w:tcPr>
            <w:tcW w:w="1703" w:type="dxa"/>
          </w:tcPr>
          <w:p w14:paraId="3DA49725" w14:textId="77777777" w:rsidR="00026D5B" w:rsidRPr="00AE1A76" w:rsidRDefault="00026D5B" w:rsidP="00290D8B">
            <w:pPr>
              <w:ind w:left="171"/>
              <w:rPr>
                <w:rFonts w:cstheme="minorHAnsi"/>
              </w:rPr>
            </w:pPr>
            <w:r w:rsidRPr="00AE1A76">
              <w:rPr>
                <w:rFonts w:cstheme="minorHAnsi"/>
              </w:rPr>
              <w:t>40. člen</w:t>
            </w:r>
          </w:p>
        </w:tc>
        <w:tc>
          <w:tcPr>
            <w:tcW w:w="5810" w:type="dxa"/>
          </w:tcPr>
          <w:p w14:paraId="6E472BBF" w14:textId="77777777" w:rsidR="00026D5B" w:rsidRPr="00AE1A76" w:rsidRDefault="00026D5B" w:rsidP="00290D8B">
            <w:pPr>
              <w:ind w:left="171" w:right="165"/>
              <w:rPr>
                <w:rFonts w:cstheme="minorHAnsi"/>
              </w:rPr>
            </w:pPr>
            <w:r w:rsidRPr="00AE1A76">
              <w:rPr>
                <w:rFonts w:cstheme="minorHAnsi"/>
              </w:rPr>
              <w:t>Dopolnitev določil o dopustnosti spremembe namembnosti obstoječih starejših objektov na namenski rabi A in SK ter dodan termin »manjša rekonstrukcija«.</w:t>
            </w:r>
          </w:p>
        </w:tc>
      </w:tr>
      <w:tr w:rsidR="00026D5B" w14:paraId="4403BB5F" w14:textId="77777777" w:rsidTr="00F37918">
        <w:trPr>
          <w:cantSplit/>
          <w:jc w:val="center"/>
        </w:trPr>
        <w:tc>
          <w:tcPr>
            <w:tcW w:w="1276" w:type="dxa"/>
          </w:tcPr>
          <w:p w14:paraId="5C95D75D" w14:textId="77777777" w:rsidR="00026D5B" w:rsidRPr="00AE1A76" w:rsidRDefault="00026D5B" w:rsidP="00290D8B">
            <w:pPr>
              <w:ind w:left="171"/>
              <w:rPr>
                <w:rFonts w:cstheme="minorHAnsi"/>
              </w:rPr>
            </w:pPr>
            <w:r>
              <w:rPr>
                <w:rFonts w:cstheme="minorHAnsi"/>
              </w:rPr>
              <w:t>20. člen</w:t>
            </w:r>
          </w:p>
        </w:tc>
        <w:tc>
          <w:tcPr>
            <w:tcW w:w="1703" w:type="dxa"/>
          </w:tcPr>
          <w:p w14:paraId="7B73E572" w14:textId="77777777" w:rsidR="00026D5B" w:rsidRPr="00AE1A76" w:rsidRDefault="00026D5B" w:rsidP="00290D8B">
            <w:pPr>
              <w:ind w:left="171"/>
              <w:rPr>
                <w:rFonts w:cstheme="minorHAnsi"/>
              </w:rPr>
            </w:pPr>
            <w:r w:rsidRPr="00AE1A76">
              <w:rPr>
                <w:rFonts w:cstheme="minorHAnsi"/>
              </w:rPr>
              <w:t>41. člen</w:t>
            </w:r>
          </w:p>
        </w:tc>
        <w:tc>
          <w:tcPr>
            <w:tcW w:w="5810" w:type="dxa"/>
          </w:tcPr>
          <w:p w14:paraId="28363E60" w14:textId="77777777" w:rsidR="00026D5B" w:rsidRPr="00AE1A76" w:rsidRDefault="00026D5B" w:rsidP="00290D8B">
            <w:pPr>
              <w:ind w:left="171" w:right="165"/>
              <w:rPr>
                <w:rFonts w:cstheme="minorHAnsi"/>
              </w:rPr>
            </w:pPr>
            <w:r w:rsidRPr="00AE1A76">
              <w:rPr>
                <w:rFonts w:cstheme="minorHAnsi"/>
              </w:rPr>
              <w:t>Popravek določil o spremljajočih dejavnostih.</w:t>
            </w:r>
          </w:p>
        </w:tc>
      </w:tr>
      <w:tr w:rsidR="00026D5B" w14:paraId="7B8B74EF" w14:textId="77777777" w:rsidTr="00F37918">
        <w:trPr>
          <w:cantSplit/>
          <w:jc w:val="center"/>
        </w:trPr>
        <w:tc>
          <w:tcPr>
            <w:tcW w:w="1276" w:type="dxa"/>
          </w:tcPr>
          <w:p w14:paraId="5E3804D3" w14:textId="77777777" w:rsidR="00026D5B" w:rsidRPr="00AE1A76" w:rsidRDefault="00026D5B" w:rsidP="00290D8B">
            <w:pPr>
              <w:ind w:left="171"/>
              <w:rPr>
                <w:rFonts w:cstheme="minorHAnsi"/>
              </w:rPr>
            </w:pPr>
            <w:r>
              <w:rPr>
                <w:rFonts w:cstheme="minorHAnsi"/>
              </w:rPr>
              <w:t>21. člen</w:t>
            </w:r>
          </w:p>
        </w:tc>
        <w:tc>
          <w:tcPr>
            <w:tcW w:w="1703" w:type="dxa"/>
          </w:tcPr>
          <w:p w14:paraId="261E0046" w14:textId="77777777" w:rsidR="00026D5B" w:rsidRPr="00AE1A76" w:rsidRDefault="00026D5B" w:rsidP="00290D8B">
            <w:pPr>
              <w:ind w:left="171"/>
              <w:rPr>
                <w:rFonts w:cstheme="minorHAnsi"/>
              </w:rPr>
            </w:pPr>
            <w:r w:rsidRPr="00AE1A76">
              <w:rPr>
                <w:rFonts w:cstheme="minorHAnsi"/>
              </w:rPr>
              <w:t>42. člen</w:t>
            </w:r>
          </w:p>
        </w:tc>
        <w:tc>
          <w:tcPr>
            <w:tcW w:w="5810" w:type="dxa"/>
          </w:tcPr>
          <w:p w14:paraId="67FD4D4D" w14:textId="77777777" w:rsidR="00026D5B" w:rsidRPr="00AE1A76" w:rsidRDefault="00026D5B" w:rsidP="00290D8B">
            <w:pPr>
              <w:ind w:left="171" w:right="165"/>
              <w:rPr>
                <w:rFonts w:cstheme="minorHAnsi"/>
              </w:rPr>
            </w:pPr>
            <w:r w:rsidRPr="00AE1A76">
              <w:rPr>
                <w:rFonts w:cstheme="minorHAnsi"/>
              </w:rPr>
              <w:t>Člen se preoblikuje zaradi nove ureditve dopustnih osnovnih in pomožnih objektov.</w:t>
            </w:r>
          </w:p>
        </w:tc>
      </w:tr>
      <w:tr w:rsidR="00026D5B" w14:paraId="67C1A953" w14:textId="77777777" w:rsidTr="00F37918">
        <w:trPr>
          <w:cantSplit/>
          <w:jc w:val="center"/>
        </w:trPr>
        <w:tc>
          <w:tcPr>
            <w:tcW w:w="1276" w:type="dxa"/>
          </w:tcPr>
          <w:p w14:paraId="3011FF98" w14:textId="77777777" w:rsidR="00026D5B" w:rsidRPr="00AE1A76" w:rsidRDefault="00026D5B" w:rsidP="00290D8B">
            <w:pPr>
              <w:ind w:left="171"/>
              <w:rPr>
                <w:rFonts w:cstheme="minorHAnsi"/>
              </w:rPr>
            </w:pPr>
            <w:r>
              <w:rPr>
                <w:rFonts w:cstheme="minorHAnsi"/>
              </w:rPr>
              <w:t>22. člen</w:t>
            </w:r>
          </w:p>
        </w:tc>
        <w:tc>
          <w:tcPr>
            <w:tcW w:w="1703" w:type="dxa"/>
          </w:tcPr>
          <w:p w14:paraId="3D872CFB" w14:textId="77777777" w:rsidR="00026D5B" w:rsidRPr="00AE1A76" w:rsidRDefault="00026D5B" w:rsidP="00290D8B">
            <w:pPr>
              <w:ind w:left="171"/>
              <w:rPr>
                <w:rFonts w:cstheme="minorHAnsi"/>
              </w:rPr>
            </w:pPr>
            <w:r w:rsidRPr="00AE1A76">
              <w:rPr>
                <w:rFonts w:cstheme="minorHAnsi"/>
              </w:rPr>
              <w:t>42.a člen</w:t>
            </w:r>
          </w:p>
        </w:tc>
        <w:tc>
          <w:tcPr>
            <w:tcW w:w="5810" w:type="dxa"/>
          </w:tcPr>
          <w:p w14:paraId="05D56CF5" w14:textId="77777777" w:rsidR="00026D5B" w:rsidRPr="00AE1A76" w:rsidRDefault="00026D5B" w:rsidP="00290D8B">
            <w:pPr>
              <w:ind w:left="171" w:right="165"/>
              <w:rPr>
                <w:rFonts w:cstheme="minorHAnsi"/>
              </w:rPr>
            </w:pPr>
            <w:r w:rsidRPr="00AE1A76">
              <w:rPr>
                <w:rFonts w:cstheme="minorHAnsi"/>
              </w:rPr>
              <w:t>Doda se nov člen, ki za stavbna zemljišča uvaja razmerje med osnovnimi in pomožnimi objekti.</w:t>
            </w:r>
          </w:p>
        </w:tc>
      </w:tr>
      <w:tr w:rsidR="00026D5B" w14:paraId="5028AE23" w14:textId="77777777" w:rsidTr="00F37918">
        <w:trPr>
          <w:cantSplit/>
          <w:jc w:val="center"/>
        </w:trPr>
        <w:tc>
          <w:tcPr>
            <w:tcW w:w="1276" w:type="dxa"/>
          </w:tcPr>
          <w:p w14:paraId="0B89C972" w14:textId="77777777" w:rsidR="00026D5B" w:rsidRPr="00AE1A76" w:rsidRDefault="00026D5B" w:rsidP="00290D8B">
            <w:pPr>
              <w:ind w:left="171"/>
              <w:rPr>
                <w:rFonts w:cstheme="minorHAnsi"/>
              </w:rPr>
            </w:pPr>
            <w:r>
              <w:rPr>
                <w:rFonts w:cstheme="minorHAnsi"/>
              </w:rPr>
              <w:t>23. člen</w:t>
            </w:r>
          </w:p>
        </w:tc>
        <w:tc>
          <w:tcPr>
            <w:tcW w:w="1703" w:type="dxa"/>
          </w:tcPr>
          <w:p w14:paraId="4001CA4B" w14:textId="77777777" w:rsidR="00026D5B" w:rsidRPr="00AE1A76" w:rsidRDefault="00026D5B" w:rsidP="00290D8B">
            <w:pPr>
              <w:ind w:left="171"/>
              <w:rPr>
                <w:rFonts w:cstheme="minorHAnsi"/>
              </w:rPr>
            </w:pPr>
            <w:r w:rsidRPr="00AE1A76">
              <w:rPr>
                <w:rFonts w:cstheme="minorHAnsi"/>
              </w:rPr>
              <w:t>44. člen</w:t>
            </w:r>
          </w:p>
        </w:tc>
        <w:tc>
          <w:tcPr>
            <w:tcW w:w="5810" w:type="dxa"/>
          </w:tcPr>
          <w:p w14:paraId="1FBA7BB6" w14:textId="77777777" w:rsidR="00026D5B" w:rsidRPr="00AE1A76" w:rsidRDefault="00026D5B" w:rsidP="00290D8B">
            <w:pPr>
              <w:ind w:left="171" w:right="165"/>
              <w:rPr>
                <w:rFonts w:cstheme="minorHAnsi"/>
              </w:rPr>
            </w:pPr>
            <w:r w:rsidRPr="00AE1A76">
              <w:rPr>
                <w:rFonts w:cstheme="minorHAnsi"/>
              </w:rPr>
              <w:t>Tehnična in vsebinska uskladitev splošnih PIP: gradbena parcela, odmiki, gradnja do meje, odmiki od ceste v javni rabi, pogoji za dovoz in obrazložitev odstopanj.</w:t>
            </w:r>
            <w:r>
              <w:rPr>
                <w:rFonts w:cstheme="minorHAnsi"/>
              </w:rPr>
              <w:t xml:space="preserve"> Glede na prvo branje dopolnjeno določilo glede odmikov.</w:t>
            </w:r>
          </w:p>
        </w:tc>
      </w:tr>
      <w:tr w:rsidR="00026D5B" w14:paraId="76D95C3E" w14:textId="77777777" w:rsidTr="00F37918">
        <w:trPr>
          <w:cantSplit/>
          <w:jc w:val="center"/>
        </w:trPr>
        <w:tc>
          <w:tcPr>
            <w:tcW w:w="1276" w:type="dxa"/>
          </w:tcPr>
          <w:p w14:paraId="43AD5752" w14:textId="77777777" w:rsidR="00026D5B" w:rsidRPr="00AE1A76" w:rsidRDefault="00026D5B" w:rsidP="00290D8B">
            <w:pPr>
              <w:ind w:left="171"/>
              <w:rPr>
                <w:rFonts w:cstheme="minorHAnsi"/>
              </w:rPr>
            </w:pPr>
            <w:r>
              <w:rPr>
                <w:rFonts w:cstheme="minorHAnsi"/>
              </w:rPr>
              <w:t>24. člen</w:t>
            </w:r>
          </w:p>
        </w:tc>
        <w:tc>
          <w:tcPr>
            <w:tcW w:w="1703" w:type="dxa"/>
          </w:tcPr>
          <w:p w14:paraId="6BFBC020" w14:textId="77777777" w:rsidR="00026D5B" w:rsidRPr="00AE1A76" w:rsidRDefault="00026D5B" w:rsidP="00290D8B">
            <w:pPr>
              <w:ind w:left="171"/>
              <w:rPr>
                <w:rFonts w:cstheme="minorHAnsi"/>
              </w:rPr>
            </w:pPr>
            <w:r w:rsidRPr="00AE1A76">
              <w:rPr>
                <w:rFonts w:cstheme="minorHAnsi"/>
              </w:rPr>
              <w:t>45. člen</w:t>
            </w:r>
          </w:p>
        </w:tc>
        <w:tc>
          <w:tcPr>
            <w:tcW w:w="5810" w:type="dxa"/>
          </w:tcPr>
          <w:p w14:paraId="34067593" w14:textId="77777777" w:rsidR="00026D5B" w:rsidRPr="00AE1A76" w:rsidRDefault="00026D5B" w:rsidP="00290D8B">
            <w:pPr>
              <w:ind w:left="171" w:right="165"/>
              <w:rPr>
                <w:rFonts w:cstheme="minorHAnsi"/>
              </w:rPr>
            </w:pPr>
            <w:r w:rsidRPr="00AE1A76">
              <w:rPr>
                <w:rFonts w:cstheme="minorHAnsi"/>
              </w:rPr>
              <w:t>Spremenjena so določila o dopustni zazidanosti in izrabi gradbene parcele.</w:t>
            </w:r>
          </w:p>
        </w:tc>
      </w:tr>
      <w:tr w:rsidR="00026D5B" w14:paraId="1F5DFB94" w14:textId="77777777" w:rsidTr="00F37918">
        <w:trPr>
          <w:cantSplit/>
          <w:jc w:val="center"/>
        </w:trPr>
        <w:tc>
          <w:tcPr>
            <w:tcW w:w="1276" w:type="dxa"/>
          </w:tcPr>
          <w:p w14:paraId="0BB4C08B" w14:textId="77777777" w:rsidR="00026D5B" w:rsidRPr="00AE1A76" w:rsidRDefault="00026D5B" w:rsidP="00290D8B">
            <w:pPr>
              <w:ind w:left="171"/>
              <w:rPr>
                <w:rFonts w:cstheme="minorHAnsi"/>
              </w:rPr>
            </w:pPr>
            <w:r>
              <w:rPr>
                <w:rFonts w:cstheme="minorHAnsi"/>
              </w:rPr>
              <w:lastRenderedPageBreak/>
              <w:t>25. člen</w:t>
            </w:r>
          </w:p>
        </w:tc>
        <w:tc>
          <w:tcPr>
            <w:tcW w:w="1703" w:type="dxa"/>
          </w:tcPr>
          <w:p w14:paraId="304B5E74" w14:textId="77777777" w:rsidR="00026D5B" w:rsidRPr="00AE1A76" w:rsidRDefault="00026D5B" w:rsidP="00290D8B">
            <w:pPr>
              <w:ind w:left="171"/>
              <w:rPr>
                <w:rFonts w:cstheme="minorHAnsi"/>
              </w:rPr>
            </w:pPr>
            <w:r w:rsidRPr="00AE1A76">
              <w:rPr>
                <w:rFonts w:cstheme="minorHAnsi"/>
              </w:rPr>
              <w:t>46. člen</w:t>
            </w:r>
          </w:p>
        </w:tc>
        <w:tc>
          <w:tcPr>
            <w:tcW w:w="5810" w:type="dxa"/>
          </w:tcPr>
          <w:p w14:paraId="56734654" w14:textId="77777777" w:rsidR="00026D5B" w:rsidRPr="00AE1A76" w:rsidRDefault="00026D5B" w:rsidP="00290D8B">
            <w:pPr>
              <w:ind w:left="171" w:right="165"/>
              <w:rPr>
                <w:rFonts w:cstheme="minorHAnsi"/>
              </w:rPr>
            </w:pPr>
            <w:r w:rsidRPr="00AE1A76">
              <w:rPr>
                <w:rFonts w:cstheme="minorHAnsi"/>
              </w:rPr>
              <w:t>Dopolnitve glede oblikovanja objektov, oblikovne skladnosti, pomožnih objektov, barv in tekstur, posegov na objektih v javni rabi in kolektivne stanovanjske gradnje, klimatskih naprav, ograj, opornih zidov, zunanjih ureditev ter pogojev za umeščanje kampov in nastanitvenih enot.</w:t>
            </w:r>
          </w:p>
        </w:tc>
      </w:tr>
      <w:tr w:rsidR="00026D5B" w14:paraId="1A586DD9" w14:textId="77777777" w:rsidTr="00F37918">
        <w:trPr>
          <w:cantSplit/>
          <w:jc w:val="center"/>
        </w:trPr>
        <w:tc>
          <w:tcPr>
            <w:tcW w:w="1276" w:type="dxa"/>
          </w:tcPr>
          <w:p w14:paraId="7389284A" w14:textId="77777777" w:rsidR="00026D5B" w:rsidRPr="00AE1A76" w:rsidRDefault="00026D5B" w:rsidP="00290D8B">
            <w:pPr>
              <w:ind w:left="171"/>
              <w:rPr>
                <w:rFonts w:cstheme="minorHAnsi"/>
              </w:rPr>
            </w:pPr>
            <w:r>
              <w:rPr>
                <w:rFonts w:cstheme="minorHAnsi"/>
              </w:rPr>
              <w:t>26. člen</w:t>
            </w:r>
          </w:p>
        </w:tc>
        <w:tc>
          <w:tcPr>
            <w:tcW w:w="1703" w:type="dxa"/>
          </w:tcPr>
          <w:p w14:paraId="6FDBA2AE" w14:textId="77777777" w:rsidR="00026D5B" w:rsidRPr="00AE1A76" w:rsidRDefault="00026D5B" w:rsidP="00290D8B">
            <w:pPr>
              <w:ind w:left="171"/>
              <w:rPr>
                <w:rFonts w:cstheme="minorHAnsi"/>
              </w:rPr>
            </w:pPr>
            <w:r w:rsidRPr="00AE1A76">
              <w:rPr>
                <w:rFonts w:cstheme="minorHAnsi"/>
              </w:rPr>
              <w:t>47. člen</w:t>
            </w:r>
          </w:p>
        </w:tc>
        <w:tc>
          <w:tcPr>
            <w:tcW w:w="5810" w:type="dxa"/>
          </w:tcPr>
          <w:p w14:paraId="57FCDA88" w14:textId="77777777" w:rsidR="00026D5B" w:rsidRPr="00AE1A76" w:rsidRDefault="00026D5B" w:rsidP="00290D8B">
            <w:pPr>
              <w:ind w:left="171" w:right="165"/>
              <w:rPr>
                <w:rFonts w:cstheme="minorHAnsi"/>
              </w:rPr>
            </w:pPr>
            <w:r w:rsidRPr="00AE1A76">
              <w:rPr>
                <w:rFonts w:cstheme="minorHAnsi"/>
              </w:rPr>
              <w:t>Dopolnitev glede ohranjanja oziroma zagotavljanja števila dreves na gradbeni parceli ter manjše redakcijske dopolnitve.</w:t>
            </w:r>
          </w:p>
        </w:tc>
      </w:tr>
      <w:tr w:rsidR="00026D5B" w14:paraId="1AE09316" w14:textId="77777777" w:rsidTr="00F37918">
        <w:trPr>
          <w:cantSplit/>
          <w:jc w:val="center"/>
        </w:trPr>
        <w:tc>
          <w:tcPr>
            <w:tcW w:w="1276" w:type="dxa"/>
          </w:tcPr>
          <w:p w14:paraId="4D7ADA86" w14:textId="77777777" w:rsidR="00026D5B" w:rsidRPr="00AE1A76" w:rsidRDefault="00026D5B" w:rsidP="00290D8B">
            <w:pPr>
              <w:ind w:left="171"/>
              <w:rPr>
                <w:rFonts w:cstheme="minorHAnsi"/>
              </w:rPr>
            </w:pPr>
            <w:r>
              <w:rPr>
                <w:rFonts w:cstheme="minorHAnsi"/>
              </w:rPr>
              <w:t>27. člen</w:t>
            </w:r>
          </w:p>
        </w:tc>
        <w:tc>
          <w:tcPr>
            <w:tcW w:w="1703" w:type="dxa"/>
          </w:tcPr>
          <w:p w14:paraId="7D1E2576" w14:textId="77777777" w:rsidR="00026D5B" w:rsidRPr="00AE1A76" w:rsidRDefault="00026D5B" w:rsidP="00290D8B">
            <w:pPr>
              <w:ind w:left="171"/>
              <w:rPr>
                <w:rFonts w:cstheme="minorHAnsi"/>
              </w:rPr>
            </w:pPr>
            <w:r w:rsidRPr="00AE1A76">
              <w:rPr>
                <w:rFonts w:cstheme="minorHAnsi"/>
              </w:rPr>
              <w:t>48. člen</w:t>
            </w:r>
          </w:p>
        </w:tc>
        <w:tc>
          <w:tcPr>
            <w:tcW w:w="5810" w:type="dxa"/>
          </w:tcPr>
          <w:p w14:paraId="08901775" w14:textId="77777777" w:rsidR="00026D5B" w:rsidRPr="00AE1A76" w:rsidRDefault="00026D5B" w:rsidP="00290D8B">
            <w:pPr>
              <w:ind w:left="171" w:right="165"/>
              <w:rPr>
                <w:rFonts w:cstheme="minorHAnsi"/>
              </w:rPr>
            </w:pPr>
            <w:r w:rsidRPr="00AE1A76">
              <w:rPr>
                <w:rFonts w:cstheme="minorHAnsi"/>
              </w:rPr>
              <w:t>Določila o parkiranju se posodabljajo: mobilnostni načrt, senčenje parkirnih mest, oprema za napajanje električnih avtomobilov in redakcijska terminologija</w:t>
            </w:r>
            <w:r>
              <w:rPr>
                <w:rFonts w:cstheme="minorHAnsi"/>
              </w:rPr>
              <w:t>, ipd</w:t>
            </w:r>
            <w:r w:rsidRPr="00AE1A76">
              <w:rPr>
                <w:rFonts w:cstheme="minorHAnsi"/>
              </w:rPr>
              <w:t>.</w:t>
            </w:r>
          </w:p>
        </w:tc>
      </w:tr>
      <w:tr w:rsidR="00026D5B" w14:paraId="7AA2CF6D" w14:textId="77777777" w:rsidTr="00F37918">
        <w:trPr>
          <w:cantSplit/>
          <w:jc w:val="center"/>
        </w:trPr>
        <w:tc>
          <w:tcPr>
            <w:tcW w:w="1276" w:type="dxa"/>
          </w:tcPr>
          <w:p w14:paraId="34777395" w14:textId="77777777" w:rsidR="00026D5B" w:rsidRPr="00AE1A76" w:rsidRDefault="00026D5B" w:rsidP="00290D8B">
            <w:pPr>
              <w:ind w:left="171"/>
              <w:rPr>
                <w:rFonts w:cstheme="minorHAnsi"/>
              </w:rPr>
            </w:pPr>
            <w:r>
              <w:rPr>
                <w:rFonts w:cstheme="minorHAnsi"/>
              </w:rPr>
              <w:t>28. člen</w:t>
            </w:r>
          </w:p>
        </w:tc>
        <w:tc>
          <w:tcPr>
            <w:tcW w:w="1703" w:type="dxa"/>
          </w:tcPr>
          <w:p w14:paraId="6599E4A2" w14:textId="77777777" w:rsidR="00026D5B" w:rsidRPr="00AE1A76" w:rsidRDefault="00026D5B" w:rsidP="00290D8B">
            <w:pPr>
              <w:ind w:left="171"/>
              <w:rPr>
                <w:rFonts w:cstheme="minorHAnsi"/>
              </w:rPr>
            </w:pPr>
            <w:r w:rsidRPr="00AE1A76">
              <w:rPr>
                <w:rFonts w:cstheme="minorHAnsi"/>
              </w:rPr>
              <w:t>49. člen</w:t>
            </w:r>
          </w:p>
        </w:tc>
        <w:tc>
          <w:tcPr>
            <w:tcW w:w="5810" w:type="dxa"/>
          </w:tcPr>
          <w:p w14:paraId="5BE4FBF5" w14:textId="77777777" w:rsidR="00026D5B" w:rsidRPr="00AE1A76" w:rsidRDefault="00026D5B" w:rsidP="00290D8B">
            <w:pPr>
              <w:ind w:left="171" w:right="165"/>
              <w:rPr>
                <w:rFonts w:cstheme="minorHAnsi"/>
              </w:rPr>
            </w:pPr>
            <w:r w:rsidRPr="00AE1A76">
              <w:rPr>
                <w:rFonts w:cstheme="minorHAnsi"/>
              </w:rPr>
              <w:t>Spremenjeni so parkirni normativi, zlasti pri stanovanjskih stavbah, dodane so zahteve glede parkiranja koles in možnost odstopanja na podlagi mobilnostnega načrta.</w:t>
            </w:r>
            <w:r>
              <w:rPr>
                <w:rFonts w:cstheme="minorHAnsi"/>
              </w:rPr>
              <w:t xml:space="preserve"> Tehnični popravki glede na prvo branje.</w:t>
            </w:r>
          </w:p>
        </w:tc>
      </w:tr>
      <w:tr w:rsidR="00026D5B" w14:paraId="209EA694" w14:textId="77777777" w:rsidTr="00F37918">
        <w:trPr>
          <w:cantSplit/>
          <w:jc w:val="center"/>
        </w:trPr>
        <w:tc>
          <w:tcPr>
            <w:tcW w:w="1276" w:type="dxa"/>
          </w:tcPr>
          <w:p w14:paraId="52FC783D" w14:textId="77777777" w:rsidR="00026D5B" w:rsidRPr="00AE1A76" w:rsidRDefault="00026D5B" w:rsidP="00290D8B">
            <w:pPr>
              <w:ind w:left="171"/>
              <w:rPr>
                <w:rFonts w:cstheme="minorHAnsi"/>
              </w:rPr>
            </w:pPr>
            <w:r>
              <w:rPr>
                <w:rFonts w:cstheme="minorHAnsi"/>
              </w:rPr>
              <w:t>29. člen</w:t>
            </w:r>
          </w:p>
        </w:tc>
        <w:tc>
          <w:tcPr>
            <w:tcW w:w="1703" w:type="dxa"/>
          </w:tcPr>
          <w:p w14:paraId="3A9DAEE0" w14:textId="77777777" w:rsidR="00026D5B" w:rsidRPr="00AE1A76" w:rsidRDefault="00026D5B" w:rsidP="00290D8B">
            <w:pPr>
              <w:ind w:left="171"/>
              <w:rPr>
                <w:rFonts w:cstheme="minorHAnsi"/>
              </w:rPr>
            </w:pPr>
            <w:r w:rsidRPr="00AE1A76">
              <w:rPr>
                <w:rFonts w:cstheme="minorHAnsi"/>
              </w:rPr>
              <w:t>50. člen</w:t>
            </w:r>
          </w:p>
        </w:tc>
        <w:tc>
          <w:tcPr>
            <w:tcW w:w="5810" w:type="dxa"/>
          </w:tcPr>
          <w:p w14:paraId="4E4AA4BC" w14:textId="77777777" w:rsidR="00026D5B" w:rsidRPr="00AE1A76" w:rsidRDefault="00026D5B" w:rsidP="00290D8B">
            <w:pPr>
              <w:ind w:left="171" w:right="165"/>
              <w:rPr>
                <w:rFonts w:cstheme="minorHAnsi"/>
              </w:rPr>
            </w:pPr>
            <w:r w:rsidRPr="00AE1A76">
              <w:rPr>
                <w:rFonts w:cstheme="minorHAnsi"/>
              </w:rPr>
              <w:t>Črtajo oziroma preoblikujejo se določila glede enostavnih in nezahtevnih objektov; ohranijo oziroma posebej uredijo se določila za začasne objekte.</w:t>
            </w:r>
            <w:r>
              <w:rPr>
                <w:rFonts w:cstheme="minorHAnsi"/>
              </w:rPr>
              <w:t xml:space="preserve"> Popravek glede na prvo branje pri gostinskih vrtovih.</w:t>
            </w:r>
          </w:p>
        </w:tc>
      </w:tr>
      <w:tr w:rsidR="00026D5B" w14:paraId="7BFFECFC" w14:textId="77777777" w:rsidTr="00F37918">
        <w:trPr>
          <w:cantSplit/>
          <w:jc w:val="center"/>
        </w:trPr>
        <w:tc>
          <w:tcPr>
            <w:tcW w:w="1276" w:type="dxa"/>
          </w:tcPr>
          <w:p w14:paraId="01692CEC" w14:textId="77777777" w:rsidR="00026D5B" w:rsidRPr="00AE1A76" w:rsidRDefault="00026D5B" w:rsidP="00290D8B">
            <w:pPr>
              <w:ind w:left="171"/>
              <w:rPr>
                <w:rFonts w:cstheme="minorHAnsi"/>
              </w:rPr>
            </w:pPr>
            <w:r>
              <w:rPr>
                <w:rFonts w:cstheme="minorHAnsi"/>
              </w:rPr>
              <w:t>30. člen</w:t>
            </w:r>
          </w:p>
        </w:tc>
        <w:tc>
          <w:tcPr>
            <w:tcW w:w="1703" w:type="dxa"/>
          </w:tcPr>
          <w:p w14:paraId="3AED1334" w14:textId="77777777" w:rsidR="00026D5B" w:rsidRPr="00AE1A76" w:rsidRDefault="00026D5B" w:rsidP="00290D8B">
            <w:pPr>
              <w:ind w:left="171"/>
              <w:rPr>
                <w:rFonts w:cstheme="minorHAnsi"/>
              </w:rPr>
            </w:pPr>
            <w:r w:rsidRPr="00AE1A76">
              <w:rPr>
                <w:rFonts w:cstheme="minorHAnsi"/>
              </w:rPr>
              <w:t>50.a člen</w:t>
            </w:r>
          </w:p>
        </w:tc>
        <w:tc>
          <w:tcPr>
            <w:tcW w:w="5810" w:type="dxa"/>
          </w:tcPr>
          <w:p w14:paraId="340697F2" w14:textId="77777777" w:rsidR="00026D5B" w:rsidRPr="00AE1A76" w:rsidRDefault="00026D5B" w:rsidP="00290D8B">
            <w:pPr>
              <w:ind w:left="171" w:right="165"/>
              <w:rPr>
                <w:rFonts w:cstheme="minorHAnsi"/>
              </w:rPr>
            </w:pPr>
            <w:r w:rsidRPr="00AE1A76">
              <w:rPr>
                <w:rFonts w:cstheme="minorHAnsi"/>
              </w:rPr>
              <w:t>Doda se nov člen za postavitev proizvodov, tipskih zabojnikov, kioskov, ut, stojnic, urbane opreme, ekoloških otokov, obvestilne signalizacije in drugih ureditev na javnih površinah.</w:t>
            </w:r>
            <w:r>
              <w:rPr>
                <w:rFonts w:cstheme="minorHAnsi"/>
              </w:rPr>
              <w:t xml:space="preserve"> Tehnični popravki glede na prvo branje.</w:t>
            </w:r>
          </w:p>
        </w:tc>
      </w:tr>
      <w:tr w:rsidR="00026D5B" w14:paraId="47A66039" w14:textId="77777777" w:rsidTr="00F37918">
        <w:trPr>
          <w:cantSplit/>
          <w:jc w:val="center"/>
        </w:trPr>
        <w:tc>
          <w:tcPr>
            <w:tcW w:w="1276" w:type="dxa"/>
          </w:tcPr>
          <w:p w14:paraId="24338A17" w14:textId="77777777" w:rsidR="00026D5B" w:rsidRPr="00AE1A76" w:rsidRDefault="00026D5B" w:rsidP="00290D8B">
            <w:pPr>
              <w:ind w:left="171"/>
              <w:rPr>
                <w:rFonts w:cstheme="minorHAnsi"/>
              </w:rPr>
            </w:pPr>
            <w:r>
              <w:rPr>
                <w:rFonts w:cstheme="minorHAnsi"/>
              </w:rPr>
              <w:t>31. člen</w:t>
            </w:r>
          </w:p>
        </w:tc>
        <w:tc>
          <w:tcPr>
            <w:tcW w:w="1703" w:type="dxa"/>
          </w:tcPr>
          <w:p w14:paraId="684568A6" w14:textId="77777777" w:rsidR="00026D5B" w:rsidRPr="00AE1A76" w:rsidRDefault="00026D5B" w:rsidP="00290D8B">
            <w:pPr>
              <w:ind w:left="171"/>
              <w:rPr>
                <w:rFonts w:cstheme="minorHAnsi"/>
              </w:rPr>
            </w:pPr>
            <w:r w:rsidRPr="00AE1A76">
              <w:rPr>
                <w:rFonts w:cstheme="minorHAnsi"/>
              </w:rPr>
              <w:t>51. člen</w:t>
            </w:r>
          </w:p>
        </w:tc>
        <w:tc>
          <w:tcPr>
            <w:tcW w:w="5810" w:type="dxa"/>
          </w:tcPr>
          <w:p w14:paraId="49CC8F68" w14:textId="77777777" w:rsidR="00026D5B" w:rsidRPr="00AE1A76" w:rsidRDefault="00026D5B" w:rsidP="00290D8B">
            <w:pPr>
              <w:ind w:left="171" w:right="165"/>
              <w:rPr>
                <w:rFonts w:cstheme="minorHAnsi"/>
              </w:rPr>
            </w:pPr>
            <w:r w:rsidRPr="00AE1A76">
              <w:rPr>
                <w:rFonts w:cstheme="minorHAnsi"/>
              </w:rPr>
              <w:t>Uskladitev pogojev za določanje gradbene parcele.</w:t>
            </w:r>
          </w:p>
        </w:tc>
      </w:tr>
      <w:tr w:rsidR="00026D5B" w14:paraId="481DDFB3" w14:textId="77777777" w:rsidTr="00F37918">
        <w:trPr>
          <w:cantSplit/>
          <w:jc w:val="center"/>
        </w:trPr>
        <w:tc>
          <w:tcPr>
            <w:tcW w:w="1276" w:type="dxa"/>
          </w:tcPr>
          <w:p w14:paraId="54C64392" w14:textId="77777777" w:rsidR="00026D5B" w:rsidRPr="00AE1A76" w:rsidRDefault="00026D5B" w:rsidP="00290D8B">
            <w:pPr>
              <w:ind w:left="171"/>
              <w:rPr>
                <w:rFonts w:cstheme="minorHAnsi"/>
              </w:rPr>
            </w:pPr>
            <w:r>
              <w:rPr>
                <w:rFonts w:cstheme="minorHAnsi"/>
              </w:rPr>
              <w:t>32. člen</w:t>
            </w:r>
          </w:p>
        </w:tc>
        <w:tc>
          <w:tcPr>
            <w:tcW w:w="1703" w:type="dxa"/>
          </w:tcPr>
          <w:p w14:paraId="551B2236" w14:textId="77777777" w:rsidR="00026D5B" w:rsidRPr="00AE1A76" w:rsidRDefault="00026D5B" w:rsidP="00290D8B">
            <w:pPr>
              <w:ind w:left="171"/>
              <w:rPr>
                <w:rFonts w:cstheme="minorHAnsi"/>
              </w:rPr>
            </w:pPr>
            <w:r w:rsidRPr="00AE1A76">
              <w:rPr>
                <w:rFonts w:cstheme="minorHAnsi"/>
              </w:rPr>
              <w:t>52. člen</w:t>
            </w:r>
          </w:p>
        </w:tc>
        <w:tc>
          <w:tcPr>
            <w:tcW w:w="5810" w:type="dxa"/>
          </w:tcPr>
          <w:p w14:paraId="0CFC5A38" w14:textId="77777777" w:rsidR="00026D5B" w:rsidRPr="00AE1A76" w:rsidRDefault="00026D5B" w:rsidP="00290D8B">
            <w:pPr>
              <w:ind w:left="171" w:right="165"/>
              <w:rPr>
                <w:rFonts w:cstheme="minorHAnsi"/>
              </w:rPr>
            </w:pPr>
            <w:r w:rsidRPr="00AE1A76">
              <w:rPr>
                <w:rFonts w:cstheme="minorHAnsi"/>
              </w:rPr>
              <w:t>Določila člena se popravljajo v skladu z mnenjem NUP.</w:t>
            </w:r>
          </w:p>
        </w:tc>
      </w:tr>
      <w:tr w:rsidR="00026D5B" w14:paraId="5F8F38E3" w14:textId="77777777" w:rsidTr="00F37918">
        <w:trPr>
          <w:cantSplit/>
          <w:jc w:val="center"/>
        </w:trPr>
        <w:tc>
          <w:tcPr>
            <w:tcW w:w="1276" w:type="dxa"/>
          </w:tcPr>
          <w:p w14:paraId="3D1BA933" w14:textId="77777777" w:rsidR="00026D5B" w:rsidRPr="00AE1A76" w:rsidRDefault="00026D5B" w:rsidP="00290D8B">
            <w:pPr>
              <w:ind w:left="171"/>
              <w:rPr>
                <w:rFonts w:cstheme="minorHAnsi"/>
              </w:rPr>
            </w:pPr>
            <w:r>
              <w:rPr>
                <w:rFonts w:cstheme="minorHAnsi"/>
              </w:rPr>
              <w:t>33. člen</w:t>
            </w:r>
          </w:p>
        </w:tc>
        <w:tc>
          <w:tcPr>
            <w:tcW w:w="1703" w:type="dxa"/>
          </w:tcPr>
          <w:p w14:paraId="6936D4D4" w14:textId="77777777" w:rsidR="00026D5B" w:rsidRPr="00AE1A76" w:rsidRDefault="00026D5B" w:rsidP="00290D8B">
            <w:pPr>
              <w:ind w:left="171"/>
              <w:rPr>
                <w:rFonts w:cstheme="minorHAnsi"/>
              </w:rPr>
            </w:pPr>
            <w:r w:rsidRPr="00AE1A76">
              <w:rPr>
                <w:rFonts w:cstheme="minorHAnsi"/>
              </w:rPr>
              <w:t>55. člen</w:t>
            </w:r>
          </w:p>
        </w:tc>
        <w:tc>
          <w:tcPr>
            <w:tcW w:w="5810" w:type="dxa"/>
          </w:tcPr>
          <w:p w14:paraId="778FB7E8" w14:textId="77777777" w:rsidR="00026D5B" w:rsidRPr="00AE1A76" w:rsidRDefault="00026D5B" w:rsidP="00290D8B">
            <w:pPr>
              <w:ind w:left="171" w:right="165"/>
              <w:rPr>
                <w:rFonts w:cstheme="minorHAnsi"/>
              </w:rPr>
            </w:pPr>
            <w:r w:rsidRPr="00AE1A76">
              <w:rPr>
                <w:rFonts w:cstheme="minorHAnsi"/>
              </w:rPr>
              <w:t>Določila člena se popravljajo v skladu z mnenjem NUP.</w:t>
            </w:r>
            <w:r>
              <w:rPr>
                <w:rFonts w:cstheme="minorHAnsi"/>
              </w:rPr>
              <w:t xml:space="preserve"> Oblikovne spremembe glede na prvo branje.</w:t>
            </w:r>
          </w:p>
        </w:tc>
      </w:tr>
      <w:tr w:rsidR="00026D5B" w14:paraId="50544EAA" w14:textId="77777777" w:rsidTr="00F37918">
        <w:trPr>
          <w:cantSplit/>
          <w:jc w:val="center"/>
        </w:trPr>
        <w:tc>
          <w:tcPr>
            <w:tcW w:w="1276" w:type="dxa"/>
          </w:tcPr>
          <w:p w14:paraId="1486552D" w14:textId="77777777" w:rsidR="00026D5B" w:rsidRPr="00AE1A76" w:rsidRDefault="00026D5B" w:rsidP="00290D8B">
            <w:pPr>
              <w:ind w:left="171"/>
              <w:rPr>
                <w:rFonts w:cstheme="minorHAnsi"/>
              </w:rPr>
            </w:pPr>
            <w:r>
              <w:rPr>
                <w:rFonts w:cstheme="minorHAnsi"/>
              </w:rPr>
              <w:t>34. člen</w:t>
            </w:r>
          </w:p>
        </w:tc>
        <w:tc>
          <w:tcPr>
            <w:tcW w:w="1703" w:type="dxa"/>
          </w:tcPr>
          <w:p w14:paraId="007E6ABB" w14:textId="77777777" w:rsidR="00026D5B" w:rsidRPr="00AE1A76" w:rsidRDefault="00026D5B" w:rsidP="00290D8B">
            <w:pPr>
              <w:ind w:left="171"/>
              <w:rPr>
                <w:rFonts w:cstheme="minorHAnsi"/>
              </w:rPr>
            </w:pPr>
            <w:r w:rsidRPr="00AE1A76">
              <w:rPr>
                <w:rFonts w:cstheme="minorHAnsi"/>
              </w:rPr>
              <w:t>57. člen</w:t>
            </w:r>
          </w:p>
        </w:tc>
        <w:tc>
          <w:tcPr>
            <w:tcW w:w="5810" w:type="dxa"/>
          </w:tcPr>
          <w:p w14:paraId="0CD13113" w14:textId="77777777" w:rsidR="00026D5B" w:rsidRPr="00AE1A76" w:rsidRDefault="00026D5B" w:rsidP="00290D8B">
            <w:pPr>
              <w:ind w:left="171" w:right="165"/>
              <w:rPr>
                <w:rFonts w:cstheme="minorHAnsi"/>
              </w:rPr>
            </w:pPr>
            <w:r w:rsidRPr="00AE1A76">
              <w:rPr>
                <w:rFonts w:cstheme="minorHAnsi"/>
              </w:rPr>
              <w:t>Določila člena se popravljajo v skladu z mnenjem NUP.</w:t>
            </w:r>
          </w:p>
        </w:tc>
      </w:tr>
      <w:tr w:rsidR="00026D5B" w14:paraId="57544C31" w14:textId="77777777" w:rsidTr="00F37918">
        <w:trPr>
          <w:cantSplit/>
          <w:jc w:val="center"/>
        </w:trPr>
        <w:tc>
          <w:tcPr>
            <w:tcW w:w="1276" w:type="dxa"/>
          </w:tcPr>
          <w:p w14:paraId="4D5AADE8" w14:textId="77777777" w:rsidR="00026D5B" w:rsidRPr="00AE1A76" w:rsidRDefault="00026D5B" w:rsidP="00290D8B">
            <w:pPr>
              <w:ind w:left="171"/>
              <w:rPr>
                <w:rFonts w:cstheme="minorHAnsi"/>
              </w:rPr>
            </w:pPr>
            <w:r>
              <w:rPr>
                <w:rFonts w:cstheme="minorHAnsi"/>
              </w:rPr>
              <w:lastRenderedPageBreak/>
              <w:t>35. člen</w:t>
            </w:r>
          </w:p>
        </w:tc>
        <w:tc>
          <w:tcPr>
            <w:tcW w:w="1703" w:type="dxa"/>
          </w:tcPr>
          <w:p w14:paraId="2ACE6CDB" w14:textId="77777777" w:rsidR="00026D5B" w:rsidRPr="00AE1A76" w:rsidRDefault="00026D5B" w:rsidP="00290D8B">
            <w:pPr>
              <w:ind w:left="171"/>
              <w:rPr>
                <w:rFonts w:cstheme="minorHAnsi"/>
              </w:rPr>
            </w:pPr>
            <w:r w:rsidRPr="00AE1A76">
              <w:rPr>
                <w:rFonts w:cstheme="minorHAnsi"/>
              </w:rPr>
              <w:t>58. člen</w:t>
            </w:r>
          </w:p>
        </w:tc>
        <w:tc>
          <w:tcPr>
            <w:tcW w:w="5810" w:type="dxa"/>
          </w:tcPr>
          <w:p w14:paraId="4C32E3A7" w14:textId="77777777" w:rsidR="00026D5B" w:rsidRPr="00AE1A76" w:rsidRDefault="00026D5B" w:rsidP="00290D8B">
            <w:pPr>
              <w:ind w:left="171" w:right="165"/>
              <w:rPr>
                <w:rFonts w:cstheme="minorHAnsi"/>
              </w:rPr>
            </w:pPr>
            <w:r w:rsidRPr="00AE1A76">
              <w:rPr>
                <w:rFonts w:cstheme="minorHAnsi"/>
              </w:rPr>
              <w:t>Dodani so pogoji za posege energetskih sanacij.</w:t>
            </w:r>
          </w:p>
        </w:tc>
      </w:tr>
      <w:tr w:rsidR="00026D5B" w14:paraId="53C60530" w14:textId="77777777" w:rsidTr="00F37918">
        <w:trPr>
          <w:cantSplit/>
          <w:jc w:val="center"/>
        </w:trPr>
        <w:tc>
          <w:tcPr>
            <w:tcW w:w="1276" w:type="dxa"/>
          </w:tcPr>
          <w:p w14:paraId="57FBDB6D" w14:textId="77777777" w:rsidR="00026D5B" w:rsidRPr="00AE1A76" w:rsidRDefault="00026D5B" w:rsidP="00290D8B">
            <w:pPr>
              <w:ind w:left="171"/>
              <w:rPr>
                <w:rFonts w:cstheme="minorHAnsi"/>
              </w:rPr>
            </w:pPr>
            <w:r>
              <w:rPr>
                <w:rFonts w:cstheme="minorHAnsi"/>
              </w:rPr>
              <w:t>36. člen</w:t>
            </w:r>
          </w:p>
        </w:tc>
        <w:tc>
          <w:tcPr>
            <w:tcW w:w="1703" w:type="dxa"/>
          </w:tcPr>
          <w:p w14:paraId="741DC673" w14:textId="77777777" w:rsidR="00026D5B" w:rsidRPr="00AE1A76" w:rsidRDefault="00026D5B" w:rsidP="00290D8B">
            <w:pPr>
              <w:ind w:left="171"/>
              <w:rPr>
                <w:rFonts w:cstheme="minorHAnsi"/>
              </w:rPr>
            </w:pPr>
            <w:r w:rsidRPr="00AE1A76">
              <w:rPr>
                <w:rFonts w:cstheme="minorHAnsi"/>
              </w:rPr>
              <w:t>59. člen</w:t>
            </w:r>
          </w:p>
        </w:tc>
        <w:tc>
          <w:tcPr>
            <w:tcW w:w="5810" w:type="dxa"/>
          </w:tcPr>
          <w:p w14:paraId="35533286" w14:textId="77777777" w:rsidR="00026D5B" w:rsidRPr="00AE1A76" w:rsidRDefault="00026D5B" w:rsidP="00290D8B">
            <w:pPr>
              <w:ind w:left="171" w:right="165"/>
              <w:rPr>
                <w:rFonts w:cstheme="minorHAnsi"/>
              </w:rPr>
            </w:pPr>
            <w:r w:rsidRPr="00AE1A76">
              <w:rPr>
                <w:rFonts w:cstheme="minorHAnsi"/>
              </w:rPr>
              <w:t>Tehnični popravek.</w:t>
            </w:r>
          </w:p>
        </w:tc>
      </w:tr>
      <w:tr w:rsidR="00026D5B" w14:paraId="55F5A8F3" w14:textId="77777777" w:rsidTr="00F37918">
        <w:trPr>
          <w:cantSplit/>
          <w:jc w:val="center"/>
        </w:trPr>
        <w:tc>
          <w:tcPr>
            <w:tcW w:w="1276" w:type="dxa"/>
          </w:tcPr>
          <w:p w14:paraId="6EC1D95A" w14:textId="77777777" w:rsidR="00026D5B" w:rsidRPr="00AE1A76" w:rsidRDefault="00026D5B" w:rsidP="00290D8B">
            <w:pPr>
              <w:ind w:left="171"/>
              <w:rPr>
                <w:rFonts w:cstheme="minorHAnsi"/>
              </w:rPr>
            </w:pPr>
            <w:r>
              <w:rPr>
                <w:rFonts w:cstheme="minorHAnsi"/>
              </w:rPr>
              <w:t>37. člen</w:t>
            </w:r>
          </w:p>
        </w:tc>
        <w:tc>
          <w:tcPr>
            <w:tcW w:w="1703" w:type="dxa"/>
          </w:tcPr>
          <w:p w14:paraId="1DBC4683" w14:textId="77777777" w:rsidR="00026D5B" w:rsidRPr="00AE1A76" w:rsidRDefault="00026D5B" w:rsidP="00290D8B">
            <w:pPr>
              <w:ind w:left="171"/>
              <w:rPr>
                <w:rFonts w:cstheme="minorHAnsi"/>
              </w:rPr>
            </w:pPr>
            <w:r w:rsidRPr="00AE1A76">
              <w:rPr>
                <w:rFonts w:cstheme="minorHAnsi"/>
              </w:rPr>
              <w:t>60. člen</w:t>
            </w:r>
          </w:p>
        </w:tc>
        <w:tc>
          <w:tcPr>
            <w:tcW w:w="5810" w:type="dxa"/>
          </w:tcPr>
          <w:p w14:paraId="5AE9C9F5" w14:textId="77777777" w:rsidR="00026D5B" w:rsidRPr="00AE1A76" w:rsidRDefault="00026D5B" w:rsidP="00290D8B">
            <w:pPr>
              <w:ind w:left="171" w:right="165"/>
              <w:rPr>
                <w:rFonts w:cstheme="minorHAnsi"/>
              </w:rPr>
            </w:pPr>
            <w:r w:rsidRPr="00AE1A76">
              <w:rPr>
                <w:rFonts w:cstheme="minorHAnsi"/>
              </w:rPr>
              <w:t>Tehnični popravek in dopolnitev določil skladno z mnenjem NUP.</w:t>
            </w:r>
          </w:p>
        </w:tc>
      </w:tr>
      <w:tr w:rsidR="00026D5B" w14:paraId="1E541336" w14:textId="77777777" w:rsidTr="00F37918">
        <w:trPr>
          <w:cantSplit/>
          <w:jc w:val="center"/>
        </w:trPr>
        <w:tc>
          <w:tcPr>
            <w:tcW w:w="1276" w:type="dxa"/>
          </w:tcPr>
          <w:p w14:paraId="4C5F5029" w14:textId="77777777" w:rsidR="00026D5B" w:rsidRPr="00AE1A76" w:rsidRDefault="00026D5B" w:rsidP="00290D8B">
            <w:pPr>
              <w:ind w:left="171"/>
              <w:rPr>
                <w:rFonts w:cstheme="minorHAnsi"/>
              </w:rPr>
            </w:pPr>
            <w:r>
              <w:rPr>
                <w:rFonts w:cstheme="minorHAnsi"/>
              </w:rPr>
              <w:t>38. člen</w:t>
            </w:r>
          </w:p>
        </w:tc>
        <w:tc>
          <w:tcPr>
            <w:tcW w:w="1703" w:type="dxa"/>
          </w:tcPr>
          <w:p w14:paraId="7F932595" w14:textId="77777777" w:rsidR="00026D5B" w:rsidRPr="00AE1A76" w:rsidRDefault="00026D5B" w:rsidP="00290D8B">
            <w:pPr>
              <w:ind w:left="171"/>
              <w:rPr>
                <w:rFonts w:cstheme="minorHAnsi"/>
              </w:rPr>
            </w:pPr>
            <w:r w:rsidRPr="00AE1A76">
              <w:rPr>
                <w:rFonts w:cstheme="minorHAnsi"/>
              </w:rPr>
              <w:t>64. člen</w:t>
            </w:r>
          </w:p>
        </w:tc>
        <w:tc>
          <w:tcPr>
            <w:tcW w:w="5810" w:type="dxa"/>
          </w:tcPr>
          <w:p w14:paraId="4B15CC86" w14:textId="77777777" w:rsidR="00026D5B" w:rsidRPr="00AE1A76" w:rsidRDefault="00026D5B" w:rsidP="00290D8B">
            <w:pPr>
              <w:ind w:left="171" w:right="165"/>
              <w:rPr>
                <w:rFonts w:cstheme="minorHAnsi"/>
              </w:rPr>
            </w:pPr>
            <w:r w:rsidRPr="00AE1A76">
              <w:rPr>
                <w:rFonts w:cstheme="minorHAnsi"/>
              </w:rPr>
              <w:t>Tehnični popravek.</w:t>
            </w:r>
          </w:p>
        </w:tc>
      </w:tr>
      <w:tr w:rsidR="00026D5B" w14:paraId="3F2DFF15" w14:textId="77777777" w:rsidTr="00F37918">
        <w:trPr>
          <w:cantSplit/>
          <w:jc w:val="center"/>
        </w:trPr>
        <w:tc>
          <w:tcPr>
            <w:tcW w:w="1276" w:type="dxa"/>
          </w:tcPr>
          <w:p w14:paraId="1A71D2FD" w14:textId="77777777" w:rsidR="00026D5B" w:rsidRPr="00AE1A76" w:rsidRDefault="00026D5B" w:rsidP="00290D8B">
            <w:pPr>
              <w:ind w:left="171"/>
              <w:rPr>
                <w:rFonts w:cstheme="minorHAnsi"/>
              </w:rPr>
            </w:pPr>
            <w:r>
              <w:rPr>
                <w:rFonts w:cstheme="minorHAnsi"/>
              </w:rPr>
              <w:t>39. člen</w:t>
            </w:r>
          </w:p>
        </w:tc>
        <w:tc>
          <w:tcPr>
            <w:tcW w:w="1703" w:type="dxa"/>
          </w:tcPr>
          <w:p w14:paraId="1BB7FB9E" w14:textId="77777777" w:rsidR="00026D5B" w:rsidRPr="00AE1A76" w:rsidRDefault="00026D5B" w:rsidP="00290D8B">
            <w:pPr>
              <w:ind w:left="171"/>
              <w:rPr>
                <w:rFonts w:cstheme="minorHAnsi"/>
              </w:rPr>
            </w:pPr>
            <w:r w:rsidRPr="00AE1A76">
              <w:rPr>
                <w:rFonts w:cstheme="minorHAnsi"/>
              </w:rPr>
              <w:t>66. člen</w:t>
            </w:r>
          </w:p>
        </w:tc>
        <w:tc>
          <w:tcPr>
            <w:tcW w:w="5810" w:type="dxa"/>
          </w:tcPr>
          <w:p w14:paraId="7C3CAFB7" w14:textId="77777777" w:rsidR="00026D5B" w:rsidRPr="00AE1A76" w:rsidRDefault="00026D5B" w:rsidP="00290D8B">
            <w:pPr>
              <w:ind w:left="171" w:right="165"/>
              <w:rPr>
                <w:rFonts w:cstheme="minorHAnsi"/>
              </w:rPr>
            </w:pPr>
            <w:r w:rsidRPr="00AE1A76">
              <w:rPr>
                <w:rFonts w:cstheme="minorHAnsi"/>
              </w:rPr>
              <w:t>Določila člena se popravljajo v skladu z mnenjem NUP.</w:t>
            </w:r>
            <w:r>
              <w:rPr>
                <w:rFonts w:cstheme="minorHAnsi"/>
              </w:rPr>
              <w:t xml:space="preserve"> Zaradi novih strokovnih podlag se glede na prvo branje na novo določijo razredi stabilnosti terena. </w:t>
            </w:r>
          </w:p>
        </w:tc>
      </w:tr>
      <w:tr w:rsidR="00026D5B" w14:paraId="3A670AD2" w14:textId="77777777" w:rsidTr="00F37918">
        <w:trPr>
          <w:cantSplit/>
          <w:jc w:val="center"/>
        </w:trPr>
        <w:tc>
          <w:tcPr>
            <w:tcW w:w="1276" w:type="dxa"/>
          </w:tcPr>
          <w:p w14:paraId="629FAF5B" w14:textId="77777777" w:rsidR="00026D5B" w:rsidRPr="00AE1A76" w:rsidRDefault="00026D5B" w:rsidP="00290D8B">
            <w:pPr>
              <w:ind w:left="171"/>
              <w:rPr>
                <w:rFonts w:cstheme="minorHAnsi"/>
              </w:rPr>
            </w:pPr>
            <w:r>
              <w:rPr>
                <w:rFonts w:cstheme="minorHAnsi"/>
              </w:rPr>
              <w:t>40. člen</w:t>
            </w:r>
          </w:p>
        </w:tc>
        <w:tc>
          <w:tcPr>
            <w:tcW w:w="1703" w:type="dxa"/>
          </w:tcPr>
          <w:p w14:paraId="23171106" w14:textId="77777777" w:rsidR="00026D5B" w:rsidRPr="00AE1A76" w:rsidRDefault="00026D5B" w:rsidP="00290D8B">
            <w:pPr>
              <w:ind w:left="171"/>
              <w:rPr>
                <w:rFonts w:cstheme="minorHAnsi"/>
              </w:rPr>
            </w:pPr>
            <w:r w:rsidRPr="00AE1A76">
              <w:rPr>
                <w:rFonts w:cstheme="minorHAnsi"/>
              </w:rPr>
              <w:t>67. člen</w:t>
            </w:r>
          </w:p>
        </w:tc>
        <w:tc>
          <w:tcPr>
            <w:tcW w:w="5810" w:type="dxa"/>
          </w:tcPr>
          <w:p w14:paraId="46F4DA49" w14:textId="77777777" w:rsidR="00026D5B" w:rsidRPr="00AE1A76" w:rsidRDefault="00026D5B" w:rsidP="00290D8B">
            <w:pPr>
              <w:ind w:left="171" w:right="165"/>
              <w:rPr>
                <w:rFonts w:cstheme="minorHAnsi"/>
              </w:rPr>
            </w:pPr>
            <w:r w:rsidRPr="00AE1A76">
              <w:rPr>
                <w:rFonts w:cstheme="minorHAnsi"/>
              </w:rPr>
              <w:t>Določila člena se popravljajo v skladu z mnenjem NUP.</w:t>
            </w:r>
          </w:p>
        </w:tc>
      </w:tr>
      <w:tr w:rsidR="00026D5B" w14:paraId="16B3B81A" w14:textId="77777777" w:rsidTr="00F37918">
        <w:trPr>
          <w:cantSplit/>
          <w:jc w:val="center"/>
        </w:trPr>
        <w:tc>
          <w:tcPr>
            <w:tcW w:w="1276" w:type="dxa"/>
          </w:tcPr>
          <w:p w14:paraId="1E16EE23" w14:textId="77777777" w:rsidR="00026D5B" w:rsidRPr="00AE1A76" w:rsidRDefault="00026D5B" w:rsidP="00290D8B">
            <w:pPr>
              <w:ind w:left="171"/>
              <w:rPr>
                <w:rFonts w:cstheme="minorHAnsi"/>
              </w:rPr>
            </w:pPr>
            <w:r>
              <w:rPr>
                <w:rFonts w:cstheme="minorHAnsi"/>
              </w:rPr>
              <w:t>41. člen</w:t>
            </w:r>
          </w:p>
        </w:tc>
        <w:tc>
          <w:tcPr>
            <w:tcW w:w="1703" w:type="dxa"/>
          </w:tcPr>
          <w:p w14:paraId="70BA7201" w14:textId="77777777" w:rsidR="00026D5B" w:rsidRPr="00AE1A76" w:rsidRDefault="00026D5B" w:rsidP="00290D8B">
            <w:pPr>
              <w:ind w:left="171"/>
              <w:rPr>
                <w:rFonts w:cstheme="minorHAnsi"/>
              </w:rPr>
            </w:pPr>
            <w:r w:rsidRPr="00AE1A76">
              <w:rPr>
                <w:rFonts w:cstheme="minorHAnsi"/>
              </w:rPr>
              <w:t>68. člen</w:t>
            </w:r>
          </w:p>
        </w:tc>
        <w:tc>
          <w:tcPr>
            <w:tcW w:w="5810" w:type="dxa"/>
          </w:tcPr>
          <w:p w14:paraId="3BB48088" w14:textId="77777777" w:rsidR="00026D5B" w:rsidRPr="00AE1A76" w:rsidRDefault="00026D5B" w:rsidP="00290D8B">
            <w:pPr>
              <w:ind w:left="171" w:right="165"/>
              <w:rPr>
                <w:rFonts w:cstheme="minorHAnsi"/>
              </w:rPr>
            </w:pPr>
            <w:r w:rsidRPr="00AE1A76">
              <w:rPr>
                <w:rFonts w:cstheme="minorHAnsi"/>
              </w:rPr>
              <w:t>Določila člena se popravljajo v skladu z mnenjem NUP.</w:t>
            </w:r>
            <w:r>
              <w:rPr>
                <w:rFonts w:cstheme="minorHAnsi"/>
              </w:rPr>
              <w:t xml:space="preserve"> Tehnični popravek glede na prvo branje. </w:t>
            </w:r>
          </w:p>
        </w:tc>
      </w:tr>
      <w:tr w:rsidR="00026D5B" w14:paraId="526330A2" w14:textId="77777777" w:rsidTr="00F37918">
        <w:trPr>
          <w:cantSplit/>
          <w:jc w:val="center"/>
        </w:trPr>
        <w:tc>
          <w:tcPr>
            <w:tcW w:w="1276" w:type="dxa"/>
          </w:tcPr>
          <w:p w14:paraId="07AA76FE" w14:textId="77777777" w:rsidR="00026D5B" w:rsidRPr="00AE1A76" w:rsidRDefault="00026D5B" w:rsidP="00290D8B">
            <w:pPr>
              <w:ind w:left="171"/>
              <w:rPr>
                <w:rFonts w:cstheme="minorHAnsi"/>
              </w:rPr>
            </w:pPr>
            <w:r>
              <w:rPr>
                <w:rFonts w:cstheme="minorHAnsi"/>
              </w:rPr>
              <w:t>42. člen</w:t>
            </w:r>
          </w:p>
        </w:tc>
        <w:tc>
          <w:tcPr>
            <w:tcW w:w="1703" w:type="dxa"/>
          </w:tcPr>
          <w:p w14:paraId="31A3B4EF" w14:textId="77777777" w:rsidR="00026D5B" w:rsidRPr="00AE1A76" w:rsidRDefault="00026D5B" w:rsidP="00290D8B">
            <w:pPr>
              <w:ind w:left="171"/>
              <w:rPr>
                <w:rFonts w:cstheme="minorHAnsi"/>
              </w:rPr>
            </w:pPr>
            <w:r w:rsidRPr="00AE1A76">
              <w:rPr>
                <w:rFonts w:cstheme="minorHAnsi"/>
              </w:rPr>
              <w:t>69. člen</w:t>
            </w:r>
          </w:p>
        </w:tc>
        <w:tc>
          <w:tcPr>
            <w:tcW w:w="5810" w:type="dxa"/>
          </w:tcPr>
          <w:p w14:paraId="7060F350" w14:textId="77777777" w:rsidR="00026D5B" w:rsidRPr="00AE1A76" w:rsidRDefault="00026D5B" w:rsidP="00290D8B">
            <w:pPr>
              <w:ind w:left="171" w:right="165"/>
              <w:rPr>
                <w:rFonts w:cstheme="minorHAnsi"/>
              </w:rPr>
            </w:pPr>
            <w:r w:rsidRPr="00AE1A76">
              <w:rPr>
                <w:rFonts w:cstheme="minorHAnsi"/>
              </w:rPr>
              <w:t>Določila člena se popravljajo v skladu z mnenjem NUP.</w:t>
            </w:r>
          </w:p>
        </w:tc>
      </w:tr>
      <w:tr w:rsidR="00026D5B" w14:paraId="19064BBE" w14:textId="77777777" w:rsidTr="00F37918">
        <w:trPr>
          <w:cantSplit/>
          <w:jc w:val="center"/>
        </w:trPr>
        <w:tc>
          <w:tcPr>
            <w:tcW w:w="1276" w:type="dxa"/>
          </w:tcPr>
          <w:p w14:paraId="424D9855" w14:textId="77777777" w:rsidR="00026D5B" w:rsidRPr="00AE1A76" w:rsidRDefault="00026D5B" w:rsidP="00290D8B">
            <w:pPr>
              <w:ind w:left="171"/>
              <w:rPr>
                <w:rFonts w:cstheme="minorHAnsi"/>
              </w:rPr>
            </w:pPr>
            <w:r>
              <w:rPr>
                <w:rFonts w:cstheme="minorHAnsi"/>
              </w:rPr>
              <w:t>43. člen</w:t>
            </w:r>
          </w:p>
        </w:tc>
        <w:tc>
          <w:tcPr>
            <w:tcW w:w="1703" w:type="dxa"/>
          </w:tcPr>
          <w:p w14:paraId="35D9DAC8" w14:textId="77777777" w:rsidR="00026D5B" w:rsidRPr="00AE1A76" w:rsidRDefault="00026D5B" w:rsidP="00290D8B">
            <w:pPr>
              <w:ind w:left="171"/>
              <w:rPr>
                <w:rFonts w:cstheme="minorHAnsi"/>
              </w:rPr>
            </w:pPr>
            <w:r w:rsidRPr="00AE1A76">
              <w:rPr>
                <w:rFonts w:cstheme="minorHAnsi"/>
              </w:rPr>
              <w:t>69.a člen</w:t>
            </w:r>
          </w:p>
        </w:tc>
        <w:tc>
          <w:tcPr>
            <w:tcW w:w="5810" w:type="dxa"/>
          </w:tcPr>
          <w:p w14:paraId="01AB05B3" w14:textId="77777777" w:rsidR="00026D5B" w:rsidRPr="00AE1A76" w:rsidRDefault="00026D5B" w:rsidP="00290D8B">
            <w:pPr>
              <w:ind w:left="171" w:right="165"/>
              <w:rPr>
                <w:rFonts w:cstheme="minorHAnsi"/>
              </w:rPr>
            </w:pPr>
            <w:r w:rsidRPr="00AE1A76">
              <w:rPr>
                <w:rFonts w:cstheme="minorHAnsi"/>
              </w:rPr>
              <w:t>Določila člena se popravljajo v skladu z mnenjem NUP.</w:t>
            </w:r>
          </w:p>
        </w:tc>
      </w:tr>
      <w:tr w:rsidR="00026D5B" w14:paraId="12238D85" w14:textId="77777777" w:rsidTr="00F37918">
        <w:trPr>
          <w:cantSplit/>
          <w:jc w:val="center"/>
        </w:trPr>
        <w:tc>
          <w:tcPr>
            <w:tcW w:w="1276" w:type="dxa"/>
          </w:tcPr>
          <w:p w14:paraId="219475D8" w14:textId="77777777" w:rsidR="00026D5B" w:rsidRPr="00AE1A76" w:rsidRDefault="00026D5B" w:rsidP="00290D8B">
            <w:pPr>
              <w:ind w:left="171"/>
              <w:rPr>
                <w:rFonts w:cstheme="minorHAnsi"/>
              </w:rPr>
            </w:pPr>
            <w:r>
              <w:rPr>
                <w:rFonts w:cstheme="minorHAnsi"/>
              </w:rPr>
              <w:t>44. člen</w:t>
            </w:r>
          </w:p>
        </w:tc>
        <w:tc>
          <w:tcPr>
            <w:tcW w:w="1703" w:type="dxa"/>
          </w:tcPr>
          <w:p w14:paraId="5779A454" w14:textId="77777777" w:rsidR="00026D5B" w:rsidRPr="00AE1A76" w:rsidRDefault="00026D5B" w:rsidP="00290D8B">
            <w:pPr>
              <w:ind w:left="171"/>
              <w:rPr>
                <w:rFonts w:cstheme="minorHAnsi"/>
              </w:rPr>
            </w:pPr>
            <w:r w:rsidRPr="00AE1A76">
              <w:rPr>
                <w:rFonts w:cstheme="minorHAnsi"/>
              </w:rPr>
              <w:t>71. člen</w:t>
            </w:r>
          </w:p>
        </w:tc>
        <w:tc>
          <w:tcPr>
            <w:tcW w:w="5810" w:type="dxa"/>
          </w:tcPr>
          <w:p w14:paraId="70A20194" w14:textId="77777777" w:rsidR="00026D5B" w:rsidRPr="00AE1A76" w:rsidRDefault="00026D5B" w:rsidP="00290D8B">
            <w:pPr>
              <w:ind w:left="171" w:right="165"/>
              <w:rPr>
                <w:rFonts w:cstheme="minorHAnsi"/>
              </w:rPr>
            </w:pPr>
            <w:r w:rsidRPr="00AE1A76">
              <w:rPr>
                <w:rFonts w:cstheme="minorHAnsi"/>
              </w:rPr>
              <w:t>Dopolnitev</w:t>
            </w:r>
            <w:r>
              <w:rPr>
                <w:rFonts w:cstheme="minorHAnsi"/>
              </w:rPr>
              <w:t xml:space="preserve"> glede na prvo obravnavo</w:t>
            </w:r>
            <w:r w:rsidRPr="00AE1A76">
              <w:rPr>
                <w:rFonts w:cstheme="minorHAnsi"/>
              </w:rPr>
              <w:t xml:space="preserve"> glede varovalnega progovnega pasu železniške proge in obveznosti investitorjev za zaščito novih posegov pred hrupom železniškega prometa.</w:t>
            </w:r>
          </w:p>
        </w:tc>
      </w:tr>
      <w:tr w:rsidR="00026D5B" w14:paraId="3BEB75FE" w14:textId="77777777" w:rsidTr="00F37918">
        <w:trPr>
          <w:cantSplit/>
          <w:jc w:val="center"/>
        </w:trPr>
        <w:tc>
          <w:tcPr>
            <w:tcW w:w="1276" w:type="dxa"/>
          </w:tcPr>
          <w:p w14:paraId="78F8D971" w14:textId="77777777" w:rsidR="00026D5B" w:rsidRDefault="00026D5B" w:rsidP="00290D8B">
            <w:pPr>
              <w:ind w:left="171"/>
              <w:rPr>
                <w:rFonts w:cstheme="minorHAnsi"/>
              </w:rPr>
            </w:pPr>
          </w:p>
        </w:tc>
        <w:tc>
          <w:tcPr>
            <w:tcW w:w="1703" w:type="dxa"/>
          </w:tcPr>
          <w:p w14:paraId="7DBAB1BE" w14:textId="77777777" w:rsidR="00026D5B" w:rsidRPr="00AE1A76" w:rsidRDefault="00026D5B" w:rsidP="00290D8B">
            <w:pPr>
              <w:ind w:left="171"/>
              <w:rPr>
                <w:rFonts w:cstheme="minorHAnsi"/>
              </w:rPr>
            </w:pPr>
            <w:r>
              <w:rPr>
                <w:rFonts w:cstheme="minorHAnsi"/>
              </w:rPr>
              <w:t>74. člen</w:t>
            </w:r>
          </w:p>
        </w:tc>
        <w:tc>
          <w:tcPr>
            <w:tcW w:w="5810" w:type="dxa"/>
          </w:tcPr>
          <w:p w14:paraId="7E41C33A" w14:textId="77777777" w:rsidR="00026D5B" w:rsidRPr="00AE1A76" w:rsidRDefault="00026D5B" w:rsidP="00290D8B">
            <w:pPr>
              <w:ind w:left="171" w:right="165"/>
              <w:rPr>
                <w:rFonts w:cstheme="minorHAnsi"/>
              </w:rPr>
            </w:pPr>
            <w:r>
              <w:rPr>
                <w:rFonts w:cstheme="minorHAnsi"/>
              </w:rPr>
              <w:t>Glede na prvo branje se črta dodatni pogoj za zagotavljanje osončenosti.</w:t>
            </w:r>
          </w:p>
        </w:tc>
      </w:tr>
      <w:tr w:rsidR="00026D5B" w14:paraId="3D31C404" w14:textId="77777777" w:rsidTr="00F37918">
        <w:trPr>
          <w:cantSplit/>
          <w:jc w:val="center"/>
        </w:trPr>
        <w:tc>
          <w:tcPr>
            <w:tcW w:w="1276" w:type="dxa"/>
          </w:tcPr>
          <w:p w14:paraId="531A56BB" w14:textId="77777777" w:rsidR="00026D5B" w:rsidRPr="00AE1A76" w:rsidRDefault="00026D5B" w:rsidP="00290D8B">
            <w:pPr>
              <w:ind w:left="171"/>
              <w:rPr>
                <w:rFonts w:cstheme="minorHAnsi"/>
              </w:rPr>
            </w:pPr>
            <w:r>
              <w:rPr>
                <w:rFonts w:cstheme="minorHAnsi"/>
              </w:rPr>
              <w:t>45. člen</w:t>
            </w:r>
          </w:p>
        </w:tc>
        <w:tc>
          <w:tcPr>
            <w:tcW w:w="1703" w:type="dxa"/>
          </w:tcPr>
          <w:p w14:paraId="347E2C62" w14:textId="77777777" w:rsidR="00026D5B" w:rsidRPr="00AE1A76" w:rsidRDefault="00026D5B" w:rsidP="00290D8B">
            <w:pPr>
              <w:ind w:left="171"/>
              <w:rPr>
                <w:rFonts w:cstheme="minorHAnsi"/>
              </w:rPr>
            </w:pPr>
            <w:r w:rsidRPr="00AE1A76">
              <w:rPr>
                <w:rFonts w:cstheme="minorHAnsi"/>
              </w:rPr>
              <w:t>75. člen</w:t>
            </w:r>
          </w:p>
        </w:tc>
        <w:tc>
          <w:tcPr>
            <w:tcW w:w="5810" w:type="dxa"/>
          </w:tcPr>
          <w:p w14:paraId="67798D62" w14:textId="77777777" w:rsidR="00026D5B" w:rsidRPr="00AE1A76" w:rsidRDefault="00026D5B" w:rsidP="00290D8B">
            <w:pPr>
              <w:ind w:left="171" w:right="165"/>
              <w:rPr>
                <w:rFonts w:cstheme="minorHAnsi"/>
              </w:rPr>
            </w:pPr>
            <w:r w:rsidRPr="00AE1A76">
              <w:rPr>
                <w:rFonts w:cstheme="minorHAnsi"/>
              </w:rPr>
              <w:t>Dopolnjena določila o dopustnosti gradenj na vseh namenskih rabah z navedbo ustrezne klasifikacije ter uskladitev z mnenji NUP</w:t>
            </w:r>
          </w:p>
        </w:tc>
      </w:tr>
      <w:tr w:rsidR="00026D5B" w14:paraId="45012EC7" w14:textId="77777777" w:rsidTr="00F37918">
        <w:trPr>
          <w:cantSplit/>
          <w:jc w:val="center"/>
        </w:trPr>
        <w:tc>
          <w:tcPr>
            <w:tcW w:w="1276" w:type="dxa"/>
          </w:tcPr>
          <w:p w14:paraId="39399802" w14:textId="77777777" w:rsidR="00026D5B" w:rsidRPr="00AE1A76" w:rsidRDefault="00026D5B" w:rsidP="00290D8B">
            <w:pPr>
              <w:ind w:left="171"/>
              <w:rPr>
                <w:rFonts w:cstheme="minorHAnsi"/>
              </w:rPr>
            </w:pPr>
            <w:r>
              <w:rPr>
                <w:rFonts w:cstheme="minorHAnsi"/>
              </w:rPr>
              <w:t>46. člen</w:t>
            </w:r>
          </w:p>
        </w:tc>
        <w:tc>
          <w:tcPr>
            <w:tcW w:w="1703" w:type="dxa"/>
          </w:tcPr>
          <w:p w14:paraId="7189544C" w14:textId="77777777" w:rsidR="00026D5B" w:rsidRPr="00AE1A76" w:rsidRDefault="00026D5B" w:rsidP="00290D8B">
            <w:pPr>
              <w:ind w:left="171"/>
              <w:rPr>
                <w:rFonts w:cstheme="minorHAnsi"/>
              </w:rPr>
            </w:pPr>
            <w:r w:rsidRPr="00AE1A76">
              <w:rPr>
                <w:rFonts w:cstheme="minorHAnsi"/>
              </w:rPr>
              <w:t>76. člen</w:t>
            </w:r>
          </w:p>
        </w:tc>
        <w:tc>
          <w:tcPr>
            <w:tcW w:w="5810" w:type="dxa"/>
          </w:tcPr>
          <w:p w14:paraId="3C73E411" w14:textId="77777777" w:rsidR="00026D5B" w:rsidRPr="00AE1A76" w:rsidRDefault="00026D5B" w:rsidP="00290D8B">
            <w:pPr>
              <w:ind w:left="171" w:right="165"/>
              <w:rPr>
                <w:rFonts w:cstheme="minorHAnsi"/>
              </w:rPr>
            </w:pPr>
            <w:r w:rsidRPr="00AE1A76">
              <w:rPr>
                <w:rFonts w:cstheme="minorHAnsi"/>
              </w:rPr>
              <w:t>Popravek določil na podlagi vsebinskih sprememb Priloge 1, ki obravnava osnovne objekte na stavbnih zemljiščih. Posledično so dodana določila vezana na pomožne objekte. Sprememba določil vključuje tudi uskladitev uporabljenih izrazov v tem odloku.</w:t>
            </w:r>
          </w:p>
        </w:tc>
      </w:tr>
      <w:tr w:rsidR="00026D5B" w14:paraId="34EE169D" w14:textId="77777777" w:rsidTr="00F37918">
        <w:trPr>
          <w:cantSplit/>
          <w:jc w:val="center"/>
        </w:trPr>
        <w:tc>
          <w:tcPr>
            <w:tcW w:w="1276" w:type="dxa"/>
          </w:tcPr>
          <w:p w14:paraId="596C5086" w14:textId="77777777" w:rsidR="00026D5B" w:rsidRPr="00AE1A76" w:rsidRDefault="00026D5B" w:rsidP="00290D8B">
            <w:pPr>
              <w:ind w:left="171"/>
              <w:rPr>
                <w:rFonts w:cstheme="minorHAnsi"/>
              </w:rPr>
            </w:pPr>
            <w:r>
              <w:rPr>
                <w:rFonts w:cstheme="minorHAnsi"/>
              </w:rPr>
              <w:lastRenderedPageBreak/>
              <w:t>47. člen</w:t>
            </w:r>
          </w:p>
        </w:tc>
        <w:tc>
          <w:tcPr>
            <w:tcW w:w="1703" w:type="dxa"/>
          </w:tcPr>
          <w:p w14:paraId="2B5A026B" w14:textId="77777777" w:rsidR="00026D5B" w:rsidRPr="00AE1A76" w:rsidRDefault="00026D5B" w:rsidP="00290D8B">
            <w:pPr>
              <w:ind w:left="171"/>
              <w:rPr>
                <w:rFonts w:cstheme="minorHAnsi"/>
              </w:rPr>
            </w:pPr>
            <w:r w:rsidRPr="00AE1A76">
              <w:rPr>
                <w:rFonts w:cstheme="minorHAnsi"/>
              </w:rPr>
              <w:t>77. člen</w:t>
            </w:r>
          </w:p>
        </w:tc>
        <w:tc>
          <w:tcPr>
            <w:tcW w:w="5810" w:type="dxa"/>
          </w:tcPr>
          <w:p w14:paraId="371B7F44" w14:textId="77777777" w:rsidR="00026D5B" w:rsidRPr="00AE1A76" w:rsidRDefault="00026D5B" w:rsidP="00290D8B">
            <w:pPr>
              <w:ind w:left="171" w:right="165"/>
              <w:rPr>
                <w:rFonts w:cstheme="minorHAnsi"/>
              </w:rPr>
            </w:pPr>
            <w:r w:rsidRPr="00AE1A76">
              <w:rPr>
                <w:rFonts w:cstheme="minorHAnsi"/>
              </w:rPr>
              <w:t>Popravek določil na podlagi vsebinskih sprememb Priloge 1, ki obravnava osnovne objekte na stavbnih zemljiščih. Dodana so določila glede oblikovanja objektov za namenom ohranjanja obstoječe arhitekturne tipologije.</w:t>
            </w:r>
          </w:p>
        </w:tc>
      </w:tr>
      <w:tr w:rsidR="00026D5B" w14:paraId="3DB8FB44" w14:textId="77777777" w:rsidTr="00F37918">
        <w:trPr>
          <w:cantSplit/>
          <w:jc w:val="center"/>
        </w:trPr>
        <w:tc>
          <w:tcPr>
            <w:tcW w:w="1276" w:type="dxa"/>
          </w:tcPr>
          <w:p w14:paraId="2CE666BE" w14:textId="77777777" w:rsidR="00026D5B" w:rsidRPr="00AE1A76" w:rsidRDefault="00026D5B" w:rsidP="00290D8B">
            <w:pPr>
              <w:ind w:left="171"/>
              <w:rPr>
                <w:rFonts w:cstheme="minorHAnsi"/>
              </w:rPr>
            </w:pPr>
            <w:r>
              <w:rPr>
                <w:rFonts w:cstheme="minorHAnsi"/>
              </w:rPr>
              <w:t>48. člen</w:t>
            </w:r>
          </w:p>
        </w:tc>
        <w:tc>
          <w:tcPr>
            <w:tcW w:w="1703" w:type="dxa"/>
          </w:tcPr>
          <w:p w14:paraId="1E005B78" w14:textId="77777777" w:rsidR="00026D5B" w:rsidRPr="00AE1A76" w:rsidRDefault="00026D5B" w:rsidP="00290D8B">
            <w:pPr>
              <w:ind w:left="171"/>
              <w:rPr>
                <w:rFonts w:cstheme="minorHAnsi"/>
              </w:rPr>
            </w:pPr>
            <w:r w:rsidRPr="00AE1A76">
              <w:rPr>
                <w:rFonts w:cstheme="minorHAnsi"/>
              </w:rPr>
              <w:t>78. člen</w:t>
            </w:r>
          </w:p>
        </w:tc>
        <w:tc>
          <w:tcPr>
            <w:tcW w:w="5810" w:type="dxa"/>
          </w:tcPr>
          <w:p w14:paraId="0EC1D946" w14:textId="77777777" w:rsidR="00026D5B" w:rsidRPr="00AE1A76" w:rsidRDefault="00026D5B" w:rsidP="00290D8B">
            <w:pPr>
              <w:ind w:left="171" w:right="165"/>
              <w:rPr>
                <w:rFonts w:cstheme="minorHAnsi"/>
              </w:rPr>
            </w:pPr>
            <w:r w:rsidRPr="00AE1A76">
              <w:rPr>
                <w:rFonts w:cstheme="minorHAnsi"/>
              </w:rPr>
              <w:t>Popravek določil na podlagi vsebinskih sprememb Priloge 1, ki obravnava osnovne objekte na stavbnih zemljiščih. Sprememba določil vključuje tudi uskladitev uporabljenih izrazov v tem odloku.</w:t>
            </w:r>
            <w:r>
              <w:rPr>
                <w:rFonts w:cstheme="minorHAnsi"/>
              </w:rPr>
              <w:t xml:space="preserve"> Glede na prvo branje se med posebne skupine prebivalstva dodaja tudi mladostnike. </w:t>
            </w:r>
          </w:p>
        </w:tc>
      </w:tr>
      <w:tr w:rsidR="00026D5B" w14:paraId="398DE294" w14:textId="77777777" w:rsidTr="00F37918">
        <w:trPr>
          <w:cantSplit/>
          <w:jc w:val="center"/>
        </w:trPr>
        <w:tc>
          <w:tcPr>
            <w:tcW w:w="1276" w:type="dxa"/>
          </w:tcPr>
          <w:p w14:paraId="7C8C3950" w14:textId="77777777" w:rsidR="00026D5B" w:rsidRPr="00AE1A76" w:rsidRDefault="00026D5B" w:rsidP="00290D8B">
            <w:pPr>
              <w:ind w:left="171"/>
              <w:rPr>
                <w:rFonts w:cstheme="minorHAnsi"/>
              </w:rPr>
            </w:pPr>
            <w:r>
              <w:rPr>
                <w:rFonts w:cstheme="minorHAnsi"/>
              </w:rPr>
              <w:t>49. člen</w:t>
            </w:r>
          </w:p>
        </w:tc>
        <w:tc>
          <w:tcPr>
            <w:tcW w:w="1703" w:type="dxa"/>
          </w:tcPr>
          <w:p w14:paraId="2A7FBB8F" w14:textId="77777777" w:rsidR="00026D5B" w:rsidRPr="00AE1A76" w:rsidRDefault="00026D5B" w:rsidP="00290D8B">
            <w:pPr>
              <w:ind w:left="171"/>
              <w:rPr>
                <w:rFonts w:cstheme="minorHAnsi"/>
              </w:rPr>
            </w:pPr>
            <w:r w:rsidRPr="00AE1A76">
              <w:rPr>
                <w:rFonts w:cstheme="minorHAnsi"/>
              </w:rPr>
              <w:t>79. člen</w:t>
            </w:r>
          </w:p>
        </w:tc>
        <w:tc>
          <w:tcPr>
            <w:tcW w:w="5810" w:type="dxa"/>
          </w:tcPr>
          <w:p w14:paraId="014B1C6B" w14:textId="77777777" w:rsidR="00026D5B" w:rsidRPr="00AE1A76" w:rsidRDefault="00026D5B" w:rsidP="00290D8B">
            <w:pPr>
              <w:ind w:left="171" w:right="165"/>
              <w:rPr>
                <w:rFonts w:cstheme="minorHAnsi"/>
              </w:rPr>
            </w:pPr>
            <w:r w:rsidRPr="00AE1A76">
              <w:rPr>
                <w:rFonts w:cstheme="minorHAnsi"/>
              </w:rPr>
              <w:t>Popravek določil na podlagi vsebinskih sprememb Priloge 1, ki obravnava osnovne objekte na stavbnih zemljiščih. Dodana so določila glede oblikovanja objektov za namenom ohranjanja obstoječe arhitekturne tipologije.</w:t>
            </w:r>
          </w:p>
        </w:tc>
      </w:tr>
      <w:tr w:rsidR="00026D5B" w14:paraId="2EFF5038" w14:textId="77777777" w:rsidTr="00F37918">
        <w:trPr>
          <w:cantSplit/>
          <w:jc w:val="center"/>
        </w:trPr>
        <w:tc>
          <w:tcPr>
            <w:tcW w:w="1276" w:type="dxa"/>
          </w:tcPr>
          <w:p w14:paraId="133A19F7" w14:textId="77777777" w:rsidR="00026D5B" w:rsidRPr="00AE1A76" w:rsidRDefault="00026D5B" w:rsidP="00290D8B">
            <w:pPr>
              <w:ind w:left="171"/>
              <w:rPr>
                <w:rFonts w:cstheme="minorHAnsi"/>
              </w:rPr>
            </w:pPr>
            <w:r>
              <w:rPr>
                <w:rFonts w:cstheme="minorHAnsi"/>
              </w:rPr>
              <w:t>50. člen</w:t>
            </w:r>
          </w:p>
        </w:tc>
        <w:tc>
          <w:tcPr>
            <w:tcW w:w="1703" w:type="dxa"/>
          </w:tcPr>
          <w:p w14:paraId="3702E1A3" w14:textId="77777777" w:rsidR="00026D5B" w:rsidRPr="00AE1A76" w:rsidRDefault="00026D5B" w:rsidP="00290D8B">
            <w:pPr>
              <w:ind w:left="171"/>
              <w:rPr>
                <w:rFonts w:cstheme="minorHAnsi"/>
              </w:rPr>
            </w:pPr>
            <w:r w:rsidRPr="00AE1A76">
              <w:rPr>
                <w:rFonts w:cstheme="minorHAnsi"/>
              </w:rPr>
              <w:t>80. člen</w:t>
            </w:r>
          </w:p>
        </w:tc>
        <w:tc>
          <w:tcPr>
            <w:tcW w:w="5810" w:type="dxa"/>
          </w:tcPr>
          <w:p w14:paraId="0496F9F1" w14:textId="77777777" w:rsidR="00026D5B" w:rsidRPr="00AE1A76" w:rsidRDefault="00026D5B" w:rsidP="00290D8B">
            <w:pPr>
              <w:ind w:left="171" w:right="165"/>
              <w:rPr>
                <w:rFonts w:cstheme="minorHAnsi"/>
              </w:rPr>
            </w:pPr>
            <w:r w:rsidRPr="00AE1A76">
              <w:rPr>
                <w:rFonts w:cstheme="minorHAnsi"/>
              </w:rPr>
              <w:t>Popravek določil na podlagi vsebinskih sprememb Priloge 1, ki obravnava osnovne objekte na stavbnih zemljiščih. Dopolnjeno je določilo vezano na osnovne dejavnosti.</w:t>
            </w:r>
          </w:p>
        </w:tc>
      </w:tr>
      <w:tr w:rsidR="00026D5B" w14:paraId="25BBB599" w14:textId="77777777" w:rsidTr="00F37918">
        <w:trPr>
          <w:cantSplit/>
          <w:jc w:val="center"/>
        </w:trPr>
        <w:tc>
          <w:tcPr>
            <w:tcW w:w="1276" w:type="dxa"/>
          </w:tcPr>
          <w:p w14:paraId="13B53AA1" w14:textId="77777777" w:rsidR="00026D5B" w:rsidRPr="00AE1A76" w:rsidRDefault="00026D5B" w:rsidP="00290D8B">
            <w:pPr>
              <w:ind w:left="171"/>
              <w:rPr>
                <w:rFonts w:cstheme="minorHAnsi"/>
              </w:rPr>
            </w:pPr>
            <w:r>
              <w:rPr>
                <w:rFonts w:cstheme="minorHAnsi"/>
              </w:rPr>
              <w:t>51. člen</w:t>
            </w:r>
          </w:p>
        </w:tc>
        <w:tc>
          <w:tcPr>
            <w:tcW w:w="1703" w:type="dxa"/>
          </w:tcPr>
          <w:p w14:paraId="2A96F480" w14:textId="77777777" w:rsidR="00026D5B" w:rsidRPr="00AE1A76" w:rsidRDefault="00026D5B" w:rsidP="00290D8B">
            <w:pPr>
              <w:ind w:left="171"/>
              <w:rPr>
                <w:rFonts w:cstheme="minorHAnsi"/>
              </w:rPr>
            </w:pPr>
            <w:r w:rsidRPr="00AE1A76">
              <w:rPr>
                <w:rFonts w:cstheme="minorHAnsi"/>
              </w:rPr>
              <w:t>81. člen</w:t>
            </w:r>
          </w:p>
        </w:tc>
        <w:tc>
          <w:tcPr>
            <w:tcW w:w="5810" w:type="dxa"/>
          </w:tcPr>
          <w:p w14:paraId="7C2EAD4F" w14:textId="77777777" w:rsidR="00026D5B" w:rsidRPr="00AE1A76" w:rsidRDefault="00026D5B" w:rsidP="00290D8B">
            <w:pPr>
              <w:ind w:left="171" w:right="165"/>
              <w:rPr>
                <w:rFonts w:cstheme="minorHAnsi"/>
              </w:rPr>
            </w:pPr>
            <w:r w:rsidRPr="00AE1A76">
              <w:rPr>
                <w:rFonts w:cstheme="minorHAnsi"/>
              </w:rPr>
              <w:t>Popravek določil na podlagi vsebinskih sprememb Priloge 1, ki obravnava osnovne objekte na stavbnih zemljiščih.</w:t>
            </w:r>
          </w:p>
        </w:tc>
      </w:tr>
      <w:tr w:rsidR="00026D5B" w14:paraId="05C11B8A" w14:textId="77777777" w:rsidTr="00F37918">
        <w:trPr>
          <w:cantSplit/>
          <w:jc w:val="center"/>
        </w:trPr>
        <w:tc>
          <w:tcPr>
            <w:tcW w:w="1276" w:type="dxa"/>
          </w:tcPr>
          <w:p w14:paraId="2D3278D6" w14:textId="77777777" w:rsidR="00026D5B" w:rsidRPr="00AE1A76" w:rsidRDefault="00026D5B" w:rsidP="00290D8B">
            <w:pPr>
              <w:ind w:left="171"/>
              <w:rPr>
                <w:rFonts w:cstheme="minorHAnsi"/>
              </w:rPr>
            </w:pPr>
            <w:r>
              <w:rPr>
                <w:rFonts w:cstheme="minorHAnsi"/>
              </w:rPr>
              <w:t>52. člen</w:t>
            </w:r>
          </w:p>
        </w:tc>
        <w:tc>
          <w:tcPr>
            <w:tcW w:w="1703" w:type="dxa"/>
          </w:tcPr>
          <w:p w14:paraId="045283CF" w14:textId="77777777" w:rsidR="00026D5B" w:rsidRPr="00AE1A76" w:rsidRDefault="00026D5B" w:rsidP="00290D8B">
            <w:pPr>
              <w:ind w:left="171"/>
              <w:rPr>
                <w:rFonts w:cstheme="minorHAnsi"/>
              </w:rPr>
            </w:pPr>
            <w:r w:rsidRPr="00AE1A76">
              <w:rPr>
                <w:rFonts w:cstheme="minorHAnsi"/>
              </w:rPr>
              <w:t>82. člen</w:t>
            </w:r>
          </w:p>
        </w:tc>
        <w:tc>
          <w:tcPr>
            <w:tcW w:w="5810" w:type="dxa"/>
          </w:tcPr>
          <w:p w14:paraId="6C975C69" w14:textId="77777777" w:rsidR="00026D5B" w:rsidRPr="00AE1A76" w:rsidRDefault="00026D5B" w:rsidP="00290D8B">
            <w:pPr>
              <w:ind w:left="171" w:right="165"/>
              <w:rPr>
                <w:rFonts w:cstheme="minorHAnsi"/>
              </w:rPr>
            </w:pPr>
            <w:r w:rsidRPr="00AE1A76">
              <w:rPr>
                <w:rFonts w:cstheme="minorHAnsi"/>
              </w:rPr>
              <w:t xml:space="preserve">Popravek določil na podlagi vsebinskih sprememb Priloge 1, ki obravnava osnovne objekte na stavbnih zemljiščih. Dodano je določilo, da sončnih elektrarn ni dopustno postaviti oziroma graditi ob objektih, možno jih je postaviti oz. graditi le na strehah ali fasadah objektov. </w:t>
            </w:r>
          </w:p>
        </w:tc>
      </w:tr>
      <w:tr w:rsidR="00026D5B" w14:paraId="2C723243" w14:textId="77777777" w:rsidTr="00F37918">
        <w:trPr>
          <w:cantSplit/>
          <w:jc w:val="center"/>
        </w:trPr>
        <w:tc>
          <w:tcPr>
            <w:tcW w:w="1276" w:type="dxa"/>
          </w:tcPr>
          <w:p w14:paraId="5C4A261E" w14:textId="77777777" w:rsidR="00026D5B" w:rsidRPr="00AE1A76" w:rsidRDefault="00026D5B" w:rsidP="00290D8B">
            <w:pPr>
              <w:ind w:left="171"/>
              <w:rPr>
                <w:rFonts w:cstheme="minorHAnsi"/>
              </w:rPr>
            </w:pPr>
            <w:r>
              <w:rPr>
                <w:rFonts w:cstheme="minorHAnsi"/>
              </w:rPr>
              <w:t>53. člen</w:t>
            </w:r>
          </w:p>
        </w:tc>
        <w:tc>
          <w:tcPr>
            <w:tcW w:w="1703" w:type="dxa"/>
          </w:tcPr>
          <w:p w14:paraId="23A53474" w14:textId="77777777" w:rsidR="00026D5B" w:rsidRPr="00AE1A76" w:rsidRDefault="00026D5B" w:rsidP="00290D8B">
            <w:pPr>
              <w:ind w:left="171"/>
              <w:rPr>
                <w:rFonts w:cstheme="minorHAnsi"/>
              </w:rPr>
            </w:pPr>
            <w:r w:rsidRPr="00AE1A76">
              <w:rPr>
                <w:rFonts w:cstheme="minorHAnsi"/>
              </w:rPr>
              <w:t>83. člen</w:t>
            </w:r>
          </w:p>
        </w:tc>
        <w:tc>
          <w:tcPr>
            <w:tcW w:w="5810" w:type="dxa"/>
          </w:tcPr>
          <w:p w14:paraId="13D9FAAB" w14:textId="77777777" w:rsidR="00026D5B" w:rsidRPr="00AE1A76" w:rsidRDefault="00026D5B" w:rsidP="00290D8B">
            <w:pPr>
              <w:ind w:left="171" w:right="165"/>
              <w:rPr>
                <w:rFonts w:cstheme="minorHAnsi"/>
              </w:rPr>
            </w:pPr>
            <w:r w:rsidRPr="00AE1A76">
              <w:rPr>
                <w:rFonts w:cstheme="minorHAnsi"/>
              </w:rPr>
              <w:t>Popravek določil na podlagi vsebinskih sprememb Priloge 1, ki obravnava osnovne objekte na stavbnih zemljiščih. Dodan je popravek določila  v zvezi z novozgrajenimi objekti, ki naj upoštevajo značilnosti arhitekturne krajine, ki jo je potrebno v projektni dokumentacijo ustrezno utemeljiti.</w:t>
            </w:r>
          </w:p>
        </w:tc>
      </w:tr>
      <w:tr w:rsidR="00026D5B" w14:paraId="0E73BCF9" w14:textId="77777777" w:rsidTr="00F37918">
        <w:trPr>
          <w:cantSplit/>
          <w:jc w:val="center"/>
        </w:trPr>
        <w:tc>
          <w:tcPr>
            <w:tcW w:w="1276" w:type="dxa"/>
          </w:tcPr>
          <w:p w14:paraId="33FEFA66" w14:textId="77777777" w:rsidR="00026D5B" w:rsidRPr="00AE1A76" w:rsidRDefault="00026D5B" w:rsidP="00290D8B">
            <w:pPr>
              <w:ind w:left="171"/>
              <w:rPr>
                <w:rFonts w:cstheme="minorHAnsi"/>
              </w:rPr>
            </w:pPr>
            <w:r>
              <w:rPr>
                <w:rFonts w:cstheme="minorHAnsi"/>
              </w:rPr>
              <w:lastRenderedPageBreak/>
              <w:t>54. člen</w:t>
            </w:r>
          </w:p>
        </w:tc>
        <w:tc>
          <w:tcPr>
            <w:tcW w:w="1703" w:type="dxa"/>
          </w:tcPr>
          <w:p w14:paraId="57D8EE86" w14:textId="77777777" w:rsidR="00026D5B" w:rsidRPr="00AE1A76" w:rsidRDefault="00026D5B" w:rsidP="00290D8B">
            <w:pPr>
              <w:ind w:left="171"/>
              <w:rPr>
                <w:rFonts w:cstheme="minorHAnsi"/>
              </w:rPr>
            </w:pPr>
            <w:r w:rsidRPr="00AE1A76">
              <w:rPr>
                <w:rFonts w:cstheme="minorHAnsi"/>
              </w:rPr>
              <w:t>84. člen</w:t>
            </w:r>
          </w:p>
        </w:tc>
        <w:tc>
          <w:tcPr>
            <w:tcW w:w="5810" w:type="dxa"/>
          </w:tcPr>
          <w:p w14:paraId="384371DB" w14:textId="77777777" w:rsidR="00026D5B" w:rsidRPr="00AE1A76" w:rsidRDefault="00026D5B" w:rsidP="00290D8B">
            <w:pPr>
              <w:ind w:left="171" w:right="165"/>
              <w:rPr>
                <w:rFonts w:cstheme="minorHAnsi"/>
              </w:rPr>
            </w:pPr>
            <w:r w:rsidRPr="008047F2">
              <w:rPr>
                <w:rFonts w:cstheme="minorHAnsi"/>
              </w:rPr>
              <w:t>Popravek določil na podlagi vsebinskih sprememb Priloge 1, ki obravnava osnovne objekte na stavbnih zemljiščih.</w:t>
            </w:r>
            <w:r>
              <w:rPr>
                <w:rFonts w:cstheme="minorHAnsi"/>
              </w:rPr>
              <w:t xml:space="preserve"> Glede na prvo branje dodatna uskladitev glede na mnenja NUP.</w:t>
            </w:r>
          </w:p>
        </w:tc>
      </w:tr>
      <w:tr w:rsidR="00026D5B" w14:paraId="6012358E" w14:textId="77777777" w:rsidTr="00F37918">
        <w:trPr>
          <w:cantSplit/>
          <w:jc w:val="center"/>
        </w:trPr>
        <w:tc>
          <w:tcPr>
            <w:tcW w:w="1276" w:type="dxa"/>
          </w:tcPr>
          <w:p w14:paraId="09254AD7" w14:textId="77777777" w:rsidR="00026D5B" w:rsidRPr="00AE1A76" w:rsidRDefault="00026D5B" w:rsidP="00290D8B">
            <w:pPr>
              <w:ind w:left="171"/>
              <w:rPr>
                <w:rFonts w:cstheme="minorHAnsi"/>
              </w:rPr>
            </w:pPr>
            <w:r>
              <w:rPr>
                <w:rFonts w:cstheme="minorHAnsi"/>
              </w:rPr>
              <w:t>55. člen</w:t>
            </w:r>
          </w:p>
        </w:tc>
        <w:tc>
          <w:tcPr>
            <w:tcW w:w="1703" w:type="dxa"/>
          </w:tcPr>
          <w:p w14:paraId="76B4DE4A" w14:textId="77777777" w:rsidR="00026D5B" w:rsidRPr="00AE1A76" w:rsidRDefault="00026D5B" w:rsidP="00290D8B">
            <w:pPr>
              <w:ind w:left="171"/>
              <w:rPr>
                <w:rFonts w:cstheme="minorHAnsi"/>
              </w:rPr>
            </w:pPr>
            <w:r w:rsidRPr="00AE1A76">
              <w:rPr>
                <w:rFonts w:cstheme="minorHAnsi"/>
              </w:rPr>
              <w:t>85. člen</w:t>
            </w:r>
          </w:p>
        </w:tc>
        <w:tc>
          <w:tcPr>
            <w:tcW w:w="5810" w:type="dxa"/>
          </w:tcPr>
          <w:p w14:paraId="13C0A1F7" w14:textId="77777777" w:rsidR="00026D5B" w:rsidRPr="00AE1A76" w:rsidRDefault="00026D5B" w:rsidP="00290D8B">
            <w:pPr>
              <w:ind w:left="171" w:right="165"/>
              <w:rPr>
                <w:rFonts w:cstheme="minorHAnsi"/>
              </w:rPr>
            </w:pPr>
            <w:r w:rsidRPr="008047F2">
              <w:rPr>
                <w:rFonts w:cstheme="minorHAnsi"/>
              </w:rPr>
              <w:t xml:space="preserve">Popravek določil na podlagi vsebinskih sprememb Priloge 1, ki obravnava osnovne objekte na stavbnih zemljiščih in uskladitev terminologije uporabljene v tem odloku. </w:t>
            </w:r>
          </w:p>
        </w:tc>
      </w:tr>
      <w:tr w:rsidR="00026D5B" w14:paraId="72A165C2" w14:textId="77777777" w:rsidTr="00F37918">
        <w:trPr>
          <w:cantSplit/>
          <w:jc w:val="center"/>
        </w:trPr>
        <w:tc>
          <w:tcPr>
            <w:tcW w:w="1276" w:type="dxa"/>
          </w:tcPr>
          <w:p w14:paraId="359D6499" w14:textId="77777777" w:rsidR="00026D5B" w:rsidRPr="00AE1A76" w:rsidRDefault="00026D5B" w:rsidP="00290D8B">
            <w:pPr>
              <w:ind w:left="171"/>
              <w:rPr>
                <w:rFonts w:cstheme="minorHAnsi"/>
              </w:rPr>
            </w:pPr>
            <w:r>
              <w:rPr>
                <w:rFonts w:cstheme="minorHAnsi"/>
              </w:rPr>
              <w:t>56. člen</w:t>
            </w:r>
          </w:p>
        </w:tc>
        <w:tc>
          <w:tcPr>
            <w:tcW w:w="1703" w:type="dxa"/>
          </w:tcPr>
          <w:p w14:paraId="72291D84" w14:textId="77777777" w:rsidR="00026D5B" w:rsidRPr="00AE1A76" w:rsidRDefault="00026D5B" w:rsidP="00290D8B">
            <w:pPr>
              <w:ind w:left="171"/>
              <w:rPr>
                <w:rFonts w:cstheme="minorHAnsi"/>
              </w:rPr>
            </w:pPr>
            <w:r w:rsidRPr="00AE1A76">
              <w:rPr>
                <w:rFonts w:cstheme="minorHAnsi"/>
              </w:rPr>
              <w:t>86. člen</w:t>
            </w:r>
          </w:p>
        </w:tc>
        <w:tc>
          <w:tcPr>
            <w:tcW w:w="5810" w:type="dxa"/>
          </w:tcPr>
          <w:p w14:paraId="2E5E4C49" w14:textId="77777777" w:rsidR="00026D5B" w:rsidRPr="00AE1A76" w:rsidRDefault="00026D5B" w:rsidP="00290D8B">
            <w:pPr>
              <w:ind w:left="171" w:right="165"/>
              <w:rPr>
                <w:rFonts w:cstheme="minorHAnsi"/>
              </w:rPr>
            </w:pPr>
            <w:r w:rsidRPr="008047F2">
              <w:rPr>
                <w:rFonts w:cstheme="minorHAnsi"/>
              </w:rPr>
              <w:t>Popravek določil na podlagi vsebinskih sprememb Priloge 1, ki obravnava osnovne objekte na stavbnih zemljiščih.</w:t>
            </w:r>
          </w:p>
        </w:tc>
      </w:tr>
      <w:tr w:rsidR="00026D5B" w14:paraId="674DFCA2" w14:textId="77777777" w:rsidTr="00F37918">
        <w:trPr>
          <w:cantSplit/>
          <w:jc w:val="center"/>
        </w:trPr>
        <w:tc>
          <w:tcPr>
            <w:tcW w:w="1276" w:type="dxa"/>
          </w:tcPr>
          <w:p w14:paraId="34C9AA21" w14:textId="77777777" w:rsidR="00026D5B" w:rsidRPr="00AE1A76" w:rsidRDefault="00026D5B" w:rsidP="00290D8B">
            <w:pPr>
              <w:ind w:left="171"/>
              <w:rPr>
                <w:rFonts w:cstheme="minorHAnsi"/>
              </w:rPr>
            </w:pPr>
            <w:r>
              <w:rPr>
                <w:rFonts w:cstheme="minorHAnsi"/>
              </w:rPr>
              <w:t>57. člen</w:t>
            </w:r>
          </w:p>
        </w:tc>
        <w:tc>
          <w:tcPr>
            <w:tcW w:w="1703" w:type="dxa"/>
          </w:tcPr>
          <w:p w14:paraId="37908822" w14:textId="77777777" w:rsidR="00026D5B" w:rsidRPr="00AE1A76" w:rsidRDefault="00026D5B" w:rsidP="00290D8B">
            <w:pPr>
              <w:ind w:left="171"/>
              <w:rPr>
                <w:rFonts w:cstheme="minorHAnsi"/>
              </w:rPr>
            </w:pPr>
            <w:r w:rsidRPr="00AE1A76">
              <w:rPr>
                <w:rFonts w:cstheme="minorHAnsi"/>
              </w:rPr>
              <w:t>87. člen</w:t>
            </w:r>
          </w:p>
        </w:tc>
        <w:tc>
          <w:tcPr>
            <w:tcW w:w="5810" w:type="dxa"/>
          </w:tcPr>
          <w:p w14:paraId="3EC35984" w14:textId="77777777" w:rsidR="00026D5B" w:rsidRPr="00AE1A76" w:rsidRDefault="00026D5B" w:rsidP="00290D8B">
            <w:pPr>
              <w:ind w:left="171" w:right="165"/>
              <w:rPr>
                <w:rFonts w:cstheme="minorHAnsi"/>
              </w:rPr>
            </w:pPr>
            <w:r w:rsidRPr="008047F2">
              <w:rPr>
                <w:rFonts w:cstheme="minorHAnsi"/>
              </w:rPr>
              <w:t>Popravek določil na podlagi vsebinskih sprememb Priloge 1, ki obravnava osnovne objekte na stavbnih zemljiščih.</w:t>
            </w:r>
          </w:p>
        </w:tc>
      </w:tr>
      <w:tr w:rsidR="00026D5B" w14:paraId="21281636" w14:textId="77777777" w:rsidTr="00F37918">
        <w:trPr>
          <w:cantSplit/>
          <w:jc w:val="center"/>
        </w:trPr>
        <w:tc>
          <w:tcPr>
            <w:tcW w:w="1276" w:type="dxa"/>
          </w:tcPr>
          <w:p w14:paraId="35E1D155" w14:textId="77777777" w:rsidR="00026D5B" w:rsidRPr="00AE1A76" w:rsidRDefault="00026D5B" w:rsidP="00290D8B">
            <w:pPr>
              <w:ind w:left="171"/>
              <w:rPr>
                <w:rFonts w:cstheme="minorHAnsi"/>
              </w:rPr>
            </w:pPr>
            <w:r>
              <w:rPr>
                <w:rFonts w:cstheme="minorHAnsi"/>
              </w:rPr>
              <w:t>58. člen</w:t>
            </w:r>
          </w:p>
        </w:tc>
        <w:tc>
          <w:tcPr>
            <w:tcW w:w="1703" w:type="dxa"/>
          </w:tcPr>
          <w:p w14:paraId="332874BC" w14:textId="77777777" w:rsidR="00026D5B" w:rsidRPr="00AE1A76" w:rsidRDefault="00026D5B" w:rsidP="00290D8B">
            <w:pPr>
              <w:ind w:left="171"/>
              <w:rPr>
                <w:rFonts w:cstheme="minorHAnsi"/>
              </w:rPr>
            </w:pPr>
            <w:r w:rsidRPr="00AE1A76">
              <w:rPr>
                <w:rFonts w:cstheme="minorHAnsi"/>
              </w:rPr>
              <w:t>88. člen</w:t>
            </w:r>
          </w:p>
        </w:tc>
        <w:tc>
          <w:tcPr>
            <w:tcW w:w="5810" w:type="dxa"/>
          </w:tcPr>
          <w:p w14:paraId="32131562" w14:textId="77777777" w:rsidR="00026D5B" w:rsidRPr="00AE1A76" w:rsidRDefault="00026D5B" w:rsidP="00290D8B">
            <w:pPr>
              <w:ind w:left="171" w:right="165"/>
              <w:rPr>
                <w:rFonts w:cstheme="minorHAnsi"/>
              </w:rPr>
            </w:pPr>
            <w:r w:rsidRPr="008047F2">
              <w:rPr>
                <w:rFonts w:cstheme="minorHAnsi"/>
              </w:rPr>
              <w:t>Popravek določil na podlagi vsebinskih sprememb Priloge 1, ki obravnava osnovne objekte na stavbnih zemljiščih.</w:t>
            </w:r>
          </w:p>
        </w:tc>
      </w:tr>
      <w:tr w:rsidR="00026D5B" w14:paraId="7C2F4652" w14:textId="77777777" w:rsidTr="00F37918">
        <w:trPr>
          <w:cantSplit/>
          <w:jc w:val="center"/>
        </w:trPr>
        <w:tc>
          <w:tcPr>
            <w:tcW w:w="1276" w:type="dxa"/>
          </w:tcPr>
          <w:p w14:paraId="19E8E5A5" w14:textId="77777777" w:rsidR="00026D5B" w:rsidRPr="00AE1A76" w:rsidRDefault="00026D5B" w:rsidP="00290D8B">
            <w:pPr>
              <w:ind w:left="171"/>
              <w:rPr>
                <w:rFonts w:cstheme="minorHAnsi"/>
              </w:rPr>
            </w:pPr>
            <w:r>
              <w:rPr>
                <w:rFonts w:cstheme="minorHAnsi"/>
              </w:rPr>
              <w:t>59. člen</w:t>
            </w:r>
          </w:p>
        </w:tc>
        <w:tc>
          <w:tcPr>
            <w:tcW w:w="1703" w:type="dxa"/>
          </w:tcPr>
          <w:p w14:paraId="16BE9E1F" w14:textId="77777777" w:rsidR="00026D5B" w:rsidRPr="00AE1A76" w:rsidRDefault="00026D5B" w:rsidP="00290D8B">
            <w:pPr>
              <w:ind w:left="171"/>
              <w:rPr>
                <w:rFonts w:cstheme="minorHAnsi"/>
              </w:rPr>
            </w:pPr>
            <w:r w:rsidRPr="00AE1A76">
              <w:rPr>
                <w:rFonts w:cstheme="minorHAnsi"/>
              </w:rPr>
              <w:t>89. člen</w:t>
            </w:r>
          </w:p>
        </w:tc>
        <w:tc>
          <w:tcPr>
            <w:tcW w:w="5810" w:type="dxa"/>
          </w:tcPr>
          <w:p w14:paraId="29C4C110" w14:textId="77777777" w:rsidR="00026D5B" w:rsidRPr="00AE1A76" w:rsidRDefault="00026D5B" w:rsidP="00290D8B">
            <w:pPr>
              <w:ind w:left="171" w:right="165"/>
              <w:rPr>
                <w:rFonts w:cstheme="minorHAnsi"/>
              </w:rPr>
            </w:pPr>
            <w:r w:rsidRPr="008047F2">
              <w:rPr>
                <w:rFonts w:cstheme="minorHAnsi"/>
              </w:rPr>
              <w:t>Popravek določil na podlagi vsebinskih sprememb Priloge 1, ki obravnava osnovne objekte na stavbnih zemljiščih.</w:t>
            </w:r>
          </w:p>
        </w:tc>
      </w:tr>
      <w:tr w:rsidR="00026D5B" w14:paraId="6A6B7013" w14:textId="77777777" w:rsidTr="00F37918">
        <w:trPr>
          <w:cantSplit/>
          <w:trHeight w:val="386"/>
          <w:jc w:val="center"/>
        </w:trPr>
        <w:tc>
          <w:tcPr>
            <w:tcW w:w="1276" w:type="dxa"/>
          </w:tcPr>
          <w:p w14:paraId="3CA9AAE1" w14:textId="77777777" w:rsidR="00026D5B" w:rsidRPr="00AE1A76" w:rsidRDefault="00026D5B" w:rsidP="00290D8B">
            <w:pPr>
              <w:ind w:left="171"/>
              <w:rPr>
                <w:rFonts w:cstheme="minorHAnsi"/>
              </w:rPr>
            </w:pPr>
            <w:r>
              <w:rPr>
                <w:rFonts w:cstheme="minorHAnsi"/>
              </w:rPr>
              <w:t>60. člen</w:t>
            </w:r>
          </w:p>
        </w:tc>
        <w:tc>
          <w:tcPr>
            <w:tcW w:w="1703" w:type="dxa"/>
          </w:tcPr>
          <w:p w14:paraId="540D5394" w14:textId="77777777" w:rsidR="00026D5B" w:rsidRPr="00AE1A76" w:rsidRDefault="00026D5B" w:rsidP="00290D8B">
            <w:pPr>
              <w:ind w:left="171"/>
              <w:rPr>
                <w:rFonts w:cstheme="minorHAnsi"/>
              </w:rPr>
            </w:pPr>
            <w:r w:rsidRPr="00AE1A76">
              <w:rPr>
                <w:rFonts w:cstheme="minorHAnsi"/>
              </w:rPr>
              <w:t>90. člen</w:t>
            </w:r>
          </w:p>
        </w:tc>
        <w:tc>
          <w:tcPr>
            <w:tcW w:w="5810" w:type="dxa"/>
          </w:tcPr>
          <w:p w14:paraId="1E4C2671" w14:textId="77777777" w:rsidR="00026D5B" w:rsidRPr="00AE1A76" w:rsidRDefault="00026D5B" w:rsidP="00290D8B">
            <w:pPr>
              <w:ind w:left="171" w:right="165"/>
              <w:rPr>
                <w:rFonts w:cstheme="minorHAnsi"/>
              </w:rPr>
            </w:pPr>
            <w:r>
              <w:rPr>
                <w:rFonts w:cstheme="minorHAnsi"/>
              </w:rPr>
              <w:t>Glede na prvo branje p</w:t>
            </w:r>
            <w:r w:rsidRPr="008047F2">
              <w:rPr>
                <w:rFonts w:cstheme="minorHAnsi"/>
              </w:rPr>
              <w:t>opravek člena na podlagi mnenja NUP.</w:t>
            </w:r>
          </w:p>
        </w:tc>
      </w:tr>
      <w:tr w:rsidR="00026D5B" w14:paraId="10EC71B4" w14:textId="77777777" w:rsidTr="00F37918">
        <w:trPr>
          <w:cantSplit/>
          <w:jc w:val="center"/>
        </w:trPr>
        <w:tc>
          <w:tcPr>
            <w:tcW w:w="1276" w:type="dxa"/>
          </w:tcPr>
          <w:p w14:paraId="36B77D7E" w14:textId="77777777" w:rsidR="00026D5B" w:rsidRPr="00AE1A76" w:rsidRDefault="00026D5B" w:rsidP="00290D8B">
            <w:pPr>
              <w:ind w:left="171"/>
              <w:rPr>
                <w:rFonts w:cstheme="minorHAnsi"/>
              </w:rPr>
            </w:pPr>
            <w:r>
              <w:rPr>
                <w:rFonts w:cstheme="minorHAnsi"/>
              </w:rPr>
              <w:t>61. člen</w:t>
            </w:r>
          </w:p>
        </w:tc>
        <w:tc>
          <w:tcPr>
            <w:tcW w:w="1703" w:type="dxa"/>
          </w:tcPr>
          <w:p w14:paraId="38561687" w14:textId="77777777" w:rsidR="00026D5B" w:rsidRPr="00AE1A76" w:rsidRDefault="00026D5B" w:rsidP="00290D8B">
            <w:pPr>
              <w:ind w:left="171"/>
              <w:rPr>
                <w:rFonts w:cstheme="minorHAnsi"/>
              </w:rPr>
            </w:pPr>
            <w:r w:rsidRPr="00AE1A76">
              <w:rPr>
                <w:rFonts w:cstheme="minorHAnsi"/>
              </w:rPr>
              <w:t>91. člen</w:t>
            </w:r>
          </w:p>
        </w:tc>
        <w:tc>
          <w:tcPr>
            <w:tcW w:w="5810" w:type="dxa"/>
          </w:tcPr>
          <w:p w14:paraId="59AB0505" w14:textId="77777777" w:rsidR="00026D5B" w:rsidRPr="00AE1A76" w:rsidRDefault="00026D5B" w:rsidP="00290D8B">
            <w:pPr>
              <w:ind w:left="171" w:right="165"/>
              <w:rPr>
                <w:rFonts w:cstheme="minorHAnsi"/>
              </w:rPr>
            </w:pPr>
            <w:r w:rsidRPr="008047F2">
              <w:rPr>
                <w:rFonts w:cstheme="minorHAnsi"/>
              </w:rPr>
              <w:t>Dodana so določila v zvezi s postavitvijo dovoljenih objektov na območjih vodne infrastrukture.  Sprememba v določilih člena je posledica spremembe Priloge 1, ki sedaj obravnava le osnovne objekte na stavbnih zemljiščih.</w:t>
            </w:r>
            <w:r>
              <w:rPr>
                <w:rFonts w:cstheme="minorHAnsi"/>
              </w:rPr>
              <w:t xml:space="preserve"> Popravek v oziru na prvo branje glede na mnenje NUP. </w:t>
            </w:r>
          </w:p>
        </w:tc>
      </w:tr>
      <w:tr w:rsidR="00026D5B" w14:paraId="68500E8A" w14:textId="77777777" w:rsidTr="00F37918">
        <w:trPr>
          <w:cantSplit/>
          <w:jc w:val="center"/>
        </w:trPr>
        <w:tc>
          <w:tcPr>
            <w:tcW w:w="1276" w:type="dxa"/>
          </w:tcPr>
          <w:p w14:paraId="59D2B48C" w14:textId="77777777" w:rsidR="00026D5B" w:rsidRPr="00AE1A76" w:rsidRDefault="00026D5B" w:rsidP="00290D8B">
            <w:pPr>
              <w:ind w:left="171"/>
              <w:rPr>
                <w:rFonts w:cstheme="minorHAnsi"/>
              </w:rPr>
            </w:pPr>
            <w:r>
              <w:rPr>
                <w:rFonts w:cstheme="minorHAnsi"/>
              </w:rPr>
              <w:t>62. člen</w:t>
            </w:r>
          </w:p>
        </w:tc>
        <w:tc>
          <w:tcPr>
            <w:tcW w:w="1703" w:type="dxa"/>
          </w:tcPr>
          <w:p w14:paraId="03653482" w14:textId="77777777" w:rsidR="00026D5B" w:rsidRPr="00AE1A76" w:rsidRDefault="00026D5B" w:rsidP="00290D8B">
            <w:pPr>
              <w:ind w:left="171"/>
              <w:rPr>
                <w:rFonts w:cstheme="minorHAnsi"/>
              </w:rPr>
            </w:pPr>
            <w:r w:rsidRPr="00AE1A76">
              <w:rPr>
                <w:rFonts w:cstheme="minorHAnsi"/>
              </w:rPr>
              <w:t>92. člen</w:t>
            </w:r>
          </w:p>
        </w:tc>
        <w:tc>
          <w:tcPr>
            <w:tcW w:w="5810" w:type="dxa"/>
          </w:tcPr>
          <w:p w14:paraId="5C9C03F1" w14:textId="77777777" w:rsidR="00026D5B" w:rsidRPr="00AE1A76" w:rsidRDefault="00026D5B" w:rsidP="00290D8B">
            <w:pPr>
              <w:ind w:left="171" w:right="165"/>
              <w:rPr>
                <w:rFonts w:cstheme="minorHAnsi"/>
              </w:rPr>
            </w:pPr>
            <w:r w:rsidRPr="008047F2">
              <w:rPr>
                <w:rFonts w:cstheme="minorHAnsi"/>
              </w:rPr>
              <w:t xml:space="preserve">Tehnični popravek – dodana je vrstica podrobnejša namenska raba LN – površine nadzemnega pridobivalnega prostora. Črtano je določilo, da se v primeru pogozdovanja izberejo sadike avtohtonih vrst za območje, ki so hkrati tudi primerne za posamezen tip zemljišča in reliefa ter določilo, da je obvezni del načrta načrt krajinske arhitekture. </w:t>
            </w:r>
          </w:p>
        </w:tc>
      </w:tr>
      <w:tr w:rsidR="00026D5B" w14:paraId="6B3BF913" w14:textId="77777777" w:rsidTr="00F37918">
        <w:trPr>
          <w:cantSplit/>
          <w:jc w:val="center"/>
        </w:trPr>
        <w:tc>
          <w:tcPr>
            <w:tcW w:w="1276" w:type="dxa"/>
          </w:tcPr>
          <w:p w14:paraId="624AA3BD" w14:textId="77777777" w:rsidR="00026D5B" w:rsidRPr="00AE1A76" w:rsidRDefault="00026D5B" w:rsidP="00290D8B">
            <w:pPr>
              <w:ind w:left="171"/>
              <w:rPr>
                <w:rFonts w:cstheme="minorHAnsi"/>
              </w:rPr>
            </w:pPr>
            <w:r>
              <w:rPr>
                <w:rFonts w:cstheme="minorHAnsi"/>
              </w:rPr>
              <w:lastRenderedPageBreak/>
              <w:t>63. člen</w:t>
            </w:r>
          </w:p>
        </w:tc>
        <w:tc>
          <w:tcPr>
            <w:tcW w:w="1703" w:type="dxa"/>
          </w:tcPr>
          <w:p w14:paraId="6478812B" w14:textId="77777777" w:rsidR="00026D5B" w:rsidRPr="00AE1A76" w:rsidRDefault="00026D5B" w:rsidP="00290D8B">
            <w:pPr>
              <w:ind w:left="171"/>
              <w:rPr>
                <w:rFonts w:cstheme="minorHAnsi"/>
              </w:rPr>
            </w:pPr>
            <w:r w:rsidRPr="00AE1A76">
              <w:rPr>
                <w:rFonts w:cstheme="minorHAnsi"/>
              </w:rPr>
              <w:t>93. člen</w:t>
            </w:r>
          </w:p>
        </w:tc>
        <w:tc>
          <w:tcPr>
            <w:tcW w:w="5810" w:type="dxa"/>
          </w:tcPr>
          <w:p w14:paraId="7E0043F5" w14:textId="77777777" w:rsidR="00026D5B" w:rsidRPr="00AE1A76" w:rsidRDefault="00026D5B" w:rsidP="00290D8B">
            <w:pPr>
              <w:ind w:left="171" w:right="165"/>
              <w:rPr>
                <w:rFonts w:cstheme="minorHAnsi"/>
              </w:rPr>
            </w:pPr>
            <w:r w:rsidRPr="008047F2">
              <w:rPr>
                <w:rFonts w:cstheme="minorHAnsi"/>
              </w:rPr>
              <w:t>Dodana so določila v zvezi s postavitvijo dovoljenih objektov na kmetijskih zemljiščih.  Sprememba v določilih člena je posledica spremembe Priloge 1, ki sedaj obravnava osnovne objekte na stavbnih zemljiščih.</w:t>
            </w:r>
            <w:r>
              <w:rPr>
                <w:rFonts w:cstheme="minorHAnsi"/>
              </w:rPr>
              <w:t xml:space="preserve"> Uskladitev načina presoje pogojev za gradnjo pomožnih kmetijsko gozdarskih objektov glede na prvo branje.</w:t>
            </w:r>
          </w:p>
        </w:tc>
      </w:tr>
      <w:tr w:rsidR="00026D5B" w14:paraId="539B96E0" w14:textId="77777777" w:rsidTr="00F37918">
        <w:trPr>
          <w:cantSplit/>
          <w:jc w:val="center"/>
        </w:trPr>
        <w:tc>
          <w:tcPr>
            <w:tcW w:w="1276" w:type="dxa"/>
          </w:tcPr>
          <w:p w14:paraId="76CF3D78" w14:textId="77777777" w:rsidR="00026D5B" w:rsidRPr="00AE1A76" w:rsidRDefault="00026D5B" w:rsidP="00290D8B">
            <w:pPr>
              <w:ind w:left="171"/>
              <w:rPr>
                <w:rFonts w:cstheme="minorHAnsi"/>
              </w:rPr>
            </w:pPr>
            <w:r>
              <w:rPr>
                <w:rFonts w:cstheme="minorHAnsi"/>
              </w:rPr>
              <w:t>64. člen</w:t>
            </w:r>
          </w:p>
        </w:tc>
        <w:tc>
          <w:tcPr>
            <w:tcW w:w="1703" w:type="dxa"/>
          </w:tcPr>
          <w:p w14:paraId="07761045" w14:textId="77777777" w:rsidR="00026D5B" w:rsidRPr="00AE1A76" w:rsidRDefault="00026D5B" w:rsidP="00290D8B">
            <w:pPr>
              <w:ind w:left="171"/>
              <w:rPr>
                <w:rFonts w:cstheme="minorHAnsi"/>
              </w:rPr>
            </w:pPr>
            <w:r w:rsidRPr="00AE1A76">
              <w:rPr>
                <w:rFonts w:cstheme="minorHAnsi"/>
              </w:rPr>
              <w:t>94. člen</w:t>
            </w:r>
          </w:p>
        </w:tc>
        <w:tc>
          <w:tcPr>
            <w:tcW w:w="5810" w:type="dxa"/>
          </w:tcPr>
          <w:p w14:paraId="575ADB4A" w14:textId="77777777" w:rsidR="00026D5B" w:rsidRPr="00AE1A76" w:rsidRDefault="00026D5B" w:rsidP="00290D8B">
            <w:pPr>
              <w:ind w:left="171" w:right="165"/>
              <w:rPr>
                <w:rFonts w:cstheme="minorHAnsi"/>
              </w:rPr>
            </w:pPr>
            <w:r w:rsidRPr="008047F2">
              <w:rPr>
                <w:rFonts w:cstheme="minorHAnsi"/>
              </w:rPr>
              <w:t>Dodana so določila v zvezi s postavitvijo dovoljenih objektov na gozdnih zemljiščih.  Sprememba v določilih člena je posledica spremembe Priloge 1, ki obravnava osnovne objekte na stavbnih zemljiščih.</w:t>
            </w:r>
          </w:p>
        </w:tc>
      </w:tr>
      <w:tr w:rsidR="00026D5B" w14:paraId="1E6EF8C1" w14:textId="77777777" w:rsidTr="00F37918">
        <w:trPr>
          <w:cantSplit/>
          <w:jc w:val="center"/>
        </w:trPr>
        <w:tc>
          <w:tcPr>
            <w:tcW w:w="1276" w:type="dxa"/>
          </w:tcPr>
          <w:p w14:paraId="12F7E5EC" w14:textId="77777777" w:rsidR="00026D5B" w:rsidRPr="00AE1A76" w:rsidRDefault="00026D5B" w:rsidP="00290D8B">
            <w:pPr>
              <w:ind w:left="171"/>
              <w:rPr>
                <w:rFonts w:cstheme="minorHAnsi"/>
              </w:rPr>
            </w:pPr>
            <w:r>
              <w:rPr>
                <w:rFonts w:cstheme="minorHAnsi"/>
              </w:rPr>
              <w:t>65. člen</w:t>
            </w:r>
          </w:p>
        </w:tc>
        <w:tc>
          <w:tcPr>
            <w:tcW w:w="1703" w:type="dxa"/>
          </w:tcPr>
          <w:p w14:paraId="4B3C3A58" w14:textId="77777777" w:rsidR="00026D5B" w:rsidRPr="00AE1A76" w:rsidRDefault="00026D5B" w:rsidP="00290D8B">
            <w:pPr>
              <w:ind w:left="171"/>
              <w:rPr>
                <w:rFonts w:cstheme="minorHAnsi"/>
              </w:rPr>
            </w:pPr>
            <w:r w:rsidRPr="00AE1A76">
              <w:rPr>
                <w:rFonts w:cstheme="minorHAnsi"/>
              </w:rPr>
              <w:t>95. člen</w:t>
            </w:r>
          </w:p>
        </w:tc>
        <w:tc>
          <w:tcPr>
            <w:tcW w:w="5810" w:type="dxa"/>
          </w:tcPr>
          <w:p w14:paraId="609710DE" w14:textId="77777777" w:rsidR="00026D5B" w:rsidRPr="00AE1A76" w:rsidRDefault="00026D5B" w:rsidP="00290D8B">
            <w:pPr>
              <w:ind w:left="171" w:right="165"/>
              <w:rPr>
                <w:rFonts w:cstheme="minorHAnsi"/>
              </w:rPr>
            </w:pPr>
            <w:r w:rsidRPr="00AE1A76">
              <w:rPr>
                <w:rFonts w:cstheme="minorHAnsi"/>
              </w:rPr>
              <w:t>Dopolnitev člena na podlagi mnenja NU</w:t>
            </w:r>
            <w:r>
              <w:rPr>
                <w:rFonts w:cstheme="minorHAnsi"/>
              </w:rPr>
              <w:t>P</w:t>
            </w:r>
            <w:r w:rsidRPr="00AE1A76">
              <w:rPr>
                <w:rFonts w:cstheme="minorHAnsi"/>
              </w:rPr>
              <w:t xml:space="preserve"> glede poteka javne infrastrukture v bližini vodotokov. </w:t>
            </w:r>
          </w:p>
        </w:tc>
      </w:tr>
      <w:tr w:rsidR="00026D5B" w14:paraId="6D0C8F4C" w14:textId="77777777" w:rsidTr="00F37918">
        <w:trPr>
          <w:cantSplit/>
          <w:jc w:val="center"/>
        </w:trPr>
        <w:tc>
          <w:tcPr>
            <w:tcW w:w="1276" w:type="dxa"/>
          </w:tcPr>
          <w:p w14:paraId="2249D15E" w14:textId="77777777" w:rsidR="00026D5B" w:rsidRPr="00AE1A76" w:rsidRDefault="00026D5B" w:rsidP="00290D8B">
            <w:pPr>
              <w:ind w:left="171"/>
              <w:rPr>
                <w:rFonts w:cstheme="minorHAnsi"/>
              </w:rPr>
            </w:pPr>
            <w:r>
              <w:rPr>
                <w:rFonts w:cstheme="minorHAnsi"/>
              </w:rPr>
              <w:t>66. člen</w:t>
            </w:r>
          </w:p>
        </w:tc>
        <w:tc>
          <w:tcPr>
            <w:tcW w:w="1703" w:type="dxa"/>
          </w:tcPr>
          <w:p w14:paraId="04F1C10B" w14:textId="77777777" w:rsidR="00026D5B" w:rsidRPr="00AE1A76" w:rsidRDefault="00026D5B" w:rsidP="00290D8B">
            <w:pPr>
              <w:ind w:left="171"/>
              <w:rPr>
                <w:rFonts w:cstheme="minorHAnsi"/>
              </w:rPr>
            </w:pPr>
            <w:r w:rsidRPr="00AE1A76">
              <w:rPr>
                <w:rFonts w:cstheme="minorHAnsi"/>
              </w:rPr>
              <w:t>96. člen</w:t>
            </w:r>
          </w:p>
        </w:tc>
        <w:tc>
          <w:tcPr>
            <w:tcW w:w="5810" w:type="dxa"/>
          </w:tcPr>
          <w:p w14:paraId="498777D2" w14:textId="77777777" w:rsidR="00026D5B" w:rsidRPr="00AE1A76" w:rsidRDefault="00026D5B" w:rsidP="00290D8B">
            <w:pPr>
              <w:ind w:left="171" w:right="165"/>
              <w:rPr>
                <w:rFonts w:cstheme="minorHAnsi"/>
              </w:rPr>
            </w:pPr>
            <w:r w:rsidRPr="00AE1A76">
              <w:rPr>
                <w:rFonts w:cstheme="minorHAnsi"/>
              </w:rPr>
              <w:t>Dopolnitev člena na podlagi mnenja NUP</w:t>
            </w:r>
            <w:r>
              <w:rPr>
                <w:rFonts w:cstheme="minorHAnsi"/>
              </w:rPr>
              <w:t>,</w:t>
            </w:r>
            <w:r w:rsidRPr="00AE1A76">
              <w:rPr>
                <w:rFonts w:cstheme="minorHAnsi"/>
              </w:rPr>
              <w:t xml:space="preserve"> dopolnitve se nanašajo na območja okvirno načrtovanega javnega dobra, kolesarske/peš povezave ter odmike od cestnega zemljišča.</w:t>
            </w:r>
          </w:p>
        </w:tc>
      </w:tr>
      <w:tr w:rsidR="00026D5B" w14:paraId="2F7A9D3B" w14:textId="77777777" w:rsidTr="00F37918">
        <w:trPr>
          <w:cantSplit/>
          <w:jc w:val="center"/>
        </w:trPr>
        <w:tc>
          <w:tcPr>
            <w:tcW w:w="1276" w:type="dxa"/>
          </w:tcPr>
          <w:p w14:paraId="15E258EA" w14:textId="77777777" w:rsidR="00026D5B" w:rsidRPr="00AE1A76" w:rsidRDefault="00026D5B" w:rsidP="00290D8B">
            <w:pPr>
              <w:ind w:left="171"/>
              <w:rPr>
                <w:rFonts w:cstheme="minorHAnsi"/>
              </w:rPr>
            </w:pPr>
            <w:r>
              <w:rPr>
                <w:rFonts w:cstheme="minorHAnsi"/>
              </w:rPr>
              <w:t>67. člen</w:t>
            </w:r>
          </w:p>
        </w:tc>
        <w:tc>
          <w:tcPr>
            <w:tcW w:w="1703" w:type="dxa"/>
          </w:tcPr>
          <w:p w14:paraId="2779B7B1" w14:textId="77777777" w:rsidR="00026D5B" w:rsidRPr="00AE1A76" w:rsidRDefault="00026D5B" w:rsidP="00290D8B">
            <w:pPr>
              <w:ind w:left="171"/>
              <w:rPr>
                <w:rFonts w:cstheme="minorHAnsi"/>
              </w:rPr>
            </w:pPr>
            <w:r w:rsidRPr="00AE1A76">
              <w:rPr>
                <w:rFonts w:cstheme="minorHAnsi"/>
              </w:rPr>
              <w:t>98. člen</w:t>
            </w:r>
          </w:p>
        </w:tc>
        <w:tc>
          <w:tcPr>
            <w:tcW w:w="5810" w:type="dxa"/>
          </w:tcPr>
          <w:p w14:paraId="0388BB00" w14:textId="77777777" w:rsidR="00026D5B" w:rsidRPr="00AE1A76" w:rsidRDefault="00026D5B" w:rsidP="00290D8B">
            <w:pPr>
              <w:ind w:left="171" w:right="165"/>
              <w:rPr>
                <w:rFonts w:cstheme="minorHAnsi"/>
              </w:rPr>
            </w:pPr>
            <w:r w:rsidRPr="00AE1A76">
              <w:rPr>
                <w:rFonts w:cstheme="minorHAnsi"/>
              </w:rPr>
              <w:t>Dopolnitev člena na podlagi mnenja NUP; med drugim se dopolnijo pogoji za komunalne čistilne naprave in odvajanje očiščenih odpadnih voda v vodotok.</w:t>
            </w:r>
          </w:p>
        </w:tc>
      </w:tr>
      <w:tr w:rsidR="00026D5B" w14:paraId="67172678" w14:textId="77777777" w:rsidTr="00F37918">
        <w:trPr>
          <w:cantSplit/>
          <w:jc w:val="center"/>
        </w:trPr>
        <w:tc>
          <w:tcPr>
            <w:tcW w:w="1276" w:type="dxa"/>
          </w:tcPr>
          <w:p w14:paraId="0DEEBD0C" w14:textId="77777777" w:rsidR="00026D5B" w:rsidRPr="00AE1A76" w:rsidRDefault="00026D5B" w:rsidP="00290D8B">
            <w:pPr>
              <w:ind w:left="171"/>
              <w:rPr>
                <w:rFonts w:cstheme="minorHAnsi"/>
              </w:rPr>
            </w:pPr>
            <w:r>
              <w:rPr>
                <w:rFonts w:cstheme="minorHAnsi"/>
              </w:rPr>
              <w:t>68. člen</w:t>
            </w:r>
          </w:p>
        </w:tc>
        <w:tc>
          <w:tcPr>
            <w:tcW w:w="1703" w:type="dxa"/>
          </w:tcPr>
          <w:p w14:paraId="1AD73C52" w14:textId="77777777" w:rsidR="00026D5B" w:rsidRPr="00AE1A76" w:rsidRDefault="00026D5B" w:rsidP="00290D8B">
            <w:pPr>
              <w:ind w:left="171"/>
              <w:rPr>
                <w:rFonts w:cstheme="minorHAnsi"/>
              </w:rPr>
            </w:pPr>
            <w:r w:rsidRPr="00AE1A76">
              <w:rPr>
                <w:rFonts w:cstheme="minorHAnsi"/>
              </w:rPr>
              <w:t>100. člen</w:t>
            </w:r>
          </w:p>
        </w:tc>
        <w:tc>
          <w:tcPr>
            <w:tcW w:w="5810" w:type="dxa"/>
          </w:tcPr>
          <w:p w14:paraId="4E31C9CA" w14:textId="77777777" w:rsidR="00026D5B" w:rsidRPr="00AE1A76" w:rsidRDefault="00026D5B" w:rsidP="00290D8B">
            <w:pPr>
              <w:ind w:left="171" w:right="165"/>
              <w:rPr>
                <w:rFonts w:cstheme="minorHAnsi"/>
              </w:rPr>
            </w:pPr>
            <w:r w:rsidRPr="00AE1A76">
              <w:rPr>
                <w:rFonts w:cstheme="minorHAnsi"/>
              </w:rPr>
              <w:t>Dopolnitev člena na podlagi mnenja NUP; o dopustnih posegih na obstoječih elektroenergetskih objektih.</w:t>
            </w:r>
          </w:p>
        </w:tc>
      </w:tr>
      <w:tr w:rsidR="00026D5B" w14:paraId="5C47ED3F" w14:textId="77777777" w:rsidTr="00F37918">
        <w:trPr>
          <w:cantSplit/>
          <w:jc w:val="center"/>
        </w:trPr>
        <w:tc>
          <w:tcPr>
            <w:tcW w:w="1276" w:type="dxa"/>
          </w:tcPr>
          <w:p w14:paraId="7E2BAC7F" w14:textId="77777777" w:rsidR="00026D5B" w:rsidRPr="00AE1A76" w:rsidRDefault="00026D5B" w:rsidP="00290D8B">
            <w:pPr>
              <w:ind w:left="171"/>
              <w:rPr>
                <w:rFonts w:cstheme="minorHAnsi"/>
              </w:rPr>
            </w:pPr>
            <w:r>
              <w:rPr>
                <w:rFonts w:cstheme="minorHAnsi"/>
              </w:rPr>
              <w:t>69. člen</w:t>
            </w:r>
          </w:p>
        </w:tc>
        <w:tc>
          <w:tcPr>
            <w:tcW w:w="1703" w:type="dxa"/>
          </w:tcPr>
          <w:p w14:paraId="6C857B58" w14:textId="77777777" w:rsidR="00026D5B" w:rsidRPr="00AE1A76" w:rsidRDefault="00026D5B" w:rsidP="00290D8B">
            <w:pPr>
              <w:ind w:left="171"/>
              <w:rPr>
                <w:rFonts w:cstheme="minorHAnsi"/>
              </w:rPr>
            </w:pPr>
            <w:r w:rsidRPr="00AE1A76">
              <w:rPr>
                <w:rFonts w:cstheme="minorHAnsi"/>
              </w:rPr>
              <w:t>102. člen</w:t>
            </w:r>
          </w:p>
        </w:tc>
        <w:tc>
          <w:tcPr>
            <w:tcW w:w="5810" w:type="dxa"/>
          </w:tcPr>
          <w:p w14:paraId="57D9DEDF" w14:textId="77777777" w:rsidR="00026D5B" w:rsidRPr="00AE1A76" w:rsidRDefault="00026D5B" w:rsidP="00290D8B">
            <w:pPr>
              <w:ind w:left="171" w:right="165"/>
              <w:rPr>
                <w:rFonts w:cstheme="minorHAnsi"/>
              </w:rPr>
            </w:pPr>
            <w:r w:rsidRPr="00AE1A76">
              <w:rPr>
                <w:rFonts w:cstheme="minorHAnsi"/>
              </w:rPr>
              <w:t>Dopolnitev člena na podlagi mnenja NUP; sistemsko se posodabljajo določila elektronskega komunikacijskega omrežja, vključno z baznimi postajami, antenskimi stolpi in pogoji umeščanja.</w:t>
            </w:r>
          </w:p>
        </w:tc>
      </w:tr>
      <w:tr w:rsidR="00026D5B" w14:paraId="72E3AC7B" w14:textId="77777777" w:rsidTr="00F37918">
        <w:trPr>
          <w:cantSplit/>
          <w:jc w:val="center"/>
        </w:trPr>
        <w:tc>
          <w:tcPr>
            <w:tcW w:w="1276" w:type="dxa"/>
          </w:tcPr>
          <w:p w14:paraId="4E657ABA" w14:textId="77777777" w:rsidR="00026D5B" w:rsidRPr="00AE1A76" w:rsidRDefault="00026D5B" w:rsidP="00290D8B">
            <w:pPr>
              <w:ind w:left="171"/>
              <w:rPr>
                <w:rFonts w:cstheme="minorHAnsi"/>
              </w:rPr>
            </w:pPr>
            <w:r>
              <w:rPr>
                <w:rFonts w:cstheme="minorHAnsi"/>
              </w:rPr>
              <w:t>70. člen</w:t>
            </w:r>
          </w:p>
        </w:tc>
        <w:tc>
          <w:tcPr>
            <w:tcW w:w="1703" w:type="dxa"/>
          </w:tcPr>
          <w:p w14:paraId="2622208A" w14:textId="77777777" w:rsidR="00026D5B" w:rsidRPr="00AE1A76" w:rsidRDefault="00026D5B" w:rsidP="00290D8B">
            <w:pPr>
              <w:ind w:left="171"/>
              <w:rPr>
                <w:rFonts w:cstheme="minorHAnsi"/>
              </w:rPr>
            </w:pPr>
            <w:r w:rsidRPr="00AE1A76">
              <w:rPr>
                <w:rFonts w:cstheme="minorHAnsi"/>
              </w:rPr>
              <w:t>103. člen</w:t>
            </w:r>
          </w:p>
        </w:tc>
        <w:tc>
          <w:tcPr>
            <w:tcW w:w="5810" w:type="dxa"/>
          </w:tcPr>
          <w:p w14:paraId="0647285A" w14:textId="77777777" w:rsidR="00026D5B" w:rsidRPr="00AE1A76" w:rsidRDefault="00026D5B" w:rsidP="00290D8B">
            <w:pPr>
              <w:ind w:left="171" w:right="165"/>
              <w:rPr>
                <w:rFonts w:cstheme="minorHAnsi"/>
              </w:rPr>
            </w:pPr>
            <w:r w:rsidRPr="00AE1A76">
              <w:rPr>
                <w:rFonts w:cstheme="minorHAnsi"/>
              </w:rPr>
              <w:t>Terminološka uskladitev: »parcela objekta« se nadomesti z izrazom »gradbena parcela« oziroma se uskladi terminologija akta.</w:t>
            </w:r>
          </w:p>
        </w:tc>
      </w:tr>
      <w:tr w:rsidR="00026D5B" w14:paraId="1960F4D7" w14:textId="77777777" w:rsidTr="00F37918">
        <w:trPr>
          <w:cantSplit/>
          <w:jc w:val="center"/>
        </w:trPr>
        <w:tc>
          <w:tcPr>
            <w:tcW w:w="1276" w:type="dxa"/>
          </w:tcPr>
          <w:p w14:paraId="235CD5D5" w14:textId="77777777" w:rsidR="00026D5B" w:rsidRPr="00AE1A76" w:rsidRDefault="00026D5B" w:rsidP="00290D8B">
            <w:pPr>
              <w:ind w:left="171"/>
              <w:rPr>
                <w:rFonts w:cstheme="minorHAnsi"/>
              </w:rPr>
            </w:pPr>
            <w:r>
              <w:rPr>
                <w:rFonts w:cstheme="minorHAnsi"/>
              </w:rPr>
              <w:t>71. člen</w:t>
            </w:r>
          </w:p>
        </w:tc>
        <w:tc>
          <w:tcPr>
            <w:tcW w:w="1703" w:type="dxa"/>
          </w:tcPr>
          <w:p w14:paraId="3B841CA1" w14:textId="77777777" w:rsidR="00026D5B" w:rsidRPr="00AE1A76" w:rsidRDefault="00026D5B" w:rsidP="00290D8B">
            <w:pPr>
              <w:ind w:left="171"/>
              <w:rPr>
                <w:rFonts w:cstheme="minorHAnsi"/>
              </w:rPr>
            </w:pPr>
            <w:r w:rsidRPr="00AE1A76">
              <w:rPr>
                <w:rFonts w:cstheme="minorHAnsi"/>
              </w:rPr>
              <w:t>104. člen</w:t>
            </w:r>
          </w:p>
        </w:tc>
        <w:tc>
          <w:tcPr>
            <w:tcW w:w="5810" w:type="dxa"/>
          </w:tcPr>
          <w:p w14:paraId="564B1491" w14:textId="77777777" w:rsidR="00026D5B" w:rsidRPr="00AE1A76" w:rsidRDefault="00026D5B" w:rsidP="00290D8B">
            <w:pPr>
              <w:ind w:left="171" w:right="165"/>
              <w:rPr>
                <w:rFonts w:cstheme="minorHAnsi"/>
              </w:rPr>
            </w:pPr>
            <w:r w:rsidRPr="00AE1A76">
              <w:rPr>
                <w:rFonts w:cstheme="minorHAnsi"/>
              </w:rPr>
              <w:t>Uskladitev s področno zakonodajo.</w:t>
            </w:r>
          </w:p>
        </w:tc>
      </w:tr>
      <w:tr w:rsidR="00026D5B" w14:paraId="4B802FF2" w14:textId="77777777" w:rsidTr="00F37918">
        <w:trPr>
          <w:cantSplit/>
          <w:jc w:val="center"/>
        </w:trPr>
        <w:tc>
          <w:tcPr>
            <w:tcW w:w="1276" w:type="dxa"/>
          </w:tcPr>
          <w:p w14:paraId="379DA0BE" w14:textId="77777777" w:rsidR="00026D5B" w:rsidRPr="00AE1A76" w:rsidRDefault="00026D5B" w:rsidP="00290D8B">
            <w:pPr>
              <w:ind w:left="171"/>
              <w:rPr>
                <w:rFonts w:cstheme="minorHAnsi"/>
              </w:rPr>
            </w:pPr>
            <w:r>
              <w:rPr>
                <w:rFonts w:cstheme="minorHAnsi"/>
              </w:rPr>
              <w:lastRenderedPageBreak/>
              <w:t>72. člen</w:t>
            </w:r>
          </w:p>
        </w:tc>
        <w:tc>
          <w:tcPr>
            <w:tcW w:w="1703" w:type="dxa"/>
          </w:tcPr>
          <w:p w14:paraId="352C5B30" w14:textId="77777777" w:rsidR="00026D5B" w:rsidRPr="00AE1A76" w:rsidRDefault="00026D5B" w:rsidP="00290D8B">
            <w:pPr>
              <w:ind w:left="171"/>
              <w:rPr>
                <w:rFonts w:cstheme="minorHAnsi"/>
              </w:rPr>
            </w:pPr>
            <w:r w:rsidRPr="00AE1A76">
              <w:rPr>
                <w:rFonts w:cstheme="minorHAnsi"/>
              </w:rPr>
              <w:t>10</w:t>
            </w:r>
            <w:r>
              <w:rPr>
                <w:rFonts w:cstheme="minorHAnsi"/>
              </w:rPr>
              <w:t>4a</w:t>
            </w:r>
            <w:r w:rsidRPr="00AE1A76">
              <w:rPr>
                <w:rFonts w:cstheme="minorHAnsi"/>
              </w:rPr>
              <w:t>. člen</w:t>
            </w:r>
          </w:p>
        </w:tc>
        <w:tc>
          <w:tcPr>
            <w:tcW w:w="5810" w:type="dxa"/>
          </w:tcPr>
          <w:p w14:paraId="01B302D4" w14:textId="77777777" w:rsidR="00026D5B" w:rsidRPr="00AE1A76" w:rsidRDefault="00026D5B" w:rsidP="00290D8B">
            <w:pPr>
              <w:ind w:left="171" w:right="165"/>
              <w:rPr>
                <w:rFonts w:cstheme="minorHAnsi"/>
              </w:rPr>
            </w:pPr>
            <w:r>
              <w:rPr>
                <w:rFonts w:cstheme="minorHAnsi"/>
              </w:rPr>
              <w:t>Doda se nov 104a. člen. Na podlagi določil novele Zakona o kmetijskih zemljiščih, ki je bila sprejeta po uvedbi postopka SD7 se glede na besedilo prvega branja doda n</w:t>
            </w:r>
            <w:r w:rsidRPr="00AE1A76">
              <w:rPr>
                <w:rFonts w:cstheme="minorHAnsi"/>
              </w:rPr>
              <w:t>ov člen o nadomestnih kmetijskih zemljiščih, ki določa pogoje za gradnjo na lokacijah za katere so določena nadomestna kmetijska zemljišča.</w:t>
            </w:r>
          </w:p>
        </w:tc>
      </w:tr>
      <w:tr w:rsidR="00026D5B" w14:paraId="14229B75" w14:textId="77777777" w:rsidTr="00F37918">
        <w:trPr>
          <w:cantSplit/>
          <w:jc w:val="center"/>
        </w:trPr>
        <w:tc>
          <w:tcPr>
            <w:tcW w:w="1276" w:type="dxa"/>
          </w:tcPr>
          <w:p w14:paraId="0FBC21D9" w14:textId="77777777" w:rsidR="00026D5B" w:rsidRPr="00AE1A76" w:rsidRDefault="00026D5B" w:rsidP="00290D8B">
            <w:pPr>
              <w:ind w:left="171"/>
              <w:rPr>
                <w:rFonts w:cstheme="minorHAnsi"/>
              </w:rPr>
            </w:pPr>
            <w:r>
              <w:rPr>
                <w:rFonts w:cstheme="minorHAnsi"/>
              </w:rPr>
              <w:t>73. člen</w:t>
            </w:r>
          </w:p>
        </w:tc>
        <w:tc>
          <w:tcPr>
            <w:tcW w:w="1703" w:type="dxa"/>
          </w:tcPr>
          <w:p w14:paraId="3F6B3E86" w14:textId="77777777" w:rsidR="00026D5B" w:rsidRPr="00AE1A76" w:rsidRDefault="00026D5B" w:rsidP="00290D8B">
            <w:pPr>
              <w:ind w:left="171"/>
              <w:rPr>
                <w:rFonts w:cstheme="minorHAnsi"/>
              </w:rPr>
            </w:pPr>
            <w:r w:rsidRPr="00AE1A76">
              <w:rPr>
                <w:rFonts w:cstheme="minorHAnsi"/>
              </w:rPr>
              <w:t>10</w:t>
            </w:r>
            <w:r>
              <w:rPr>
                <w:rFonts w:cstheme="minorHAnsi"/>
              </w:rPr>
              <w:t>6</w:t>
            </w:r>
            <w:r w:rsidRPr="00AE1A76">
              <w:rPr>
                <w:rFonts w:cstheme="minorHAnsi"/>
              </w:rPr>
              <w:t>. člen</w:t>
            </w:r>
          </w:p>
        </w:tc>
        <w:tc>
          <w:tcPr>
            <w:tcW w:w="5810" w:type="dxa"/>
          </w:tcPr>
          <w:p w14:paraId="104A7978" w14:textId="77777777" w:rsidR="00026D5B" w:rsidRPr="00AE1A76" w:rsidRDefault="00026D5B" w:rsidP="00290D8B">
            <w:pPr>
              <w:ind w:left="171" w:right="165"/>
              <w:rPr>
                <w:rFonts w:cstheme="minorHAnsi"/>
              </w:rPr>
            </w:pPr>
            <w:r w:rsidRPr="00AE1A76">
              <w:rPr>
                <w:rFonts w:cstheme="minorHAnsi"/>
              </w:rPr>
              <w:t>Uskladitev določil o posegih v prostor na območjih predvidenih OPPN.</w:t>
            </w:r>
          </w:p>
        </w:tc>
      </w:tr>
      <w:tr w:rsidR="00026D5B" w14:paraId="419EC009" w14:textId="77777777" w:rsidTr="00F37918">
        <w:trPr>
          <w:cantSplit/>
          <w:jc w:val="center"/>
        </w:trPr>
        <w:tc>
          <w:tcPr>
            <w:tcW w:w="1276" w:type="dxa"/>
          </w:tcPr>
          <w:p w14:paraId="0EB28716" w14:textId="77777777" w:rsidR="00026D5B" w:rsidRPr="00AE1A76" w:rsidRDefault="00026D5B" w:rsidP="00290D8B">
            <w:pPr>
              <w:ind w:left="171"/>
              <w:rPr>
                <w:rFonts w:cstheme="minorHAnsi"/>
              </w:rPr>
            </w:pPr>
            <w:r>
              <w:rPr>
                <w:rFonts w:cstheme="minorHAnsi"/>
              </w:rPr>
              <w:t>74. člen</w:t>
            </w:r>
          </w:p>
        </w:tc>
        <w:tc>
          <w:tcPr>
            <w:tcW w:w="1703" w:type="dxa"/>
          </w:tcPr>
          <w:p w14:paraId="71F51794" w14:textId="77777777" w:rsidR="00026D5B" w:rsidRPr="00AE1A76" w:rsidRDefault="00026D5B" w:rsidP="00290D8B">
            <w:pPr>
              <w:ind w:left="171"/>
              <w:rPr>
                <w:rFonts w:cstheme="minorHAnsi"/>
              </w:rPr>
            </w:pPr>
            <w:r w:rsidRPr="00AE1A76">
              <w:rPr>
                <w:rFonts w:cstheme="minorHAnsi"/>
              </w:rPr>
              <w:t>10</w:t>
            </w:r>
            <w:r>
              <w:rPr>
                <w:rFonts w:cstheme="minorHAnsi"/>
              </w:rPr>
              <w:t>7</w:t>
            </w:r>
            <w:r w:rsidRPr="00AE1A76">
              <w:rPr>
                <w:rFonts w:cstheme="minorHAnsi"/>
              </w:rPr>
              <w:t>. člen</w:t>
            </w:r>
          </w:p>
        </w:tc>
        <w:tc>
          <w:tcPr>
            <w:tcW w:w="5810" w:type="dxa"/>
          </w:tcPr>
          <w:p w14:paraId="629678A2" w14:textId="77777777" w:rsidR="00026D5B" w:rsidRPr="00AE1A76" w:rsidRDefault="00026D5B" w:rsidP="00290D8B">
            <w:pPr>
              <w:ind w:left="171" w:right="165"/>
              <w:rPr>
                <w:rFonts w:cstheme="minorHAnsi"/>
              </w:rPr>
            </w:pPr>
            <w:r w:rsidRPr="00AE1A76">
              <w:rPr>
                <w:rFonts w:cstheme="minorHAnsi"/>
              </w:rPr>
              <w:t>Dopolnitev določil o podrobnih PIP.</w:t>
            </w:r>
            <w:r>
              <w:rPr>
                <w:rFonts w:cstheme="minorHAnsi"/>
              </w:rPr>
              <w:t xml:space="preserve"> Drugi tehnični popravki</w:t>
            </w:r>
          </w:p>
        </w:tc>
      </w:tr>
      <w:tr w:rsidR="00026D5B" w14:paraId="1F6AD75D" w14:textId="77777777" w:rsidTr="00F37918">
        <w:trPr>
          <w:cantSplit/>
          <w:jc w:val="center"/>
        </w:trPr>
        <w:tc>
          <w:tcPr>
            <w:tcW w:w="1276" w:type="dxa"/>
          </w:tcPr>
          <w:p w14:paraId="0239E34E" w14:textId="77777777" w:rsidR="00026D5B" w:rsidRPr="00AE1A76" w:rsidRDefault="00026D5B" w:rsidP="00290D8B">
            <w:pPr>
              <w:ind w:left="171"/>
              <w:jc w:val="left"/>
              <w:rPr>
                <w:rFonts w:cstheme="minorHAnsi"/>
              </w:rPr>
            </w:pPr>
            <w:r>
              <w:rPr>
                <w:rFonts w:cstheme="minorHAnsi"/>
              </w:rPr>
              <w:t>75. člen</w:t>
            </w:r>
          </w:p>
        </w:tc>
        <w:tc>
          <w:tcPr>
            <w:tcW w:w="1703" w:type="dxa"/>
          </w:tcPr>
          <w:p w14:paraId="01D1C623" w14:textId="77777777" w:rsidR="00026D5B" w:rsidRPr="00AE1A76" w:rsidRDefault="00026D5B" w:rsidP="00290D8B">
            <w:pPr>
              <w:ind w:left="171"/>
              <w:rPr>
                <w:rFonts w:cstheme="minorHAnsi"/>
              </w:rPr>
            </w:pPr>
            <w:r w:rsidRPr="00AE1A76">
              <w:rPr>
                <w:rFonts w:cstheme="minorHAnsi"/>
              </w:rPr>
              <w:t>10</w:t>
            </w:r>
            <w:r>
              <w:rPr>
                <w:rFonts w:cstheme="minorHAnsi"/>
              </w:rPr>
              <w:t>8</w:t>
            </w:r>
            <w:r w:rsidRPr="00AE1A76">
              <w:rPr>
                <w:rFonts w:cstheme="minorHAnsi"/>
              </w:rPr>
              <w:t>. člen</w:t>
            </w:r>
          </w:p>
        </w:tc>
        <w:tc>
          <w:tcPr>
            <w:tcW w:w="5810" w:type="dxa"/>
          </w:tcPr>
          <w:p w14:paraId="67AAD2EE" w14:textId="77777777" w:rsidR="00026D5B" w:rsidRPr="00AE1A76" w:rsidRDefault="00026D5B" w:rsidP="00290D8B">
            <w:pPr>
              <w:ind w:left="171" w:right="165"/>
              <w:rPr>
                <w:rFonts w:cstheme="minorHAnsi"/>
              </w:rPr>
            </w:pPr>
            <w:r>
              <w:rPr>
                <w:rFonts w:cstheme="minorHAnsi"/>
              </w:rPr>
              <w:t>108. člen se črta. Podrobne prostorsko-izvedbene pogoje se prenese v Prilogo 4.</w:t>
            </w:r>
          </w:p>
        </w:tc>
      </w:tr>
      <w:tr w:rsidR="00026D5B" w:rsidRPr="00F239B1" w14:paraId="20A525B7" w14:textId="77777777" w:rsidTr="00F37918">
        <w:trPr>
          <w:cantSplit/>
          <w:jc w:val="center"/>
        </w:trPr>
        <w:tc>
          <w:tcPr>
            <w:tcW w:w="1276" w:type="dxa"/>
          </w:tcPr>
          <w:p w14:paraId="60D4D3FD" w14:textId="77777777" w:rsidR="00026D5B" w:rsidRPr="00F239B1" w:rsidRDefault="00026D5B" w:rsidP="00290D8B">
            <w:pPr>
              <w:ind w:left="171"/>
              <w:rPr>
                <w:rFonts w:cstheme="minorHAnsi"/>
              </w:rPr>
            </w:pPr>
            <w:r w:rsidRPr="00F239B1">
              <w:rPr>
                <w:rFonts w:cstheme="minorHAnsi"/>
              </w:rPr>
              <w:t>76. člen</w:t>
            </w:r>
          </w:p>
        </w:tc>
        <w:tc>
          <w:tcPr>
            <w:tcW w:w="1703" w:type="dxa"/>
          </w:tcPr>
          <w:p w14:paraId="5FD57C81" w14:textId="77777777" w:rsidR="00026D5B" w:rsidRPr="00F239B1" w:rsidRDefault="00026D5B" w:rsidP="00290D8B">
            <w:pPr>
              <w:ind w:left="171"/>
              <w:rPr>
                <w:rFonts w:cstheme="minorHAnsi"/>
              </w:rPr>
            </w:pPr>
          </w:p>
        </w:tc>
        <w:tc>
          <w:tcPr>
            <w:tcW w:w="5810" w:type="dxa"/>
          </w:tcPr>
          <w:p w14:paraId="1C165AC6" w14:textId="77777777" w:rsidR="00026D5B" w:rsidRPr="00F239B1" w:rsidRDefault="00026D5B" w:rsidP="00290D8B">
            <w:pPr>
              <w:ind w:left="171" w:right="165"/>
              <w:rPr>
                <w:rFonts w:cstheme="minorHAnsi"/>
              </w:rPr>
            </w:pPr>
            <w:r w:rsidRPr="00F239B1">
              <w:rPr>
                <w:rFonts w:cstheme="minorHAnsi"/>
              </w:rPr>
              <w:t>Nove in posodobljene tekstualne in grafične priloge.</w:t>
            </w:r>
          </w:p>
        </w:tc>
      </w:tr>
      <w:tr w:rsidR="00026D5B" w:rsidRPr="00F239B1" w14:paraId="565C599A" w14:textId="77777777" w:rsidTr="00F37918">
        <w:trPr>
          <w:cantSplit/>
          <w:jc w:val="center"/>
        </w:trPr>
        <w:tc>
          <w:tcPr>
            <w:tcW w:w="1276" w:type="dxa"/>
          </w:tcPr>
          <w:p w14:paraId="7AA49167" w14:textId="77777777" w:rsidR="00026D5B" w:rsidRPr="00F239B1" w:rsidRDefault="00026D5B" w:rsidP="00290D8B">
            <w:pPr>
              <w:ind w:left="171"/>
              <w:rPr>
                <w:rFonts w:cstheme="minorHAnsi"/>
              </w:rPr>
            </w:pPr>
            <w:r w:rsidRPr="00F239B1">
              <w:rPr>
                <w:rFonts w:cstheme="minorHAnsi"/>
              </w:rPr>
              <w:t>77. člen</w:t>
            </w:r>
          </w:p>
        </w:tc>
        <w:tc>
          <w:tcPr>
            <w:tcW w:w="1703" w:type="dxa"/>
          </w:tcPr>
          <w:p w14:paraId="166B17E7" w14:textId="77777777" w:rsidR="00026D5B" w:rsidRPr="00F239B1" w:rsidRDefault="00026D5B" w:rsidP="00290D8B">
            <w:pPr>
              <w:ind w:left="171"/>
              <w:rPr>
                <w:rFonts w:cstheme="minorHAnsi"/>
              </w:rPr>
            </w:pPr>
          </w:p>
        </w:tc>
        <w:tc>
          <w:tcPr>
            <w:tcW w:w="5810" w:type="dxa"/>
          </w:tcPr>
          <w:p w14:paraId="2580B995" w14:textId="77777777" w:rsidR="00026D5B" w:rsidRPr="00F239B1" w:rsidRDefault="00026D5B" w:rsidP="00290D8B">
            <w:pPr>
              <w:ind w:left="171" w:right="165"/>
              <w:rPr>
                <w:rFonts w:cstheme="minorHAnsi"/>
              </w:rPr>
            </w:pPr>
            <w:r w:rsidRPr="00F239B1">
              <w:rPr>
                <w:rFonts w:cstheme="minorHAnsi"/>
              </w:rPr>
              <w:t>Posodobljeni prikazi v grafičnem delu strateškega dela OPN.</w:t>
            </w:r>
          </w:p>
        </w:tc>
      </w:tr>
      <w:tr w:rsidR="00026D5B" w:rsidRPr="00F239B1" w14:paraId="2C09BA0B" w14:textId="77777777" w:rsidTr="00F37918">
        <w:trPr>
          <w:cantSplit/>
          <w:jc w:val="center"/>
        </w:trPr>
        <w:tc>
          <w:tcPr>
            <w:tcW w:w="1276" w:type="dxa"/>
          </w:tcPr>
          <w:p w14:paraId="2FE645EF" w14:textId="77777777" w:rsidR="00026D5B" w:rsidRPr="00F239B1" w:rsidRDefault="00026D5B" w:rsidP="00290D8B">
            <w:pPr>
              <w:ind w:left="171"/>
              <w:rPr>
                <w:rFonts w:cstheme="minorHAnsi"/>
              </w:rPr>
            </w:pPr>
            <w:r w:rsidRPr="00F239B1">
              <w:rPr>
                <w:rFonts w:cstheme="minorHAnsi"/>
              </w:rPr>
              <w:t>78. člen</w:t>
            </w:r>
          </w:p>
        </w:tc>
        <w:tc>
          <w:tcPr>
            <w:tcW w:w="1703" w:type="dxa"/>
          </w:tcPr>
          <w:p w14:paraId="3015A543" w14:textId="77777777" w:rsidR="00026D5B" w:rsidRPr="00F239B1" w:rsidRDefault="00026D5B" w:rsidP="00290D8B">
            <w:pPr>
              <w:ind w:left="171"/>
              <w:rPr>
                <w:rFonts w:cstheme="minorHAnsi"/>
              </w:rPr>
            </w:pPr>
          </w:p>
        </w:tc>
        <w:tc>
          <w:tcPr>
            <w:tcW w:w="5810" w:type="dxa"/>
          </w:tcPr>
          <w:p w14:paraId="4971C119" w14:textId="77777777" w:rsidR="00026D5B" w:rsidRPr="00F239B1" w:rsidRDefault="00026D5B" w:rsidP="00290D8B">
            <w:pPr>
              <w:ind w:left="171" w:right="165"/>
              <w:rPr>
                <w:rFonts w:cstheme="minorHAnsi"/>
              </w:rPr>
            </w:pPr>
            <w:r w:rsidRPr="00F239B1">
              <w:rPr>
                <w:rFonts w:cstheme="minorHAnsi"/>
              </w:rPr>
              <w:t>Posodobljeni listi grafičnega dela izvedbenega dela OPN.</w:t>
            </w:r>
          </w:p>
        </w:tc>
      </w:tr>
      <w:tr w:rsidR="00026D5B" w:rsidRPr="00F239B1" w14:paraId="3C820DAA" w14:textId="77777777" w:rsidTr="00F37918">
        <w:trPr>
          <w:cantSplit/>
          <w:jc w:val="center"/>
        </w:trPr>
        <w:tc>
          <w:tcPr>
            <w:tcW w:w="1276" w:type="dxa"/>
          </w:tcPr>
          <w:p w14:paraId="0C33094C" w14:textId="77777777" w:rsidR="00026D5B" w:rsidRPr="00F239B1" w:rsidRDefault="00026D5B" w:rsidP="00290D8B">
            <w:pPr>
              <w:ind w:left="171"/>
              <w:rPr>
                <w:rFonts w:cstheme="minorHAnsi"/>
              </w:rPr>
            </w:pPr>
            <w:r w:rsidRPr="00F239B1">
              <w:rPr>
                <w:rFonts w:cstheme="minorHAnsi"/>
              </w:rPr>
              <w:t>79. člen</w:t>
            </w:r>
          </w:p>
        </w:tc>
        <w:tc>
          <w:tcPr>
            <w:tcW w:w="1703" w:type="dxa"/>
          </w:tcPr>
          <w:p w14:paraId="1CF85F29" w14:textId="77777777" w:rsidR="00026D5B" w:rsidRPr="00F239B1" w:rsidDel="00181EA0" w:rsidRDefault="00026D5B" w:rsidP="00290D8B">
            <w:pPr>
              <w:ind w:left="171"/>
              <w:rPr>
                <w:rFonts w:cstheme="minorHAnsi"/>
              </w:rPr>
            </w:pPr>
          </w:p>
        </w:tc>
        <w:tc>
          <w:tcPr>
            <w:tcW w:w="5810" w:type="dxa"/>
          </w:tcPr>
          <w:p w14:paraId="7F67645C" w14:textId="77777777" w:rsidR="00026D5B" w:rsidRPr="00F239B1" w:rsidRDefault="00026D5B" w:rsidP="00290D8B">
            <w:pPr>
              <w:ind w:left="171" w:right="165"/>
              <w:rPr>
                <w:rFonts w:cstheme="minorHAnsi"/>
              </w:rPr>
            </w:pPr>
            <w:r w:rsidRPr="00F239B1">
              <w:rPr>
                <w:rFonts w:cstheme="minorHAnsi"/>
              </w:rPr>
              <w:t>Prehodna določba o prenehanju veljavnosti prostorskih aktov.</w:t>
            </w:r>
          </w:p>
        </w:tc>
      </w:tr>
      <w:tr w:rsidR="00026D5B" w:rsidRPr="00F239B1" w14:paraId="673F4D21" w14:textId="77777777" w:rsidTr="00F37918">
        <w:trPr>
          <w:cantSplit/>
          <w:jc w:val="center"/>
        </w:trPr>
        <w:tc>
          <w:tcPr>
            <w:tcW w:w="1276" w:type="dxa"/>
          </w:tcPr>
          <w:p w14:paraId="6453107E" w14:textId="77777777" w:rsidR="00026D5B" w:rsidRPr="00F239B1" w:rsidRDefault="00026D5B" w:rsidP="00290D8B">
            <w:pPr>
              <w:ind w:left="171"/>
              <w:rPr>
                <w:rFonts w:cstheme="minorHAnsi"/>
              </w:rPr>
            </w:pPr>
            <w:r w:rsidRPr="00F239B1">
              <w:rPr>
                <w:rFonts w:cstheme="minorHAnsi"/>
              </w:rPr>
              <w:t>80. člen</w:t>
            </w:r>
          </w:p>
        </w:tc>
        <w:tc>
          <w:tcPr>
            <w:tcW w:w="1703" w:type="dxa"/>
          </w:tcPr>
          <w:p w14:paraId="61AC9487" w14:textId="77777777" w:rsidR="00026D5B" w:rsidRPr="00F239B1" w:rsidRDefault="00026D5B" w:rsidP="00290D8B">
            <w:pPr>
              <w:ind w:left="171"/>
              <w:rPr>
                <w:rFonts w:cstheme="minorHAnsi"/>
              </w:rPr>
            </w:pPr>
          </w:p>
        </w:tc>
        <w:tc>
          <w:tcPr>
            <w:tcW w:w="5810" w:type="dxa"/>
          </w:tcPr>
          <w:p w14:paraId="34CAE851" w14:textId="77777777" w:rsidR="00026D5B" w:rsidRPr="00F239B1" w:rsidRDefault="00026D5B" w:rsidP="00290D8B">
            <w:pPr>
              <w:ind w:left="171" w:right="165"/>
              <w:rPr>
                <w:rFonts w:cstheme="minorHAnsi"/>
              </w:rPr>
            </w:pPr>
            <w:r w:rsidRPr="00F239B1">
              <w:rPr>
                <w:rFonts w:cstheme="minorHAnsi"/>
              </w:rPr>
              <w:t>Določba o veljavnosti sprejetih prostorskih izvedbenih aktov. Dodan v tem času sprejet OPPN.</w:t>
            </w:r>
          </w:p>
        </w:tc>
      </w:tr>
      <w:tr w:rsidR="00026D5B" w:rsidRPr="00F239B1" w14:paraId="4252A3F6" w14:textId="77777777" w:rsidTr="00F37918">
        <w:trPr>
          <w:cantSplit/>
          <w:jc w:val="center"/>
        </w:trPr>
        <w:tc>
          <w:tcPr>
            <w:tcW w:w="1276" w:type="dxa"/>
          </w:tcPr>
          <w:p w14:paraId="027EE5CD" w14:textId="77777777" w:rsidR="00026D5B" w:rsidRPr="00F239B1" w:rsidRDefault="00026D5B" w:rsidP="00290D8B">
            <w:pPr>
              <w:ind w:left="171"/>
              <w:rPr>
                <w:rFonts w:cstheme="minorHAnsi"/>
              </w:rPr>
            </w:pPr>
            <w:r w:rsidRPr="00F239B1">
              <w:rPr>
                <w:rFonts w:cstheme="minorHAnsi"/>
              </w:rPr>
              <w:t>81. člen</w:t>
            </w:r>
          </w:p>
        </w:tc>
        <w:tc>
          <w:tcPr>
            <w:tcW w:w="1703" w:type="dxa"/>
          </w:tcPr>
          <w:p w14:paraId="594291C8" w14:textId="77777777" w:rsidR="00026D5B" w:rsidRPr="00F239B1" w:rsidRDefault="00026D5B" w:rsidP="00290D8B">
            <w:pPr>
              <w:ind w:left="171"/>
              <w:rPr>
                <w:rFonts w:cstheme="minorHAnsi"/>
              </w:rPr>
            </w:pPr>
          </w:p>
        </w:tc>
        <w:tc>
          <w:tcPr>
            <w:tcW w:w="5810" w:type="dxa"/>
          </w:tcPr>
          <w:p w14:paraId="69DF9B38" w14:textId="77777777" w:rsidR="00026D5B" w:rsidRPr="00F239B1" w:rsidRDefault="00026D5B" w:rsidP="00290D8B">
            <w:pPr>
              <w:ind w:left="171" w:right="165"/>
              <w:rPr>
                <w:rFonts w:cstheme="minorHAnsi"/>
              </w:rPr>
            </w:pPr>
            <w:r w:rsidRPr="00F239B1">
              <w:rPr>
                <w:rFonts w:cstheme="minorHAnsi"/>
              </w:rPr>
              <w:t>Določba o neskladju med določili OPN in OPPN.</w:t>
            </w:r>
          </w:p>
        </w:tc>
      </w:tr>
      <w:tr w:rsidR="00026D5B" w:rsidRPr="00F239B1" w14:paraId="00EA1B1E" w14:textId="77777777" w:rsidTr="00F37918">
        <w:trPr>
          <w:cantSplit/>
          <w:jc w:val="center"/>
        </w:trPr>
        <w:tc>
          <w:tcPr>
            <w:tcW w:w="1276" w:type="dxa"/>
          </w:tcPr>
          <w:p w14:paraId="7768EE6E" w14:textId="77777777" w:rsidR="00026D5B" w:rsidRPr="00F239B1" w:rsidRDefault="00026D5B" w:rsidP="00290D8B">
            <w:pPr>
              <w:ind w:left="171"/>
              <w:rPr>
                <w:rFonts w:cstheme="minorHAnsi"/>
              </w:rPr>
            </w:pPr>
            <w:r w:rsidRPr="00F239B1">
              <w:rPr>
                <w:rFonts w:cstheme="minorHAnsi"/>
              </w:rPr>
              <w:t>82. člen</w:t>
            </w:r>
          </w:p>
        </w:tc>
        <w:tc>
          <w:tcPr>
            <w:tcW w:w="1703" w:type="dxa"/>
          </w:tcPr>
          <w:p w14:paraId="0F8FD88B" w14:textId="77777777" w:rsidR="00026D5B" w:rsidRPr="00F239B1" w:rsidRDefault="00026D5B" w:rsidP="00290D8B">
            <w:pPr>
              <w:ind w:left="171"/>
              <w:rPr>
                <w:rFonts w:cstheme="minorHAnsi"/>
              </w:rPr>
            </w:pPr>
          </w:p>
        </w:tc>
        <w:tc>
          <w:tcPr>
            <w:tcW w:w="5810" w:type="dxa"/>
          </w:tcPr>
          <w:p w14:paraId="1C72F33D" w14:textId="77777777" w:rsidR="00026D5B" w:rsidRPr="00F239B1" w:rsidRDefault="00026D5B" w:rsidP="00290D8B">
            <w:pPr>
              <w:ind w:left="171" w:right="165"/>
              <w:rPr>
                <w:rFonts w:cstheme="minorHAnsi"/>
              </w:rPr>
            </w:pPr>
            <w:r w:rsidRPr="00F239B1">
              <w:rPr>
                <w:rFonts w:cstheme="minorHAnsi"/>
              </w:rPr>
              <w:t>Določba o dokončanju upravnih postopkov.</w:t>
            </w:r>
          </w:p>
        </w:tc>
      </w:tr>
      <w:tr w:rsidR="00026D5B" w:rsidRPr="00F239B1" w14:paraId="49DC9894" w14:textId="77777777" w:rsidTr="00F37918">
        <w:trPr>
          <w:cantSplit/>
          <w:jc w:val="center"/>
        </w:trPr>
        <w:tc>
          <w:tcPr>
            <w:tcW w:w="1276" w:type="dxa"/>
          </w:tcPr>
          <w:p w14:paraId="301F0AF7" w14:textId="77777777" w:rsidR="00026D5B" w:rsidRPr="00F239B1" w:rsidRDefault="00026D5B" w:rsidP="00290D8B">
            <w:pPr>
              <w:ind w:left="171"/>
              <w:rPr>
                <w:rFonts w:cstheme="minorHAnsi"/>
              </w:rPr>
            </w:pPr>
            <w:r w:rsidRPr="00F239B1">
              <w:rPr>
                <w:rFonts w:cstheme="minorHAnsi"/>
              </w:rPr>
              <w:t>83. člen</w:t>
            </w:r>
          </w:p>
        </w:tc>
        <w:tc>
          <w:tcPr>
            <w:tcW w:w="1703" w:type="dxa"/>
          </w:tcPr>
          <w:p w14:paraId="31F480FF" w14:textId="77777777" w:rsidR="00026D5B" w:rsidRPr="00F239B1" w:rsidRDefault="00026D5B" w:rsidP="00290D8B">
            <w:pPr>
              <w:ind w:left="171"/>
              <w:rPr>
                <w:rFonts w:cstheme="minorHAnsi"/>
              </w:rPr>
            </w:pPr>
          </w:p>
        </w:tc>
        <w:tc>
          <w:tcPr>
            <w:tcW w:w="5810" w:type="dxa"/>
          </w:tcPr>
          <w:p w14:paraId="0C057EC2" w14:textId="77777777" w:rsidR="00026D5B" w:rsidRPr="00F239B1" w:rsidRDefault="00026D5B" w:rsidP="00290D8B">
            <w:pPr>
              <w:ind w:left="171" w:right="165"/>
              <w:rPr>
                <w:rFonts w:cstheme="minorHAnsi"/>
              </w:rPr>
            </w:pPr>
            <w:r w:rsidRPr="00F239B1">
              <w:rPr>
                <w:rFonts w:cstheme="minorHAnsi"/>
              </w:rPr>
              <w:t>Določba o dostopnosti OPN.</w:t>
            </w:r>
          </w:p>
        </w:tc>
      </w:tr>
      <w:tr w:rsidR="00026D5B" w:rsidRPr="00F239B1" w14:paraId="1632B39A" w14:textId="77777777" w:rsidTr="00F37918">
        <w:trPr>
          <w:cantSplit/>
          <w:jc w:val="center"/>
        </w:trPr>
        <w:tc>
          <w:tcPr>
            <w:tcW w:w="1276" w:type="dxa"/>
          </w:tcPr>
          <w:p w14:paraId="2ED63B86" w14:textId="77777777" w:rsidR="00026D5B" w:rsidRPr="00F239B1" w:rsidRDefault="00026D5B" w:rsidP="00290D8B">
            <w:pPr>
              <w:ind w:left="171"/>
              <w:rPr>
                <w:rFonts w:cstheme="minorHAnsi"/>
              </w:rPr>
            </w:pPr>
            <w:r w:rsidRPr="00F239B1">
              <w:rPr>
                <w:rFonts w:cstheme="minorHAnsi"/>
              </w:rPr>
              <w:t>84. člen</w:t>
            </w:r>
          </w:p>
        </w:tc>
        <w:tc>
          <w:tcPr>
            <w:tcW w:w="1703" w:type="dxa"/>
          </w:tcPr>
          <w:p w14:paraId="6BB64610" w14:textId="77777777" w:rsidR="00026D5B" w:rsidRPr="00F239B1" w:rsidRDefault="00026D5B" w:rsidP="00290D8B">
            <w:pPr>
              <w:ind w:left="171"/>
              <w:rPr>
                <w:rFonts w:cstheme="minorHAnsi"/>
              </w:rPr>
            </w:pPr>
          </w:p>
        </w:tc>
        <w:tc>
          <w:tcPr>
            <w:tcW w:w="5810" w:type="dxa"/>
          </w:tcPr>
          <w:p w14:paraId="4AAAD178" w14:textId="77777777" w:rsidR="00026D5B" w:rsidRPr="00F239B1" w:rsidRDefault="00026D5B" w:rsidP="00290D8B">
            <w:pPr>
              <w:ind w:left="171" w:right="165"/>
              <w:rPr>
                <w:rFonts w:cstheme="minorHAnsi"/>
              </w:rPr>
            </w:pPr>
            <w:r w:rsidRPr="00F239B1">
              <w:rPr>
                <w:rFonts w:cstheme="minorHAnsi"/>
              </w:rPr>
              <w:t>Določba o objavi in začetku veljavnosti odloka.</w:t>
            </w:r>
          </w:p>
        </w:tc>
      </w:tr>
    </w:tbl>
    <w:p w14:paraId="61A571A5" w14:textId="77777777" w:rsidR="0022391F" w:rsidRPr="00757B08" w:rsidRDefault="0022391F" w:rsidP="009060A3">
      <w:pPr>
        <w:rPr>
          <w:b/>
          <w:bCs w:val="0"/>
        </w:rPr>
      </w:pPr>
    </w:p>
    <w:p w14:paraId="22470CA8" w14:textId="1F2F754A" w:rsidR="00D1432B" w:rsidRPr="00D43E89" w:rsidRDefault="003E40E7" w:rsidP="0029344C">
      <w:pPr>
        <w:pStyle w:val="Naslov1"/>
        <w:numPr>
          <w:ilvl w:val="0"/>
          <w:numId w:val="20"/>
        </w:numPr>
      </w:pPr>
      <w:r w:rsidRPr="00D43E89">
        <w:t>Postopek</w:t>
      </w:r>
    </w:p>
    <w:p w14:paraId="4C379A86" w14:textId="77777777" w:rsidR="00D43E89" w:rsidRDefault="006C4511" w:rsidP="006C4511">
      <w:pPr>
        <w:autoSpaceDE w:val="0"/>
        <w:autoSpaceDN w:val="0"/>
        <w:adjustRightInd w:val="0"/>
        <w:spacing w:after="0"/>
        <w:rPr>
          <w:rFonts w:cstheme="minorHAnsi"/>
        </w:rPr>
      </w:pPr>
      <w:r w:rsidRPr="006354F4">
        <w:rPr>
          <w:rFonts w:cstheme="minorHAnsi"/>
        </w:rPr>
        <w:t>Vsebina sprememb narekuje, da občina, skladno z Zakonom o prostorskem načrtovanju (Uradni list RS, št. </w:t>
      </w:r>
      <w:hyperlink r:id="rId14" w:tgtFrame="_blank" w:tooltip="Zakon o prostorskem načrtovanju (ZPNačrt)" w:history="1">
        <w:r w:rsidRPr="006354F4">
          <w:rPr>
            <w:rStyle w:val="Hiperpovezava"/>
            <w:rFonts w:cstheme="minorHAnsi"/>
          </w:rPr>
          <w:t>33/07</w:t>
        </w:r>
      </w:hyperlink>
      <w:r w:rsidRPr="006354F4">
        <w:rPr>
          <w:rFonts w:cstheme="minorHAnsi"/>
        </w:rPr>
        <w:t>, </w:t>
      </w:r>
      <w:hyperlink r:id="rId15" w:tgtFrame="_blank" w:tooltip="Zakon o spremembah in dopolnitvah Zakona o varstvu okolja" w:history="1">
        <w:r w:rsidRPr="006354F4">
          <w:rPr>
            <w:rStyle w:val="Hiperpovezava"/>
            <w:rFonts w:cstheme="minorHAnsi"/>
          </w:rPr>
          <w:t>70/08</w:t>
        </w:r>
      </w:hyperlink>
      <w:r w:rsidRPr="006354F4">
        <w:rPr>
          <w:rFonts w:cstheme="minorHAnsi"/>
        </w:rPr>
        <w:t> – ZVO</w:t>
      </w:r>
      <w:r>
        <w:rPr>
          <w:rFonts w:cstheme="minorHAnsi"/>
        </w:rPr>
        <w:t>-</w:t>
      </w:r>
      <w:r w:rsidRPr="006354F4">
        <w:rPr>
          <w:rFonts w:cstheme="minorHAnsi"/>
        </w:rPr>
        <w:t>1B, </w:t>
      </w:r>
      <w:hyperlink r:id="rId16" w:tgtFrame="_blank" w:tooltip="Zakon o spremembah in dopolnitvah Zakona o prostorskem načrtovanju" w:history="1">
        <w:r w:rsidRPr="006354F4">
          <w:rPr>
            <w:rStyle w:val="Hiperpovezava"/>
            <w:rFonts w:cstheme="minorHAnsi"/>
          </w:rPr>
          <w:t>108/09</w:t>
        </w:r>
      </w:hyperlink>
      <w:r w:rsidRPr="006354F4">
        <w:rPr>
          <w:rFonts w:cstheme="minorHAnsi"/>
        </w:rPr>
        <w:t>, </w:t>
      </w:r>
      <w:hyperlink r:id="rId17" w:tgtFrame="_blank" w:tooltip="Zakon o umeščanju prostorskih ureditev državnega pomena v prostor" w:history="1">
        <w:r w:rsidRPr="006354F4">
          <w:rPr>
            <w:rStyle w:val="Hiperpovezava"/>
            <w:rFonts w:cstheme="minorHAnsi"/>
          </w:rPr>
          <w:t>80/10</w:t>
        </w:r>
      </w:hyperlink>
      <w:r w:rsidRPr="006354F4">
        <w:rPr>
          <w:rFonts w:cstheme="minorHAnsi"/>
        </w:rPr>
        <w:t> – ZUPUDPP,</w:t>
      </w:r>
    </w:p>
    <w:p w14:paraId="28DC287C" w14:textId="7470D99A" w:rsidR="006C4511" w:rsidRPr="006354F4" w:rsidRDefault="006C4511" w:rsidP="00D43E89">
      <w:pPr>
        <w:autoSpaceDE w:val="0"/>
        <w:autoSpaceDN w:val="0"/>
        <w:adjustRightInd w:val="0"/>
        <w:spacing w:after="0"/>
        <w:rPr>
          <w:rFonts w:cstheme="minorHAnsi"/>
        </w:rPr>
      </w:pPr>
      <w:r w:rsidRPr="006354F4">
        <w:rPr>
          <w:rFonts w:cstheme="minorHAnsi"/>
        </w:rPr>
        <w:lastRenderedPageBreak/>
        <w:t> </w:t>
      </w:r>
      <w:hyperlink r:id="rId18" w:tgtFrame="_blank" w:tooltip="Zakon o spremembah in dopolnitvah Zakona o kmetijskih zemljiščih" w:history="1">
        <w:r w:rsidRPr="006354F4">
          <w:rPr>
            <w:rStyle w:val="Hiperpovezava"/>
            <w:rFonts w:cstheme="minorHAnsi"/>
          </w:rPr>
          <w:t>43/11</w:t>
        </w:r>
      </w:hyperlink>
      <w:r w:rsidRPr="006354F4">
        <w:rPr>
          <w:rFonts w:cstheme="minorHAnsi"/>
        </w:rPr>
        <w:t> – ZKZ-C, </w:t>
      </w:r>
      <w:hyperlink r:id="rId19" w:tgtFrame="_blank" w:tooltip="Zakon o spremembah in dopolnitvah Zakona o prostorskem načrtovanju" w:history="1">
        <w:r w:rsidRPr="006354F4">
          <w:rPr>
            <w:rStyle w:val="Hiperpovezava"/>
            <w:rFonts w:cstheme="minorHAnsi"/>
          </w:rPr>
          <w:t>57/12</w:t>
        </w:r>
      </w:hyperlink>
      <w:r w:rsidRPr="006354F4">
        <w:rPr>
          <w:rFonts w:cstheme="minorHAnsi"/>
        </w:rPr>
        <w:t>, </w:t>
      </w:r>
      <w:hyperlink r:id="rId20" w:tgtFrame="_blank" w:tooltip="Zakon o spremembah in dopolnitvah Zakona o umeščanju prostorskih ureditev državnega pomena v prostor" w:history="1">
        <w:r w:rsidRPr="006354F4">
          <w:rPr>
            <w:rStyle w:val="Hiperpovezava"/>
            <w:rFonts w:cstheme="minorHAnsi"/>
          </w:rPr>
          <w:t>57/12</w:t>
        </w:r>
      </w:hyperlink>
      <w:r w:rsidRPr="006354F4">
        <w:rPr>
          <w:rFonts w:cstheme="minorHAnsi"/>
        </w:rPr>
        <w:t> – ZUPUDPP-A, </w:t>
      </w:r>
      <w:hyperlink r:id="rId21" w:tgtFrame="_blank" w:tooltip="Zakon o spremembah in dopolnitvah Zakona o spremembah in dopolnitvah Zakona o prostorskem načrtovanju" w:history="1">
        <w:r w:rsidRPr="006354F4">
          <w:rPr>
            <w:rStyle w:val="Hiperpovezava"/>
            <w:rFonts w:cstheme="minorHAnsi"/>
          </w:rPr>
          <w:t>109/12</w:t>
        </w:r>
      </w:hyperlink>
      <w:r w:rsidRPr="006354F4">
        <w:rPr>
          <w:rFonts w:cstheme="minorHAnsi"/>
        </w:rPr>
        <w:t>, </w:t>
      </w:r>
      <w:hyperlink r:id="rId22" w:tgtFrame="_blank" w:tooltip="Odločba o ugotovitvi, da je 29. člen Zakona o spremembah in dopolnitvah Zakona o prostorskem načrtovanju v neskladju z Ustavo in o ugotovitvi, da Poslovnik Državnega zbora ni v neskladju z Ustavo" w:history="1">
        <w:r w:rsidRPr="006354F4">
          <w:rPr>
            <w:rStyle w:val="Hiperpovezava"/>
            <w:rFonts w:cstheme="minorHAnsi"/>
          </w:rPr>
          <w:t>76/14</w:t>
        </w:r>
      </w:hyperlink>
      <w:r w:rsidRPr="006354F4">
        <w:rPr>
          <w:rFonts w:cstheme="minorHAnsi"/>
        </w:rPr>
        <w:t> – odl. US, </w:t>
      </w:r>
      <w:hyperlink r:id="rId23" w:tgtFrame="_blank" w:tooltip="Zakon o ukrepih za uravnoteženje javnih financ občin" w:history="1">
        <w:r w:rsidRPr="006354F4">
          <w:rPr>
            <w:rStyle w:val="Hiperpovezava"/>
            <w:rFonts w:cstheme="minorHAnsi"/>
          </w:rPr>
          <w:t>14/15</w:t>
        </w:r>
      </w:hyperlink>
      <w:r w:rsidRPr="006354F4">
        <w:rPr>
          <w:rFonts w:cstheme="minorHAnsi"/>
        </w:rPr>
        <w:t> – ZUUJFO, </w:t>
      </w:r>
      <w:hyperlink r:id="rId24" w:tgtFrame="_blank" w:tooltip="Zakon o urejanju prostora" w:history="1">
        <w:r w:rsidRPr="006354F4">
          <w:rPr>
            <w:rStyle w:val="Hiperpovezava"/>
            <w:rFonts w:cstheme="minorHAnsi"/>
          </w:rPr>
          <w:t>61/17</w:t>
        </w:r>
      </w:hyperlink>
      <w:r w:rsidRPr="006354F4">
        <w:rPr>
          <w:rFonts w:cstheme="minorHAnsi"/>
        </w:rPr>
        <w:t> – ZUreP-2 in </w:t>
      </w:r>
      <w:hyperlink r:id="rId25" w:tgtFrame="_blank" w:tooltip="Zakon o urejanju prostora" w:history="1">
        <w:r w:rsidRPr="006354F4">
          <w:rPr>
            <w:rStyle w:val="Hiperpovezava"/>
            <w:rFonts w:cstheme="minorHAnsi"/>
          </w:rPr>
          <w:t>199/21</w:t>
        </w:r>
      </w:hyperlink>
      <w:r w:rsidRPr="006354F4">
        <w:rPr>
          <w:rFonts w:cstheme="minorHAnsi"/>
        </w:rPr>
        <w:t> – ZUreP-3; v nadaljevanju: ZPNačrt) spremembe in dopolnitve SD7 OPN sprejme po rednem postopku sprememb in dopolnitev odloka.</w:t>
      </w:r>
    </w:p>
    <w:p w14:paraId="3683CF34" w14:textId="77777777" w:rsidR="00D43E89" w:rsidRDefault="00D43E89" w:rsidP="006C4511">
      <w:pPr>
        <w:autoSpaceDE w:val="0"/>
        <w:autoSpaceDN w:val="0"/>
        <w:adjustRightInd w:val="0"/>
        <w:rPr>
          <w:rFonts w:cstheme="minorHAnsi"/>
        </w:rPr>
      </w:pPr>
    </w:p>
    <w:p w14:paraId="2109F697" w14:textId="26C6DFC8" w:rsidR="006C4511" w:rsidRPr="006354F4" w:rsidRDefault="006C4511" w:rsidP="00D94451">
      <w:pPr>
        <w:autoSpaceDE w:val="0"/>
        <w:autoSpaceDN w:val="0"/>
        <w:adjustRightInd w:val="0"/>
        <w:jc w:val="left"/>
        <w:rPr>
          <w:rFonts w:cstheme="minorHAnsi"/>
        </w:rPr>
      </w:pPr>
      <w:r w:rsidRPr="006354F4">
        <w:rPr>
          <w:rFonts w:cstheme="minorHAnsi"/>
        </w:rPr>
        <w:t>Na podlagi določil ZPNačrt je bil, predvsem z namenom uresničevanja razvojnih pobud, z objavo v Uradnem listu RS, št. 56/17 dne 13. 10. 2017 sprejet Sklep o začetku priprave sprememb in dopolnitev št. 7 Občinskega prostorskega načrta Mestne občine Nova Gorica (v nadaljevanju: SD7 OPN).</w:t>
      </w:r>
    </w:p>
    <w:p w14:paraId="1645B4A8" w14:textId="77777777" w:rsidR="006C4511" w:rsidRPr="006354F4" w:rsidRDefault="006C4511" w:rsidP="00D94451">
      <w:pPr>
        <w:jc w:val="left"/>
        <w:rPr>
          <w:rFonts w:cstheme="minorHAnsi"/>
        </w:rPr>
      </w:pPr>
      <w:r w:rsidRPr="006354F4">
        <w:rPr>
          <w:rFonts w:cstheme="minorHAnsi"/>
        </w:rPr>
        <w:t>V postopek SD7 OPN so bile na podlagi potrjenih strokovnih stališč vključene pobude fizičnih ali pravnih oseb razvojnega značaja in se nanašajo na področje turizma, kmetijstva ali drugega gospodarstva. Večina pobud se odraža tudi v določitvi namenske rabe prostora, nekatere se nanašajo le na tekstualne prostorske izvedbene pogoje. Podanih je bilo tudi 15 občinskih pobud, predvsem za vnos objektov GJI v karte namenske rabe prostora (zbirna mesta za odpadke, vodohrani).</w:t>
      </w:r>
    </w:p>
    <w:p w14:paraId="0B30548C" w14:textId="77777777" w:rsidR="006C4511" w:rsidRPr="006354F4" w:rsidRDefault="006C4511" w:rsidP="00D94451">
      <w:pPr>
        <w:autoSpaceDE w:val="0"/>
        <w:autoSpaceDN w:val="0"/>
        <w:adjustRightInd w:val="0"/>
        <w:jc w:val="left"/>
        <w:rPr>
          <w:rFonts w:cstheme="minorHAnsi"/>
        </w:rPr>
      </w:pPr>
      <w:r w:rsidRPr="006354F4">
        <w:rPr>
          <w:rFonts w:cstheme="minorHAnsi"/>
        </w:rPr>
        <w:t>Med pobudami</w:t>
      </w:r>
      <w:r>
        <w:rPr>
          <w:rFonts w:cstheme="minorHAnsi"/>
        </w:rPr>
        <w:t xml:space="preserve"> so izstopale </w:t>
      </w:r>
      <w:r w:rsidRPr="006354F4">
        <w:rPr>
          <w:rFonts w:cstheme="minorHAnsi"/>
        </w:rPr>
        <w:t>pobude, ki se nanašajo na razvoj turizma, predvsem pobude za vzpostavitev novih kampov. Izrecno je izpostavljena oblika kampiranja – glampingi (14 pobud). Zaradi razmaha navedene, za investitorje privlačne dejavnosti, ki se večinoma pojavlja v odprtem prostoru, se je pristopilo k izdelavi posebne strokovne podlage, ki služi umeščanju kampov v prostor (Strokovna podlaga Umestitev kampov v prostor Mestne občine Nova Gorica, Locus d.o.o., november 2022). Pobude vsebinsko obsegajo tako vzpostavitve novih kampov, kampov z glampingom, razpršene hotele in druge oblike sorodnih namestitvenih oblik. Na podlagi strokovne podlage so v odloku oblikovana enovita pravila za umeščanje te dejavnosti z vidika določanja namenske rabe, komunalne opreme, oblikovanja in drugih izvedbenih pogojev, tako v tekstualni kot grafični obliki.</w:t>
      </w:r>
    </w:p>
    <w:p w14:paraId="58282539" w14:textId="77777777" w:rsidR="006C4511" w:rsidRDefault="006C4511" w:rsidP="00D94451">
      <w:pPr>
        <w:autoSpaceDE w:val="0"/>
        <w:autoSpaceDN w:val="0"/>
        <w:adjustRightInd w:val="0"/>
        <w:spacing w:after="0"/>
        <w:jc w:val="left"/>
        <w:rPr>
          <w:rFonts w:cstheme="minorHAnsi"/>
        </w:rPr>
      </w:pPr>
      <w:r w:rsidRPr="006354F4">
        <w:rPr>
          <w:rFonts w:cstheme="minorHAnsi"/>
        </w:rPr>
        <w:t>Na podlagi sklepa in sprejetih stališč do pobud je bil pripravljen osnutek SD7 OPN in dne 13. 4. 2021 poslan v pridobitev prvega mnenja nosilcem urejanja prostora (v nadaljevanju: NUP). V postopku priprave SD7 OPN sodelujejo naslednji nosilci urejanja prostora in drugi udeleženci v postopku</w:t>
      </w:r>
      <w:r>
        <w:rPr>
          <w:rFonts w:cstheme="minorHAnsi"/>
        </w:rPr>
        <w:t>*</w:t>
      </w:r>
      <w:r w:rsidRPr="006354F4">
        <w:rPr>
          <w:rFonts w:cstheme="minorHAnsi"/>
        </w:rPr>
        <w:t xml:space="preserve">: </w:t>
      </w:r>
    </w:p>
    <w:p w14:paraId="1454C4E8" w14:textId="77777777" w:rsidR="007173A5" w:rsidRPr="006354F4" w:rsidRDefault="007173A5" w:rsidP="00D94451">
      <w:pPr>
        <w:pStyle w:val="Odstavekseznama"/>
        <w:numPr>
          <w:ilvl w:val="0"/>
          <w:numId w:val="12"/>
        </w:numPr>
        <w:autoSpaceDE w:val="0"/>
        <w:autoSpaceDN w:val="0"/>
        <w:adjustRightInd w:val="0"/>
        <w:spacing w:after="0" w:line="240" w:lineRule="auto"/>
        <w:ind w:left="1276" w:right="0" w:hanging="567"/>
        <w:jc w:val="left"/>
        <w:rPr>
          <w:rFonts w:cstheme="minorHAnsi"/>
        </w:rPr>
      </w:pPr>
      <w:r w:rsidRPr="006354F4">
        <w:rPr>
          <w:rFonts w:cstheme="minorHAnsi"/>
        </w:rPr>
        <w:t xml:space="preserve">Ministrstvo za okolje in prostor, Direktorat za prostor, graditev in stanovanja, Dunajska cesta 48, 1000 Ljubljana, </w:t>
      </w:r>
    </w:p>
    <w:p w14:paraId="1312A6D1" w14:textId="77777777" w:rsidR="007173A5" w:rsidRPr="006354F4" w:rsidRDefault="007173A5" w:rsidP="00D94451">
      <w:pPr>
        <w:pStyle w:val="Odstavekseznama"/>
        <w:numPr>
          <w:ilvl w:val="0"/>
          <w:numId w:val="12"/>
        </w:numPr>
        <w:autoSpaceDE w:val="0"/>
        <w:autoSpaceDN w:val="0"/>
        <w:adjustRightInd w:val="0"/>
        <w:spacing w:after="0" w:line="240" w:lineRule="auto"/>
        <w:ind w:left="1276" w:right="0" w:hanging="567"/>
        <w:jc w:val="left"/>
        <w:rPr>
          <w:rFonts w:cstheme="minorHAnsi"/>
        </w:rPr>
      </w:pPr>
      <w:r w:rsidRPr="006354F4">
        <w:rPr>
          <w:rFonts w:cstheme="minorHAnsi"/>
        </w:rPr>
        <w:t>Ministrstvo za okolje in prostor, Direkcija RS za vode, Hajdrihova ulica 28 c, 1000 Ljubljana,</w:t>
      </w:r>
    </w:p>
    <w:p w14:paraId="4D964BAF" w14:textId="77777777" w:rsidR="007173A5" w:rsidRPr="006354F4" w:rsidRDefault="007173A5" w:rsidP="00D94451">
      <w:pPr>
        <w:pStyle w:val="Odstavekseznama"/>
        <w:numPr>
          <w:ilvl w:val="0"/>
          <w:numId w:val="12"/>
        </w:numPr>
        <w:autoSpaceDE w:val="0"/>
        <w:autoSpaceDN w:val="0"/>
        <w:adjustRightInd w:val="0"/>
        <w:spacing w:after="0" w:line="240" w:lineRule="auto"/>
        <w:ind w:left="1276" w:right="0" w:hanging="567"/>
        <w:jc w:val="left"/>
        <w:rPr>
          <w:rFonts w:cstheme="minorHAnsi"/>
        </w:rPr>
      </w:pPr>
      <w:r w:rsidRPr="006354F4">
        <w:rPr>
          <w:rFonts w:cstheme="minorHAnsi"/>
        </w:rPr>
        <w:t xml:space="preserve">Ministrstvo za kmetijstvo, gozdarstvo in prehrano, Direktorat za kmetijstvo, Dunajska cesta 22, 1000 Ljubljana, </w:t>
      </w:r>
    </w:p>
    <w:p w14:paraId="19E2556A" w14:textId="77777777" w:rsidR="007173A5" w:rsidRPr="006354F4" w:rsidRDefault="007173A5" w:rsidP="00D94451">
      <w:pPr>
        <w:pStyle w:val="Odstavekseznama"/>
        <w:numPr>
          <w:ilvl w:val="0"/>
          <w:numId w:val="12"/>
        </w:numPr>
        <w:autoSpaceDE w:val="0"/>
        <w:autoSpaceDN w:val="0"/>
        <w:adjustRightInd w:val="0"/>
        <w:spacing w:after="0" w:line="240" w:lineRule="auto"/>
        <w:ind w:left="1276" w:right="0" w:hanging="567"/>
        <w:jc w:val="left"/>
        <w:rPr>
          <w:rFonts w:cstheme="minorHAnsi"/>
        </w:rPr>
      </w:pPr>
      <w:r w:rsidRPr="006354F4">
        <w:rPr>
          <w:rFonts w:cstheme="minorHAnsi"/>
        </w:rPr>
        <w:t xml:space="preserve">Ministrstvo za kmetijstvo, gozdarstvo in prehrano, Direktorat za gozdarstvo, lovstvo in ribištvo, Dunajska cesta 22, 1000 Ljubljana, </w:t>
      </w:r>
    </w:p>
    <w:p w14:paraId="1AF37902" w14:textId="77777777" w:rsidR="007173A5" w:rsidRPr="006354F4" w:rsidRDefault="007173A5" w:rsidP="00D94451">
      <w:pPr>
        <w:pStyle w:val="Odstavekseznama"/>
        <w:numPr>
          <w:ilvl w:val="0"/>
          <w:numId w:val="12"/>
        </w:numPr>
        <w:autoSpaceDE w:val="0"/>
        <w:autoSpaceDN w:val="0"/>
        <w:adjustRightInd w:val="0"/>
        <w:spacing w:after="0" w:line="240" w:lineRule="auto"/>
        <w:ind w:left="1276" w:right="0" w:hanging="567"/>
        <w:jc w:val="left"/>
        <w:rPr>
          <w:rFonts w:cstheme="minorHAnsi"/>
        </w:rPr>
      </w:pPr>
      <w:r w:rsidRPr="006354F4">
        <w:rPr>
          <w:rFonts w:cstheme="minorHAnsi"/>
        </w:rPr>
        <w:t>Zavod za gozdove Slovenije, OE Tolmin, Tumov drevored 17, 5220 Tolmin,</w:t>
      </w:r>
    </w:p>
    <w:p w14:paraId="09760FBB" w14:textId="77777777" w:rsidR="007173A5" w:rsidRPr="006354F4" w:rsidRDefault="007173A5" w:rsidP="00D94451">
      <w:pPr>
        <w:pStyle w:val="Odstavekseznama"/>
        <w:numPr>
          <w:ilvl w:val="0"/>
          <w:numId w:val="12"/>
        </w:numPr>
        <w:autoSpaceDE w:val="0"/>
        <w:autoSpaceDN w:val="0"/>
        <w:adjustRightInd w:val="0"/>
        <w:spacing w:after="0" w:line="240" w:lineRule="auto"/>
        <w:ind w:left="1276" w:right="0" w:hanging="567"/>
        <w:jc w:val="left"/>
        <w:rPr>
          <w:rFonts w:cstheme="minorHAnsi"/>
        </w:rPr>
      </w:pPr>
      <w:r w:rsidRPr="006354F4">
        <w:rPr>
          <w:rFonts w:cstheme="minorHAnsi"/>
        </w:rPr>
        <w:t xml:space="preserve">Ministrstvo za kulturo, Direktorat za kulturno dediščino, Maistrova 10, 1000 Ljubljana, </w:t>
      </w:r>
    </w:p>
    <w:p w14:paraId="11462FC9" w14:textId="77777777" w:rsidR="007173A5" w:rsidRPr="006354F4" w:rsidRDefault="007173A5" w:rsidP="00D94451">
      <w:pPr>
        <w:pStyle w:val="Odstavekseznama"/>
        <w:numPr>
          <w:ilvl w:val="0"/>
          <w:numId w:val="12"/>
        </w:numPr>
        <w:autoSpaceDE w:val="0"/>
        <w:autoSpaceDN w:val="0"/>
        <w:adjustRightInd w:val="0"/>
        <w:spacing w:after="0" w:line="240" w:lineRule="auto"/>
        <w:ind w:left="1276" w:right="0" w:hanging="567"/>
        <w:jc w:val="left"/>
        <w:rPr>
          <w:rFonts w:cstheme="minorHAnsi"/>
        </w:rPr>
      </w:pPr>
      <w:r w:rsidRPr="006354F4">
        <w:rPr>
          <w:rFonts w:cstheme="minorHAnsi"/>
        </w:rPr>
        <w:t xml:space="preserve">Zavod RS za varstvo narave, OE Nova Gorica, Delpinova 16, 5000 Nova Gorica, </w:t>
      </w:r>
    </w:p>
    <w:p w14:paraId="4CA3E3FF" w14:textId="77777777" w:rsidR="007173A5" w:rsidRPr="006354F4" w:rsidRDefault="007173A5" w:rsidP="00D94451">
      <w:pPr>
        <w:pStyle w:val="Odstavekseznama"/>
        <w:numPr>
          <w:ilvl w:val="0"/>
          <w:numId w:val="12"/>
        </w:numPr>
        <w:autoSpaceDE w:val="0"/>
        <w:autoSpaceDN w:val="0"/>
        <w:adjustRightInd w:val="0"/>
        <w:spacing w:after="0" w:line="240" w:lineRule="auto"/>
        <w:ind w:left="1276" w:right="0" w:hanging="567"/>
        <w:jc w:val="left"/>
        <w:rPr>
          <w:rFonts w:cstheme="minorHAnsi"/>
        </w:rPr>
      </w:pPr>
      <w:r w:rsidRPr="006354F4">
        <w:rPr>
          <w:rFonts w:cstheme="minorHAnsi"/>
        </w:rPr>
        <w:t xml:space="preserve">Direkcija RS za vode, Mariborska cesta 88, 3000 Celje, </w:t>
      </w:r>
    </w:p>
    <w:p w14:paraId="466E8D65" w14:textId="77777777" w:rsidR="007173A5" w:rsidRPr="006354F4" w:rsidRDefault="007173A5" w:rsidP="00D94451">
      <w:pPr>
        <w:pStyle w:val="Odstavekseznama"/>
        <w:numPr>
          <w:ilvl w:val="0"/>
          <w:numId w:val="12"/>
        </w:numPr>
        <w:autoSpaceDE w:val="0"/>
        <w:autoSpaceDN w:val="0"/>
        <w:adjustRightInd w:val="0"/>
        <w:spacing w:after="0" w:line="240" w:lineRule="auto"/>
        <w:ind w:left="1276" w:right="0" w:hanging="567"/>
        <w:jc w:val="left"/>
        <w:rPr>
          <w:rFonts w:cstheme="minorHAnsi"/>
        </w:rPr>
      </w:pPr>
      <w:r w:rsidRPr="006354F4">
        <w:rPr>
          <w:rFonts w:cstheme="minorHAnsi"/>
        </w:rPr>
        <w:lastRenderedPageBreak/>
        <w:t xml:space="preserve">Ministrstvo za infrastrukturo, Direktorat za energijo, Langusova 4, 1535 Ljubljana, </w:t>
      </w:r>
    </w:p>
    <w:p w14:paraId="1A333AC7" w14:textId="77777777" w:rsidR="007173A5" w:rsidRPr="006354F4" w:rsidRDefault="007173A5" w:rsidP="00D94451">
      <w:pPr>
        <w:pStyle w:val="Odstavekseznama"/>
        <w:numPr>
          <w:ilvl w:val="0"/>
          <w:numId w:val="12"/>
        </w:numPr>
        <w:autoSpaceDE w:val="0"/>
        <w:autoSpaceDN w:val="0"/>
        <w:adjustRightInd w:val="0"/>
        <w:spacing w:after="0" w:line="240" w:lineRule="auto"/>
        <w:ind w:left="1276" w:right="0" w:hanging="567"/>
        <w:jc w:val="left"/>
        <w:rPr>
          <w:rFonts w:cstheme="minorHAnsi"/>
        </w:rPr>
      </w:pPr>
      <w:r w:rsidRPr="006354F4">
        <w:rPr>
          <w:rFonts w:cstheme="minorHAnsi"/>
        </w:rPr>
        <w:t xml:space="preserve">Ministrstvo za infrastrukturo, Direktorat za kopenski promet, Langusova 4, 1535 Ljubljana, </w:t>
      </w:r>
    </w:p>
    <w:p w14:paraId="3A62AB07" w14:textId="77777777" w:rsidR="007173A5" w:rsidRPr="006354F4" w:rsidRDefault="007173A5" w:rsidP="00D94451">
      <w:pPr>
        <w:pStyle w:val="Odstavekseznama"/>
        <w:numPr>
          <w:ilvl w:val="0"/>
          <w:numId w:val="12"/>
        </w:numPr>
        <w:autoSpaceDE w:val="0"/>
        <w:autoSpaceDN w:val="0"/>
        <w:adjustRightInd w:val="0"/>
        <w:spacing w:after="0" w:line="240" w:lineRule="auto"/>
        <w:ind w:left="1276" w:right="0" w:hanging="567"/>
        <w:jc w:val="left"/>
        <w:rPr>
          <w:rFonts w:cstheme="minorHAnsi"/>
        </w:rPr>
      </w:pPr>
      <w:r w:rsidRPr="006354F4">
        <w:rPr>
          <w:rFonts w:cstheme="minorHAnsi"/>
        </w:rPr>
        <w:t xml:space="preserve">Ministrstvo za infrastrukturo, Služba za trajnostno in prometno politiko, Langusova 4, 1535 Ljubljana, </w:t>
      </w:r>
    </w:p>
    <w:p w14:paraId="7647F100" w14:textId="77777777" w:rsidR="007173A5" w:rsidRPr="006354F4" w:rsidRDefault="007173A5" w:rsidP="00D94451">
      <w:pPr>
        <w:pStyle w:val="Odstavekseznama"/>
        <w:numPr>
          <w:ilvl w:val="0"/>
          <w:numId w:val="12"/>
        </w:numPr>
        <w:autoSpaceDE w:val="0"/>
        <w:autoSpaceDN w:val="0"/>
        <w:adjustRightInd w:val="0"/>
        <w:spacing w:after="0" w:line="240" w:lineRule="auto"/>
        <w:ind w:left="1276" w:right="0" w:hanging="567"/>
        <w:jc w:val="left"/>
        <w:rPr>
          <w:rFonts w:cstheme="minorHAnsi"/>
        </w:rPr>
      </w:pPr>
      <w:r w:rsidRPr="006354F4">
        <w:rPr>
          <w:rFonts w:cstheme="minorHAnsi"/>
        </w:rPr>
        <w:t>Ministrstvo za delo, družino, socialne zadeve in enake možnosti, Direktorat za invalide, vojne veterane in žrtve vojnega nasilja, Kotnikova ulica 28, 1000 Ljubljana,</w:t>
      </w:r>
    </w:p>
    <w:p w14:paraId="40F57573" w14:textId="77777777" w:rsidR="007173A5" w:rsidRPr="006354F4" w:rsidRDefault="007173A5" w:rsidP="00D94451">
      <w:pPr>
        <w:pStyle w:val="Odstavekseznama"/>
        <w:numPr>
          <w:ilvl w:val="0"/>
          <w:numId w:val="12"/>
        </w:numPr>
        <w:autoSpaceDE w:val="0"/>
        <w:autoSpaceDN w:val="0"/>
        <w:adjustRightInd w:val="0"/>
        <w:spacing w:after="0" w:line="240" w:lineRule="auto"/>
        <w:ind w:left="1276" w:right="0" w:hanging="567"/>
        <w:jc w:val="left"/>
        <w:rPr>
          <w:rFonts w:cstheme="minorHAnsi"/>
        </w:rPr>
      </w:pPr>
      <w:r w:rsidRPr="006354F4">
        <w:rPr>
          <w:rFonts w:cstheme="minorHAnsi"/>
        </w:rPr>
        <w:t>Ministrstvo za gospodarski razvoj in tehnologijo, Služba za varnost, obrambne zadeve in blagovne rezerve, Kotnikova 5, 1000 Ljubljana,</w:t>
      </w:r>
    </w:p>
    <w:p w14:paraId="23A79EB6" w14:textId="77777777" w:rsidR="007173A5" w:rsidRPr="006354F4" w:rsidRDefault="007173A5" w:rsidP="00D94451">
      <w:pPr>
        <w:pStyle w:val="Odstavekseznama"/>
        <w:numPr>
          <w:ilvl w:val="0"/>
          <w:numId w:val="12"/>
        </w:numPr>
        <w:autoSpaceDE w:val="0"/>
        <w:autoSpaceDN w:val="0"/>
        <w:adjustRightInd w:val="0"/>
        <w:spacing w:after="0" w:line="240" w:lineRule="auto"/>
        <w:ind w:left="1276" w:right="0" w:hanging="567"/>
        <w:jc w:val="left"/>
        <w:rPr>
          <w:rFonts w:cstheme="minorHAnsi"/>
        </w:rPr>
      </w:pPr>
      <w:r w:rsidRPr="006354F4">
        <w:rPr>
          <w:rFonts w:cstheme="minorHAnsi"/>
        </w:rPr>
        <w:t xml:space="preserve">DARS d.d., Ulica XIV. divizije 4, 1000 Ljubljana, </w:t>
      </w:r>
    </w:p>
    <w:p w14:paraId="70806F1A" w14:textId="77777777" w:rsidR="007173A5" w:rsidRPr="006354F4" w:rsidRDefault="007173A5" w:rsidP="00D94451">
      <w:pPr>
        <w:pStyle w:val="Odstavekseznama"/>
        <w:numPr>
          <w:ilvl w:val="0"/>
          <w:numId w:val="12"/>
        </w:numPr>
        <w:autoSpaceDE w:val="0"/>
        <w:autoSpaceDN w:val="0"/>
        <w:adjustRightInd w:val="0"/>
        <w:spacing w:after="0" w:line="240" w:lineRule="auto"/>
        <w:ind w:left="1276" w:right="0" w:hanging="567"/>
        <w:jc w:val="left"/>
        <w:rPr>
          <w:rFonts w:cstheme="minorHAnsi"/>
        </w:rPr>
      </w:pPr>
      <w:r w:rsidRPr="006354F4">
        <w:rPr>
          <w:rFonts w:cstheme="minorHAnsi"/>
        </w:rPr>
        <w:t xml:space="preserve">Ministrstvo za obrambo, Direktorat za logistiko, Vojkova cesta 59, 1000 Ljubljana, </w:t>
      </w:r>
    </w:p>
    <w:p w14:paraId="0A332120" w14:textId="77777777" w:rsidR="007173A5" w:rsidRPr="006354F4" w:rsidRDefault="007173A5" w:rsidP="00D94451">
      <w:pPr>
        <w:pStyle w:val="Odstavekseznama"/>
        <w:numPr>
          <w:ilvl w:val="0"/>
          <w:numId w:val="12"/>
        </w:numPr>
        <w:autoSpaceDE w:val="0"/>
        <w:autoSpaceDN w:val="0"/>
        <w:adjustRightInd w:val="0"/>
        <w:spacing w:after="0" w:line="240" w:lineRule="auto"/>
        <w:ind w:left="1276" w:right="0" w:hanging="567"/>
        <w:jc w:val="left"/>
        <w:rPr>
          <w:rFonts w:cstheme="minorHAnsi"/>
        </w:rPr>
      </w:pPr>
      <w:r w:rsidRPr="006354F4">
        <w:rPr>
          <w:rFonts w:cstheme="minorHAnsi"/>
        </w:rPr>
        <w:t>Ministrstvo za obrambo, Uprava RS za zaščito in reševanje, Vojkova cesta 61, 1000 Ljubljana ,</w:t>
      </w:r>
    </w:p>
    <w:p w14:paraId="668A72A8" w14:textId="77777777" w:rsidR="007173A5" w:rsidRPr="006354F4" w:rsidRDefault="007173A5" w:rsidP="00D94451">
      <w:pPr>
        <w:pStyle w:val="Odstavekseznama"/>
        <w:numPr>
          <w:ilvl w:val="0"/>
          <w:numId w:val="12"/>
        </w:numPr>
        <w:autoSpaceDE w:val="0"/>
        <w:autoSpaceDN w:val="0"/>
        <w:adjustRightInd w:val="0"/>
        <w:spacing w:after="0" w:line="240" w:lineRule="auto"/>
        <w:ind w:left="1276" w:right="0" w:hanging="567"/>
        <w:jc w:val="left"/>
        <w:rPr>
          <w:rFonts w:cstheme="minorHAnsi"/>
        </w:rPr>
      </w:pPr>
      <w:r w:rsidRPr="006354F4">
        <w:rPr>
          <w:rFonts w:cstheme="minorHAnsi"/>
        </w:rPr>
        <w:t>ELES Elektro Slovenija d.o.o., Hajdrihova 2, 1000 Ljubljana,</w:t>
      </w:r>
    </w:p>
    <w:p w14:paraId="685D9369" w14:textId="77777777" w:rsidR="007173A5" w:rsidRPr="006354F4" w:rsidRDefault="007173A5" w:rsidP="00D94451">
      <w:pPr>
        <w:pStyle w:val="Odstavekseznama"/>
        <w:numPr>
          <w:ilvl w:val="0"/>
          <w:numId w:val="12"/>
        </w:numPr>
        <w:autoSpaceDE w:val="0"/>
        <w:autoSpaceDN w:val="0"/>
        <w:adjustRightInd w:val="0"/>
        <w:spacing w:after="0" w:line="240" w:lineRule="auto"/>
        <w:ind w:left="1276" w:right="0" w:hanging="567"/>
        <w:jc w:val="left"/>
        <w:rPr>
          <w:rFonts w:cstheme="minorHAnsi"/>
        </w:rPr>
      </w:pPr>
      <w:r w:rsidRPr="006354F4">
        <w:rPr>
          <w:rFonts w:cstheme="minorHAnsi"/>
        </w:rPr>
        <w:t xml:space="preserve">Elektro Primorska d.d., Erjavčeva 22, 5000 Nova Gorica, </w:t>
      </w:r>
    </w:p>
    <w:p w14:paraId="68ED1110" w14:textId="77777777" w:rsidR="007173A5" w:rsidRPr="006354F4" w:rsidRDefault="007173A5" w:rsidP="00D94451">
      <w:pPr>
        <w:pStyle w:val="Odstavekseznama"/>
        <w:numPr>
          <w:ilvl w:val="0"/>
          <w:numId w:val="12"/>
        </w:numPr>
        <w:autoSpaceDE w:val="0"/>
        <w:autoSpaceDN w:val="0"/>
        <w:adjustRightInd w:val="0"/>
        <w:spacing w:after="0" w:line="240" w:lineRule="auto"/>
        <w:ind w:left="1276" w:right="0" w:hanging="567"/>
        <w:jc w:val="left"/>
        <w:rPr>
          <w:rFonts w:cstheme="minorHAnsi"/>
        </w:rPr>
      </w:pPr>
      <w:r w:rsidRPr="006354F4">
        <w:rPr>
          <w:rFonts w:cstheme="minorHAnsi"/>
        </w:rPr>
        <w:t xml:space="preserve">Telekom Slovenije d.d., Cigaletova 15, 1000 Ljubljana, </w:t>
      </w:r>
    </w:p>
    <w:p w14:paraId="69B47E8F" w14:textId="77777777" w:rsidR="007173A5" w:rsidRPr="006354F4" w:rsidRDefault="007173A5" w:rsidP="00D94451">
      <w:pPr>
        <w:pStyle w:val="Odstavekseznama"/>
        <w:numPr>
          <w:ilvl w:val="0"/>
          <w:numId w:val="12"/>
        </w:numPr>
        <w:autoSpaceDE w:val="0"/>
        <w:autoSpaceDN w:val="0"/>
        <w:adjustRightInd w:val="0"/>
        <w:spacing w:after="0" w:line="240" w:lineRule="auto"/>
        <w:ind w:left="1276" w:right="0" w:hanging="567"/>
        <w:jc w:val="left"/>
        <w:rPr>
          <w:rFonts w:cstheme="minorHAnsi"/>
        </w:rPr>
      </w:pPr>
      <w:r w:rsidRPr="006354F4">
        <w:rPr>
          <w:rFonts w:cstheme="minorHAnsi"/>
        </w:rPr>
        <w:t>Plinovodi d.d., Cesta Ljubljanske brigade 11b, 1001 Ljubljana,</w:t>
      </w:r>
    </w:p>
    <w:p w14:paraId="4216D2FF" w14:textId="77777777" w:rsidR="007173A5" w:rsidRDefault="007173A5" w:rsidP="00D94451">
      <w:pPr>
        <w:pStyle w:val="Odstavekseznama"/>
        <w:numPr>
          <w:ilvl w:val="0"/>
          <w:numId w:val="12"/>
        </w:numPr>
        <w:autoSpaceDE w:val="0"/>
        <w:autoSpaceDN w:val="0"/>
        <w:adjustRightInd w:val="0"/>
        <w:spacing w:after="0" w:line="240" w:lineRule="auto"/>
        <w:ind w:left="1276" w:right="0" w:hanging="567"/>
        <w:jc w:val="left"/>
        <w:rPr>
          <w:rFonts w:cstheme="minorHAnsi"/>
        </w:rPr>
      </w:pPr>
      <w:r w:rsidRPr="006354F4">
        <w:rPr>
          <w:rFonts w:cstheme="minorHAnsi"/>
        </w:rPr>
        <w:t>Vodovodi in kanalizacija Nova Gorica d.d., Cesta 25. junija 1B, 5000 Nova Gorica,</w:t>
      </w:r>
    </w:p>
    <w:p w14:paraId="58DC3E74" w14:textId="4F0D08C8" w:rsidR="007173A5" w:rsidRPr="007173A5" w:rsidRDefault="007173A5" w:rsidP="00D94451">
      <w:pPr>
        <w:pStyle w:val="Odstavekseznama"/>
        <w:numPr>
          <w:ilvl w:val="0"/>
          <w:numId w:val="12"/>
        </w:numPr>
        <w:autoSpaceDE w:val="0"/>
        <w:autoSpaceDN w:val="0"/>
        <w:adjustRightInd w:val="0"/>
        <w:spacing w:after="0" w:line="240" w:lineRule="auto"/>
        <w:ind w:left="1276" w:right="0" w:hanging="567"/>
        <w:jc w:val="left"/>
        <w:rPr>
          <w:rFonts w:cstheme="minorHAnsi"/>
        </w:rPr>
      </w:pPr>
      <w:r w:rsidRPr="007173A5">
        <w:rPr>
          <w:rFonts w:cstheme="minorHAnsi"/>
        </w:rPr>
        <w:t>Komunala Nova Gorica d.d., Cesta 25. junija 1, 5000 Nova Gorica.</w:t>
      </w:r>
    </w:p>
    <w:p w14:paraId="5982A5F7" w14:textId="77777777" w:rsidR="00BF4C5D" w:rsidRPr="00BF4C5D" w:rsidRDefault="00BF4C5D" w:rsidP="00D94451">
      <w:pPr>
        <w:pStyle w:val="Odstavekseznama"/>
        <w:autoSpaceDE w:val="0"/>
        <w:autoSpaceDN w:val="0"/>
        <w:adjustRightInd w:val="0"/>
        <w:ind w:left="709"/>
        <w:jc w:val="left"/>
        <w:rPr>
          <w:rFonts w:cstheme="minorHAnsi"/>
          <w:i/>
          <w:iCs/>
          <w:sz w:val="18"/>
          <w:szCs w:val="18"/>
        </w:rPr>
      </w:pPr>
      <w:r w:rsidRPr="00BF4C5D">
        <w:rPr>
          <w:rFonts w:cstheme="minorHAnsi"/>
          <w:i/>
          <w:iCs/>
          <w:sz w:val="18"/>
          <w:szCs w:val="18"/>
        </w:rPr>
        <w:t>*</w:t>
      </w:r>
      <w:r w:rsidRPr="00BF4C5D">
        <w:rPr>
          <w:i/>
          <w:iCs/>
          <w:sz w:val="18"/>
          <w:szCs w:val="18"/>
        </w:rPr>
        <w:t xml:space="preserve"> </w:t>
      </w:r>
      <w:r w:rsidRPr="00BF4C5D">
        <w:rPr>
          <w:rFonts w:cstheme="minorHAnsi"/>
          <w:i/>
          <w:iCs/>
          <w:sz w:val="18"/>
          <w:szCs w:val="18"/>
        </w:rPr>
        <w:t>Ker so se v času trajanja postopka priprave SD7 OPN spremenili nazivi, sedeži oziroma pristojnosti nekaterih nosilcev urejanja prostora, se pri nadaljnjem usklajevanju in pridobivanju mnenj upoštevajo aktualno pristojni nosilci urejanja prostora, skladno z veljavno organizacijo državne uprave in veljavnimi področnimi predpisi.</w:t>
      </w:r>
    </w:p>
    <w:p w14:paraId="2F429301" w14:textId="77777777" w:rsidR="00096F61" w:rsidRPr="00DA7E68" w:rsidRDefault="00096F61" w:rsidP="00D94451">
      <w:pPr>
        <w:autoSpaceDE w:val="0"/>
        <w:autoSpaceDN w:val="0"/>
        <w:adjustRightInd w:val="0"/>
        <w:jc w:val="left"/>
        <w:rPr>
          <w:rFonts w:cstheme="minorHAnsi"/>
        </w:rPr>
      </w:pPr>
      <w:r w:rsidRPr="006354F4">
        <w:rPr>
          <w:rFonts w:cstheme="minorHAnsi"/>
        </w:rPr>
        <w:t xml:space="preserve">Občina je prva mnenja nosilcev urejanja prostora pridobila v času od 21. 4. 2021 do 8. 12 2021 ter na podlagi pridobljenih prvih mnenj NUP pridobila Odločbo št. 35409-201/2021-2550-9 z dne 30. 8. 2022 Ministrstva za okolje in prostor, s katero je bilo odločeno, da je </w:t>
      </w:r>
      <w:r w:rsidRPr="00DA7E68">
        <w:rPr>
          <w:rFonts w:cstheme="minorHAnsi"/>
        </w:rPr>
        <w:t>za predvidene spremembe in dopolnitve SD7 OPN treba izvesti postopek celovite presoje vplivov na okolje (CPVO), zaradi verjetno pomembnih vplivov plana na vode.</w:t>
      </w:r>
    </w:p>
    <w:p w14:paraId="280E51B3" w14:textId="77777777" w:rsidR="00096F61" w:rsidRPr="00DA7E68" w:rsidRDefault="00096F61" w:rsidP="00D94451">
      <w:pPr>
        <w:autoSpaceDE w:val="0"/>
        <w:autoSpaceDN w:val="0"/>
        <w:adjustRightInd w:val="0"/>
        <w:jc w:val="left"/>
        <w:rPr>
          <w:rFonts w:cstheme="minorHAnsi"/>
          <w:bCs w:val="0"/>
        </w:rPr>
      </w:pPr>
      <w:r w:rsidRPr="00DA7E68">
        <w:rPr>
          <w:rFonts w:eastAsia="Times-Roman" w:cs="Times-Roman"/>
        </w:rPr>
        <w:t xml:space="preserve">Celovita presoja vplivov plana na okolje se izvede na podlagi okoljskega poročila. </w:t>
      </w:r>
      <w:r w:rsidRPr="00DA7E68">
        <w:t>Okoljsko poročilo za izvedbo CPVO za SD</w:t>
      </w:r>
      <w:r>
        <w:t>7</w:t>
      </w:r>
      <w:r w:rsidRPr="00DA7E68">
        <w:t xml:space="preserve"> OPN Mestne občine Nova Gorica je bilo izdelano v septembru 2022. K okoljskemu poročilu je bilo v skladu z Zakonom o varstvu okolja (Uradni list RS, št. </w:t>
      </w:r>
      <w:hyperlink r:id="rId26" w:tgtFrame="_blank" w:tooltip="Zakon o varstvu okolja (ZVO-2)" w:history="1">
        <w:r w:rsidRPr="00DA7E68">
          <w:rPr>
            <w:rStyle w:val="Hiperpovezava"/>
          </w:rPr>
          <w:t>44/22</w:t>
        </w:r>
      </w:hyperlink>
      <w:r w:rsidRPr="00DA7E68">
        <w:t xml:space="preserve"> in </w:t>
      </w:r>
      <w:hyperlink r:id="rId27" w:tgtFrame="_blank" w:tooltip="Zakon o spremembah in dopolnitvah Zakona o državni upravi" w:history="1">
        <w:r w:rsidRPr="00DA7E68">
          <w:rPr>
            <w:rStyle w:val="Hiperpovezava"/>
          </w:rPr>
          <w:t>18/23</w:t>
        </w:r>
      </w:hyperlink>
      <w:r w:rsidRPr="00DA7E68">
        <w:t xml:space="preserve"> – ZDU-1O) 14. 4. 2023 izdano mnenje o ustreznosti </w:t>
      </w:r>
      <w:r w:rsidRPr="00DA7E68">
        <w:rPr>
          <w:rFonts w:cstheme="minorHAnsi"/>
        </w:rPr>
        <w:t>okoljskega poročila in sprejemljivosti vplivov plana na okolje</w:t>
      </w:r>
      <w:r w:rsidRPr="00DA7E68">
        <w:t xml:space="preserve"> (</w:t>
      </w:r>
      <w:r w:rsidRPr="00DA7E68">
        <w:rPr>
          <w:rFonts w:cstheme="minorHAnsi"/>
        </w:rPr>
        <w:t>št. 35409-201/2021-2550-14).</w:t>
      </w:r>
    </w:p>
    <w:p w14:paraId="48610CAE" w14:textId="77777777" w:rsidR="00096F61" w:rsidRPr="002337B7" w:rsidRDefault="00096F61" w:rsidP="00D94451">
      <w:pPr>
        <w:autoSpaceDE w:val="0"/>
        <w:autoSpaceDN w:val="0"/>
        <w:adjustRightInd w:val="0"/>
        <w:jc w:val="left"/>
        <w:rPr>
          <w:rFonts w:cstheme="minorHAnsi"/>
          <w:bCs w:val="0"/>
        </w:rPr>
      </w:pPr>
      <w:r w:rsidRPr="00DA7E68">
        <w:rPr>
          <w:rFonts w:cstheme="minorHAnsi"/>
        </w:rPr>
        <w:t xml:space="preserve">V času po pridobitvi mnenja o ustreznosti okoljskega poročila se je dopolnjen osnutek SD7 OPN dopolnil na podlagi študije </w:t>
      </w:r>
      <w:bookmarkStart w:id="2" w:name="_Hlk137558279"/>
      <w:r w:rsidRPr="00DA7E68">
        <w:t>Hidrološko-hidravlična analiza celovitih oziroma omilitvenih ukrepov za izvedbo protipoplavnih ukrepov na vodotoku Liskur, Hidrolab d.o.o., november 2022, dopolnitev junij 2023</w:t>
      </w:r>
      <w:bookmarkEnd w:id="2"/>
      <w:r w:rsidRPr="00DA7E68">
        <w:t xml:space="preserve">. Glavno spremembo predstavlja načrtovanje novega vodnega zadrževalnika v EUP RD-15/04. Vplivi te spremembe </w:t>
      </w:r>
      <w:r>
        <w:t>s</w:t>
      </w:r>
      <w:r w:rsidRPr="00DA7E68">
        <w:t xml:space="preserve">o </w:t>
      </w:r>
      <w:r>
        <w:t>bili</w:t>
      </w:r>
      <w:r w:rsidRPr="00DA7E68">
        <w:t xml:space="preserve"> obravnavani v dopolnitvi okoljskega poročila za predlog SD7 OPN.</w:t>
      </w:r>
    </w:p>
    <w:p w14:paraId="4E304215" w14:textId="77777777" w:rsidR="00096F61" w:rsidRPr="006354F4" w:rsidRDefault="00096F61" w:rsidP="00D94451">
      <w:pPr>
        <w:autoSpaceDE w:val="0"/>
        <w:autoSpaceDN w:val="0"/>
        <w:adjustRightInd w:val="0"/>
        <w:jc w:val="left"/>
        <w:rPr>
          <w:rFonts w:cstheme="minorHAnsi"/>
        </w:rPr>
      </w:pPr>
      <w:r w:rsidRPr="006354F4">
        <w:rPr>
          <w:rFonts w:cstheme="minorHAnsi"/>
        </w:rPr>
        <w:t xml:space="preserve">Na podlagi pridobljenih prvih mnenj, izdelanih strokovnih podlag, pridobljenega pozitivnega Mnenja o ustreznosti okoljskega poročila in sprejemljivosti vplivov </w:t>
      </w:r>
      <w:r w:rsidRPr="006354F4">
        <w:rPr>
          <w:rFonts w:cstheme="minorHAnsi"/>
        </w:rPr>
        <w:lastRenderedPageBreak/>
        <w:t>plana na okolje je</w:t>
      </w:r>
      <w:r>
        <w:rPr>
          <w:rFonts w:cstheme="minorHAnsi"/>
        </w:rPr>
        <w:t xml:space="preserve"> bil</w:t>
      </w:r>
      <w:r w:rsidRPr="006354F4">
        <w:rPr>
          <w:rFonts w:cstheme="minorHAnsi"/>
        </w:rPr>
        <w:t xml:space="preserve"> pripravljen dopolnjeni osnutek SD7 OPN, ki ga </w:t>
      </w:r>
      <w:r>
        <w:rPr>
          <w:rFonts w:cstheme="minorHAnsi"/>
        </w:rPr>
        <w:t>je</w:t>
      </w:r>
      <w:r w:rsidRPr="006354F4">
        <w:rPr>
          <w:rFonts w:cstheme="minorHAnsi"/>
        </w:rPr>
        <w:t xml:space="preserve"> Mestna občina Nova Gorica z javnim naznanilom javno razgrnila v času 25. maja do 25. junija 2023. </w:t>
      </w:r>
    </w:p>
    <w:p w14:paraId="2C63F56C" w14:textId="77777777" w:rsidR="00096F61" w:rsidRPr="006354F4" w:rsidRDefault="00096F61" w:rsidP="00D94451">
      <w:pPr>
        <w:autoSpaceDE w:val="0"/>
        <w:autoSpaceDN w:val="0"/>
        <w:adjustRightInd w:val="0"/>
        <w:jc w:val="left"/>
        <w:rPr>
          <w:rFonts w:cstheme="minorHAnsi"/>
        </w:rPr>
      </w:pPr>
      <w:r w:rsidRPr="006354F4">
        <w:rPr>
          <w:rFonts w:cstheme="minorHAnsi"/>
        </w:rPr>
        <w:t xml:space="preserve">Javni razgrnitvi </w:t>
      </w:r>
      <w:r>
        <w:rPr>
          <w:rFonts w:cstheme="minorHAnsi"/>
        </w:rPr>
        <w:t xml:space="preserve">je sledila </w:t>
      </w:r>
      <w:r w:rsidRPr="006354F4">
        <w:rPr>
          <w:rFonts w:cstheme="minorHAnsi"/>
        </w:rPr>
        <w:t xml:space="preserve">priprava in potrditev strokovnih stališč do podanih pobud in pripomb javnosti, podanih na dopolnjeni osnutek SD7 OPN v času javne razgrnitve, ki </w:t>
      </w:r>
      <w:r>
        <w:rPr>
          <w:rFonts w:cstheme="minorHAnsi"/>
        </w:rPr>
        <w:t>so bila javno objavljena.</w:t>
      </w:r>
    </w:p>
    <w:p w14:paraId="11CB0941" w14:textId="77777777" w:rsidR="00096F61" w:rsidRDefault="00096F61" w:rsidP="00D94451">
      <w:pPr>
        <w:autoSpaceDE w:val="0"/>
        <w:autoSpaceDN w:val="0"/>
        <w:adjustRightInd w:val="0"/>
        <w:jc w:val="left"/>
        <w:rPr>
          <w:rFonts w:cstheme="minorHAnsi"/>
        </w:rPr>
      </w:pPr>
      <w:r w:rsidRPr="006354F4">
        <w:rPr>
          <w:rFonts w:cstheme="minorHAnsi"/>
        </w:rPr>
        <w:t xml:space="preserve">Na podlagi sprejetih stališč do pripomb </w:t>
      </w:r>
      <w:r>
        <w:rPr>
          <w:rFonts w:cstheme="minorHAnsi"/>
        </w:rPr>
        <w:t>je bil oblikovan</w:t>
      </w:r>
      <w:r w:rsidRPr="006354F4">
        <w:rPr>
          <w:rFonts w:cstheme="minorHAnsi"/>
        </w:rPr>
        <w:t xml:space="preserve"> predlog SD7 OPN, ki </w:t>
      </w:r>
      <w:r>
        <w:rPr>
          <w:rFonts w:cstheme="minorHAnsi"/>
        </w:rPr>
        <w:t>je bil</w:t>
      </w:r>
      <w:r w:rsidRPr="006354F4">
        <w:rPr>
          <w:rFonts w:cstheme="minorHAnsi"/>
        </w:rPr>
        <w:t xml:space="preserve"> ponovno </w:t>
      </w:r>
      <w:r>
        <w:rPr>
          <w:rFonts w:cstheme="minorHAnsi"/>
        </w:rPr>
        <w:t>posredovan</w:t>
      </w:r>
      <w:r w:rsidRPr="006354F4">
        <w:rPr>
          <w:rFonts w:cstheme="minorHAnsi"/>
        </w:rPr>
        <w:t xml:space="preserve"> NUP v druga mnenja. Na podlagi pridobljenih drugih mnenj </w:t>
      </w:r>
      <w:r>
        <w:rPr>
          <w:rFonts w:cstheme="minorHAnsi"/>
        </w:rPr>
        <w:t xml:space="preserve">so bila izvedena usklajevanja z NUP. Izdelane so bile dodatne strokovne podlage za posege na plazljiva območja in elaborat nadomestnih kmetijskih zemljišč za širitve stavbnih zemljišč na kmetijska zemljišča. </w:t>
      </w:r>
    </w:p>
    <w:p w14:paraId="352EADFF" w14:textId="77777777" w:rsidR="00096F61" w:rsidRDefault="00096F61" w:rsidP="00D94451">
      <w:pPr>
        <w:autoSpaceDE w:val="0"/>
        <w:autoSpaceDN w:val="0"/>
        <w:adjustRightInd w:val="0"/>
        <w:jc w:val="left"/>
        <w:rPr>
          <w:rFonts w:cstheme="minorHAnsi"/>
        </w:rPr>
      </w:pPr>
      <w:r>
        <w:rPr>
          <w:rFonts w:cstheme="minorHAnsi"/>
        </w:rPr>
        <w:t>Po končanih usklajevanjih je bil pripravljen usklajen predlog, s katerim je Občina javnost seznanila preko spletne objave.</w:t>
      </w:r>
    </w:p>
    <w:p w14:paraId="5AD5EFFE" w14:textId="77777777" w:rsidR="00096F61" w:rsidRDefault="00096F61" w:rsidP="00D94451">
      <w:pPr>
        <w:autoSpaceDE w:val="0"/>
        <w:autoSpaceDN w:val="0"/>
        <w:adjustRightInd w:val="0"/>
        <w:jc w:val="left"/>
        <w:rPr>
          <w:rFonts w:cstheme="minorHAnsi"/>
        </w:rPr>
      </w:pPr>
      <w:r w:rsidRPr="007F5D19">
        <w:rPr>
          <w:rFonts w:cstheme="minorHAnsi"/>
        </w:rPr>
        <w:t>Na dan oddaje gradiva pripravljavec še ni prejel mnenja MNVP – sektor za CPVO ter MNVP – direktorat za prostor.</w:t>
      </w:r>
    </w:p>
    <w:p w14:paraId="5C64D3BD" w14:textId="77777777" w:rsidR="00096F61" w:rsidRPr="00E61AD0" w:rsidRDefault="00096F61" w:rsidP="00D94451">
      <w:pPr>
        <w:autoSpaceDE w:val="0"/>
        <w:autoSpaceDN w:val="0"/>
        <w:adjustRightInd w:val="0"/>
        <w:jc w:val="left"/>
        <w:rPr>
          <w:rFonts w:cstheme="minorHAnsi"/>
        </w:rPr>
      </w:pPr>
      <w:r>
        <w:rPr>
          <w:rFonts w:cstheme="minorHAnsi"/>
        </w:rPr>
        <w:t xml:space="preserve">Akt bo obravnavan in sprejet na seji Mestnega sveta. </w:t>
      </w:r>
    </w:p>
    <w:p w14:paraId="3E385A3C" w14:textId="71BDC654" w:rsidR="003E40E7" w:rsidRPr="00EE0F2B" w:rsidRDefault="003E40E7" w:rsidP="00D94451">
      <w:pPr>
        <w:pStyle w:val="Naslov1"/>
        <w:numPr>
          <w:ilvl w:val="0"/>
          <w:numId w:val="20"/>
        </w:numPr>
      </w:pPr>
      <w:r w:rsidRPr="00EE0F2B">
        <w:t>Cilji, ki jih želimo doseči s sprejemom odloka</w:t>
      </w:r>
    </w:p>
    <w:p w14:paraId="0FD14122" w14:textId="77777777" w:rsidR="00275D61" w:rsidRDefault="00275D61" w:rsidP="00D94451">
      <w:pPr>
        <w:autoSpaceDE w:val="0"/>
        <w:autoSpaceDN w:val="0"/>
        <w:adjustRightInd w:val="0"/>
        <w:jc w:val="left"/>
        <w:rPr>
          <w:rFonts w:cstheme="minorHAnsi"/>
        </w:rPr>
      </w:pPr>
      <w:r w:rsidRPr="006354F4">
        <w:rPr>
          <w:rFonts w:cstheme="minorHAnsi"/>
        </w:rPr>
        <w:t>S sprejemom odloka želimo v taki meri spremeniti in dopolniti OPN, da bo omogočal uresničitev razvojnih pobud, trajnostni razvoj v prostoru, učinkovito in gospodarno rabo zemljišč, skladno s potrebami uporabnikov prostora.</w:t>
      </w:r>
    </w:p>
    <w:p w14:paraId="7085772F" w14:textId="494EC199" w:rsidR="003E40E7" w:rsidRPr="009C1754" w:rsidRDefault="009208D8" w:rsidP="00D94451">
      <w:pPr>
        <w:pStyle w:val="Naslov1"/>
        <w:numPr>
          <w:ilvl w:val="0"/>
          <w:numId w:val="20"/>
        </w:numPr>
      </w:pPr>
      <w:r w:rsidRPr="009C1754">
        <w:t>Pravne podlage in načela, po katerih naj se uredijo razmerja na področju</w:t>
      </w:r>
    </w:p>
    <w:p w14:paraId="1F7E1E42" w14:textId="77777777" w:rsidR="009C1754" w:rsidRPr="006354F4" w:rsidRDefault="009C1754" w:rsidP="00D94451">
      <w:pPr>
        <w:pStyle w:val="Odstavekseznama"/>
        <w:numPr>
          <w:ilvl w:val="0"/>
          <w:numId w:val="12"/>
        </w:numPr>
        <w:spacing w:after="0" w:line="254" w:lineRule="auto"/>
        <w:ind w:left="1134" w:right="0" w:hanging="425"/>
        <w:jc w:val="left"/>
      </w:pPr>
      <w:r w:rsidRPr="006354F4">
        <w:t>Zakon o prostorskem načrtovanju (Uradni list RS, št. </w:t>
      </w:r>
      <w:hyperlink r:id="rId28" w:tgtFrame="_blank" w:tooltip="Zakon o prostorskem načrtovanju (ZPNačrt)" w:history="1">
        <w:r w:rsidRPr="006354F4">
          <w:rPr>
            <w:rStyle w:val="Hiperpovezava"/>
          </w:rPr>
          <w:t>33/07</w:t>
        </w:r>
      </w:hyperlink>
      <w:r w:rsidRPr="006354F4">
        <w:t>, </w:t>
      </w:r>
      <w:hyperlink r:id="rId29" w:tgtFrame="_blank" w:tooltip="Zakon o spremembah in dopolnitvah Zakona o varstvu okolja" w:history="1">
        <w:r w:rsidRPr="006354F4">
          <w:rPr>
            <w:rStyle w:val="Hiperpovezava"/>
          </w:rPr>
          <w:t>70/08</w:t>
        </w:r>
      </w:hyperlink>
      <w:r w:rsidRPr="006354F4">
        <w:t> – ZVO-1B, </w:t>
      </w:r>
      <w:hyperlink r:id="rId30" w:tgtFrame="_blank" w:tooltip="Zakon o spremembah in dopolnitvah Zakona o prostorskem načrtovanju" w:history="1">
        <w:r w:rsidRPr="006354F4">
          <w:rPr>
            <w:rStyle w:val="Hiperpovezava"/>
          </w:rPr>
          <w:t>108/09</w:t>
        </w:r>
      </w:hyperlink>
      <w:r w:rsidRPr="006354F4">
        <w:t>, </w:t>
      </w:r>
      <w:hyperlink r:id="rId31" w:tgtFrame="_blank" w:tooltip="Zakon o umeščanju prostorskih ureditev državnega pomena v prostor" w:history="1">
        <w:r w:rsidRPr="006354F4">
          <w:rPr>
            <w:rStyle w:val="Hiperpovezava"/>
          </w:rPr>
          <w:t>80/10</w:t>
        </w:r>
      </w:hyperlink>
      <w:r w:rsidRPr="006354F4">
        <w:t> – ZUPUDPP, </w:t>
      </w:r>
      <w:hyperlink r:id="rId32" w:tgtFrame="_blank" w:tooltip="Zakon o spremembah in dopolnitvah Zakona o kmetijskih zemljiščih" w:history="1">
        <w:r w:rsidRPr="006354F4">
          <w:rPr>
            <w:rStyle w:val="Hiperpovezava"/>
          </w:rPr>
          <w:t>43/11</w:t>
        </w:r>
      </w:hyperlink>
      <w:r w:rsidRPr="006354F4">
        <w:t> – ZKZ-C, </w:t>
      </w:r>
      <w:hyperlink r:id="rId33" w:tgtFrame="_blank" w:tooltip="Zakon o spremembah in dopolnitvah Zakona o prostorskem načrtovanju" w:history="1">
        <w:r w:rsidRPr="006354F4">
          <w:rPr>
            <w:rStyle w:val="Hiperpovezava"/>
          </w:rPr>
          <w:t>57/12</w:t>
        </w:r>
      </w:hyperlink>
      <w:r w:rsidRPr="006354F4">
        <w:t>, </w:t>
      </w:r>
      <w:hyperlink r:id="rId34" w:tgtFrame="_blank" w:tooltip="Zakon o spremembah in dopolnitvah Zakona o umeščanju prostorskih ureditev državnega pomena v prostor" w:history="1">
        <w:r w:rsidRPr="006354F4">
          <w:rPr>
            <w:rStyle w:val="Hiperpovezava"/>
          </w:rPr>
          <w:t>57/12</w:t>
        </w:r>
      </w:hyperlink>
      <w:r w:rsidRPr="006354F4">
        <w:t> – ZUPUDPP-A, </w:t>
      </w:r>
      <w:hyperlink r:id="rId35" w:tgtFrame="_blank" w:tooltip="Zakon o spremembah in dopolnitvah Zakona o spremembah in dopolnitvah Zakona o prostorskem načrtovanju" w:history="1">
        <w:r w:rsidRPr="006354F4">
          <w:rPr>
            <w:rStyle w:val="Hiperpovezava"/>
          </w:rPr>
          <w:t>109/12</w:t>
        </w:r>
      </w:hyperlink>
      <w:r w:rsidRPr="006354F4">
        <w:t>, </w:t>
      </w:r>
      <w:hyperlink r:id="rId36" w:tgtFrame="_blank" w:tooltip="Odločba o ugotovitvi, da je 29. člen Zakona o spremembah in dopolnitvah Zakona o prostorskem načrtovanju v neskladju z Ustavo in o ugotovitvi, da Poslovnik Državnega zbora ni v neskladju z Ustavo" w:history="1">
        <w:r w:rsidRPr="006354F4">
          <w:rPr>
            <w:rStyle w:val="Hiperpovezava"/>
          </w:rPr>
          <w:t>76/14</w:t>
        </w:r>
      </w:hyperlink>
      <w:r w:rsidRPr="006354F4">
        <w:t> – odl. US, </w:t>
      </w:r>
      <w:hyperlink r:id="rId37" w:tgtFrame="_blank" w:tooltip="Zakon o ukrepih za uravnoteženje javnih financ občin" w:history="1">
        <w:r w:rsidRPr="006354F4">
          <w:rPr>
            <w:rStyle w:val="Hiperpovezava"/>
          </w:rPr>
          <w:t>14/15</w:t>
        </w:r>
      </w:hyperlink>
      <w:r w:rsidRPr="006354F4">
        <w:t> – ZUUJFO, </w:t>
      </w:r>
      <w:hyperlink r:id="rId38" w:tgtFrame="_blank" w:tooltip="Zakon o urejanju prostora" w:history="1">
        <w:r w:rsidRPr="006354F4">
          <w:rPr>
            <w:rStyle w:val="Hiperpovezava"/>
          </w:rPr>
          <w:t>61/17</w:t>
        </w:r>
      </w:hyperlink>
      <w:r w:rsidRPr="006354F4">
        <w:t> – ZUreP-2 in </w:t>
      </w:r>
      <w:hyperlink r:id="rId39" w:tgtFrame="_blank" w:tooltip="Zakon o urejanju prostora" w:history="1">
        <w:r w:rsidRPr="006354F4">
          <w:rPr>
            <w:rStyle w:val="Hiperpovezava"/>
          </w:rPr>
          <w:t>199/21</w:t>
        </w:r>
      </w:hyperlink>
      <w:r w:rsidRPr="006354F4">
        <w:t xml:space="preserve"> – ZUreP-3; ZPNačrt), </w:t>
      </w:r>
    </w:p>
    <w:p w14:paraId="445B823F" w14:textId="77777777" w:rsidR="009C1754" w:rsidRPr="006354F4" w:rsidRDefault="009C1754" w:rsidP="00D94451">
      <w:pPr>
        <w:pStyle w:val="Odstavekseznama"/>
        <w:numPr>
          <w:ilvl w:val="0"/>
          <w:numId w:val="12"/>
        </w:numPr>
        <w:spacing w:after="0" w:line="254" w:lineRule="auto"/>
        <w:ind w:left="1134" w:right="0" w:hanging="425"/>
        <w:jc w:val="left"/>
      </w:pPr>
      <w:r w:rsidRPr="004E7429">
        <w:t>Zakon o urejanju prostora (Uradni list RS, št. 199/21, 18/23 – ZDU-1O, 78/23 – ZUNPEOVE, 95/23 – ZIUOPZP, 23/24, 109/24, 25/25 – odl. US, 75/25 in 14/26)</w:t>
      </w:r>
      <w:r>
        <w:t>,</w:t>
      </w:r>
      <w:r w:rsidRPr="006354F4">
        <w:t xml:space="preserve"> ki v 298. členu določa, da se postopki priprave prostorskih aktov, začeti na podlagi ZPNačrt, katerih priprava se je v skladu s prvim, drugim in tretjim odstavkom 273. člena ZUreP-2 nadaljevala po dosedanjih predpisih, se končajo po ZPNačrt,</w:t>
      </w:r>
    </w:p>
    <w:p w14:paraId="05A0948A" w14:textId="77777777" w:rsidR="009C1754" w:rsidRDefault="009C1754" w:rsidP="00D94451">
      <w:pPr>
        <w:pStyle w:val="Odstavekseznama"/>
        <w:numPr>
          <w:ilvl w:val="0"/>
          <w:numId w:val="12"/>
        </w:numPr>
        <w:spacing w:after="0" w:line="254" w:lineRule="auto"/>
        <w:ind w:left="1134" w:right="0" w:hanging="425"/>
        <w:jc w:val="left"/>
        <w:rPr>
          <w:sz w:val="22"/>
        </w:rPr>
      </w:pPr>
      <w:r w:rsidRPr="006354F4">
        <w:t>Statut Mestne občine Nova Gorica (Uradni list RS, št. 13/12, 18/17 in 18/19), ki v 19. členu določa, da Mestni svet Mestne občine Nova Gorica sprejema odloke in druge splošne akte Mestne občine Nova Gorica</w:t>
      </w:r>
      <w:r>
        <w:rPr>
          <w:sz w:val="22"/>
        </w:rPr>
        <w:t>.</w:t>
      </w:r>
    </w:p>
    <w:p w14:paraId="2EF97CE3" w14:textId="77777777" w:rsidR="009208D8" w:rsidRDefault="009208D8" w:rsidP="00D94451">
      <w:pPr>
        <w:jc w:val="left"/>
        <w:rPr>
          <w:highlight w:val="yellow"/>
        </w:rPr>
      </w:pPr>
    </w:p>
    <w:p w14:paraId="06ACA212" w14:textId="31A3565B" w:rsidR="009208D8" w:rsidRPr="005A4BF0" w:rsidRDefault="009208D8" w:rsidP="00D94451">
      <w:pPr>
        <w:pStyle w:val="Naslov1"/>
        <w:numPr>
          <w:ilvl w:val="0"/>
          <w:numId w:val="20"/>
        </w:numPr>
      </w:pPr>
      <w:r w:rsidRPr="005A4BF0">
        <w:lastRenderedPageBreak/>
        <w:t>Rešitve in posledice, ki bodo nastale s sprejemom odloka</w:t>
      </w:r>
    </w:p>
    <w:p w14:paraId="4D46526B" w14:textId="77777777" w:rsidR="005A4BF0" w:rsidRDefault="005A4BF0" w:rsidP="00D94451">
      <w:pPr>
        <w:autoSpaceDE w:val="0"/>
        <w:autoSpaceDN w:val="0"/>
        <w:adjustRightInd w:val="0"/>
        <w:jc w:val="left"/>
        <w:rPr>
          <w:rFonts w:cstheme="minorHAnsi"/>
        </w:rPr>
      </w:pPr>
      <w:r w:rsidRPr="006354F4">
        <w:rPr>
          <w:rFonts w:cstheme="minorHAnsi"/>
        </w:rPr>
        <w:t xml:space="preserve">S sprejemom odloka bo temeljni prostorski akt občine v taki meri spremenjen in dopolnjen, da bo omogočal uresničevanje zastavljenih ciljev. Tako posodobljen akt bo ustreznejša pravna podlaga za izdajanje dovoljenj za gradnje in druge posege v prostor. </w:t>
      </w:r>
    </w:p>
    <w:p w14:paraId="1B165FBD" w14:textId="7CF7A808" w:rsidR="007D4694" w:rsidRPr="00E73C15" w:rsidRDefault="007D4694" w:rsidP="00D94451">
      <w:pPr>
        <w:pStyle w:val="Naslov1"/>
        <w:numPr>
          <w:ilvl w:val="0"/>
          <w:numId w:val="20"/>
        </w:numPr>
      </w:pPr>
      <w:r w:rsidRPr="00E73C15">
        <w:t>Materialne obveznosti, ki bodo nastale s sprejemom odloka</w:t>
      </w:r>
    </w:p>
    <w:p w14:paraId="06A0F3FB" w14:textId="77777777" w:rsidR="00E73C15" w:rsidRPr="00E73C15" w:rsidRDefault="00E73C15" w:rsidP="00D94451">
      <w:pPr>
        <w:autoSpaceDE w:val="0"/>
        <w:autoSpaceDN w:val="0"/>
        <w:adjustRightInd w:val="0"/>
        <w:jc w:val="left"/>
        <w:rPr>
          <w:rFonts w:cstheme="minorHAnsi"/>
        </w:rPr>
      </w:pPr>
      <w:r w:rsidRPr="00E73C15">
        <w:rPr>
          <w:rFonts w:cstheme="minorHAnsi"/>
        </w:rPr>
        <w:t>S sprejemom Odloka ne bodo nastale materialne obveznosti za proračun Mestne občine Nova Gorica. Obravnavane spremembe namenske rabe prostora se nanašajo na širitve stavbnih zemljišča v bližini obstoječih stavbnih zemljišč ter se nanje komunalno navezujejo. Nobeno od novo vzpostavljenih stavbnih zemljišč ne zahteva izvedbe komunalne opreme širšega obsega. Opremljanje stavbnih zemljišč za glampinge bo v pristojnosti investitorjev. Glampingi se priključujejo na obstoječo komunalno opremo v neposredni bližini ali pa komunalno opremo zagotavljajo s samooskrbo.</w:t>
      </w:r>
    </w:p>
    <w:p w14:paraId="67BC8DFE" w14:textId="63D63517" w:rsidR="00E73C15" w:rsidRPr="00E73C15" w:rsidRDefault="00E73C15" w:rsidP="00D94451">
      <w:pPr>
        <w:autoSpaceDE w:val="0"/>
        <w:autoSpaceDN w:val="0"/>
        <w:adjustRightInd w:val="0"/>
        <w:jc w:val="left"/>
        <w:rPr>
          <w:rFonts w:cstheme="minorHAnsi"/>
        </w:rPr>
      </w:pPr>
      <w:r w:rsidRPr="00E73C15">
        <w:rPr>
          <w:rFonts w:cstheme="minorHAnsi"/>
        </w:rPr>
        <w:t>Mestnemu svetu predlagamo, da predloženi Odlok o spremembah in dopolnitvah Odloka o Občinskem prostorskem načrtu Mestne občine Nova Gorica  v drugi obravnavi obravnava in sprejme.</w:t>
      </w:r>
    </w:p>
    <w:p w14:paraId="0E6427EC" w14:textId="2E93A077" w:rsidR="00CE604A" w:rsidRPr="007854F5" w:rsidRDefault="00CE604A" w:rsidP="00D94451">
      <w:pPr>
        <w:jc w:val="left"/>
        <w:rPr>
          <w:b/>
          <w:bCs w:val="0"/>
        </w:rPr>
      </w:pPr>
      <w:r w:rsidRPr="007854F5">
        <w:rPr>
          <w:b/>
        </w:rPr>
        <w:t xml:space="preserve">Mestnemu svetu Mestne občine Nova Gorica predlagamo, da predloženi </w:t>
      </w:r>
      <w:r>
        <w:rPr>
          <w:b/>
        </w:rPr>
        <w:t xml:space="preserve">Odlok o spremembah in dopolnitva </w:t>
      </w:r>
      <w:r w:rsidRPr="009C375A">
        <w:rPr>
          <w:b/>
        </w:rPr>
        <w:t xml:space="preserve">Občinskega prostorskega načrta Mestne občine Nova Gorica </w:t>
      </w:r>
      <w:r w:rsidR="003D2F2D" w:rsidRPr="009C375A">
        <w:rPr>
          <w:b/>
        </w:rPr>
        <w:t xml:space="preserve">v drugi obravnavi </w:t>
      </w:r>
      <w:r w:rsidRPr="009C375A">
        <w:rPr>
          <w:b/>
        </w:rPr>
        <w:t>obravnava in sprejme.</w:t>
      </w:r>
    </w:p>
    <w:p w14:paraId="17465817" w14:textId="0C08B085" w:rsidR="00A03315" w:rsidRDefault="00A03315" w:rsidP="00A03315">
      <w:pPr>
        <w:pStyle w:val="Podpisoseba"/>
        <w:spacing w:before="0" w:after="0"/>
        <w:ind w:left="709"/>
        <w:rPr>
          <w:bCs w:val="0"/>
        </w:rPr>
      </w:pPr>
      <w:r w:rsidRPr="00110838">
        <w:rPr>
          <w:bCs w:val="0"/>
        </w:rPr>
        <w:t>Pripravila</w:t>
      </w: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956"/>
        <w:gridCol w:w="3549"/>
      </w:tblGrid>
      <w:tr w:rsidR="00A03315" w14:paraId="5EDE9153" w14:textId="77777777" w:rsidTr="00C818D4">
        <w:tc>
          <w:tcPr>
            <w:tcW w:w="4956" w:type="dxa"/>
          </w:tcPr>
          <w:p w14:paraId="00AE3031" w14:textId="77777777" w:rsidR="00A03315" w:rsidRPr="00E639CC" w:rsidRDefault="00A03315" w:rsidP="00C818D4">
            <w:pPr>
              <w:pStyle w:val="Podpisoseba"/>
              <w:spacing w:before="0" w:after="0"/>
              <w:rPr>
                <w:b/>
                <w:color w:val="FFFFFF" w:themeColor="background1"/>
              </w:rPr>
            </w:pPr>
            <w:r w:rsidRPr="00E639CC">
              <w:rPr>
                <w:b/>
                <w:color w:val="FFFFFF" w:themeColor="background1"/>
              </w:rPr>
              <w:t>Levi podpisnik</w:t>
            </w:r>
          </w:p>
        </w:tc>
        <w:tc>
          <w:tcPr>
            <w:tcW w:w="3549" w:type="dxa"/>
          </w:tcPr>
          <w:p w14:paraId="357B865E" w14:textId="77777777" w:rsidR="00A03315" w:rsidRPr="00E639CC" w:rsidRDefault="00A03315" w:rsidP="00C818D4">
            <w:pPr>
              <w:pStyle w:val="Podpisoseba"/>
              <w:spacing w:before="0" w:after="0"/>
              <w:rPr>
                <w:b/>
                <w:color w:val="FFFFFF" w:themeColor="background1"/>
              </w:rPr>
            </w:pPr>
            <w:r w:rsidRPr="00E639CC">
              <w:rPr>
                <w:b/>
                <w:color w:val="FFFFFF" w:themeColor="background1"/>
              </w:rPr>
              <w:t>Desnik podpisnik</w:t>
            </w:r>
          </w:p>
        </w:tc>
      </w:tr>
      <w:tr w:rsidR="00A03315" w14:paraId="6A2F508B" w14:textId="77777777" w:rsidTr="00C818D4">
        <w:tc>
          <w:tcPr>
            <w:tcW w:w="4956" w:type="dxa"/>
          </w:tcPr>
          <w:p w14:paraId="1B7A05E8" w14:textId="29DF61F6" w:rsidR="00A03315" w:rsidRPr="00D51EE1" w:rsidRDefault="00147774" w:rsidP="00C818D4">
            <w:pPr>
              <w:pStyle w:val="Podpisoseba"/>
              <w:spacing w:before="0" w:after="0"/>
              <w:rPr>
                <w:b/>
                <w:bCs w:val="0"/>
              </w:rPr>
            </w:pPr>
            <w:r>
              <w:rPr>
                <w:b/>
                <w:bCs w:val="0"/>
              </w:rPr>
              <w:t>Irena Balantič</w:t>
            </w:r>
          </w:p>
        </w:tc>
        <w:tc>
          <w:tcPr>
            <w:tcW w:w="3549" w:type="dxa"/>
          </w:tcPr>
          <w:p w14:paraId="33414636" w14:textId="74A54A69" w:rsidR="00A03315" w:rsidRPr="00D51EE1" w:rsidRDefault="005458EA" w:rsidP="00C818D4">
            <w:pPr>
              <w:pStyle w:val="Podpisoseba"/>
              <w:spacing w:before="0" w:after="0"/>
              <w:rPr>
                <w:b/>
                <w:bCs w:val="0"/>
              </w:rPr>
            </w:pPr>
            <w:r>
              <w:rPr>
                <w:b/>
                <w:bCs w:val="0"/>
              </w:rPr>
              <w:t>Erik Lasič</w:t>
            </w:r>
          </w:p>
        </w:tc>
      </w:tr>
      <w:tr w:rsidR="00A03315" w14:paraId="04CA288A" w14:textId="77777777" w:rsidTr="00C818D4">
        <w:tc>
          <w:tcPr>
            <w:tcW w:w="4956" w:type="dxa"/>
          </w:tcPr>
          <w:p w14:paraId="3431D6EA" w14:textId="37008351" w:rsidR="00A03315" w:rsidRPr="00E639CC" w:rsidRDefault="0092018F" w:rsidP="00C818D4">
            <w:pPr>
              <w:pStyle w:val="Podpisoseba"/>
              <w:spacing w:before="0" w:after="0"/>
              <w:ind w:right="459"/>
              <w:rPr>
                <w:bCs w:val="0"/>
              </w:rPr>
            </w:pPr>
            <w:r>
              <w:t>v</w:t>
            </w:r>
            <w:r w:rsidR="00147774">
              <w:t>išja svetovalka za okolje in prostor</w:t>
            </w:r>
          </w:p>
        </w:tc>
        <w:tc>
          <w:tcPr>
            <w:tcW w:w="3549" w:type="dxa"/>
          </w:tcPr>
          <w:p w14:paraId="770E907E" w14:textId="205201E2" w:rsidR="00A03315" w:rsidRPr="00E639CC" w:rsidRDefault="00167093" w:rsidP="00C818D4">
            <w:pPr>
              <w:pStyle w:val="Podpisoseba"/>
              <w:spacing w:before="0" w:after="0"/>
              <w:rPr>
                <w:bCs w:val="0"/>
              </w:rPr>
            </w:pPr>
            <w:r>
              <w:rPr>
                <w:bCs w:val="0"/>
              </w:rPr>
              <w:t xml:space="preserve">podsekretar – vodja </w:t>
            </w:r>
            <w:r w:rsidR="00476915">
              <w:rPr>
                <w:bCs w:val="0"/>
              </w:rPr>
              <w:t>S</w:t>
            </w:r>
            <w:r w:rsidR="00476915">
              <w:t xml:space="preserve">lužbe za </w:t>
            </w:r>
            <w:r w:rsidR="00B51242">
              <w:t>okolje in prostor</w:t>
            </w:r>
          </w:p>
        </w:tc>
      </w:tr>
    </w:tbl>
    <w:p w14:paraId="3383A950" w14:textId="77777777" w:rsidR="00731380" w:rsidRDefault="00731380" w:rsidP="00352A82"/>
    <w:p w14:paraId="75B97757" w14:textId="5A17DB12" w:rsidR="00167093" w:rsidRPr="00774DD1" w:rsidRDefault="00167093" w:rsidP="00167093">
      <w:pPr>
        <w:pStyle w:val="gradivo"/>
      </w:pPr>
      <w:r>
        <w:t>Priloge</w:t>
      </w:r>
      <w:r w:rsidRPr="00774DD1">
        <w:t>:</w:t>
      </w:r>
    </w:p>
    <w:p w14:paraId="6355EA25" w14:textId="77777777" w:rsidR="003E2946" w:rsidRPr="00485669" w:rsidRDefault="003E2946" w:rsidP="00DE4452">
      <w:pPr>
        <w:pStyle w:val="LCNaslov2"/>
        <w:numPr>
          <w:ilvl w:val="0"/>
          <w:numId w:val="0"/>
        </w:numPr>
        <w:tabs>
          <w:tab w:val="clear" w:pos="567"/>
        </w:tabs>
        <w:spacing w:before="240" w:after="0"/>
        <w:ind w:left="709"/>
        <w:rPr>
          <w:rFonts w:ascii="Verdana" w:eastAsiaTheme="minorHAnsi" w:hAnsi="Verdana" w:cstheme="minorHAnsi"/>
          <w:bCs w:val="0"/>
          <w:color w:val="auto"/>
          <w:sz w:val="20"/>
          <w:szCs w:val="22"/>
          <w:lang w:eastAsia="sl-SI"/>
        </w:rPr>
      </w:pPr>
      <w:r w:rsidRPr="00485669">
        <w:rPr>
          <w:rFonts w:ascii="Verdana" w:eastAsiaTheme="minorHAnsi" w:hAnsi="Verdana" w:cstheme="minorHAnsi"/>
          <w:bCs w:val="0"/>
          <w:color w:val="auto"/>
          <w:sz w:val="20"/>
          <w:szCs w:val="22"/>
          <w:lang w:eastAsia="sl-SI"/>
        </w:rPr>
        <w:t>Tekstualni del:</w:t>
      </w:r>
    </w:p>
    <w:p w14:paraId="72047211" w14:textId="77777777" w:rsidR="003E2946" w:rsidRPr="00485669" w:rsidRDefault="003E2946" w:rsidP="00DE4452">
      <w:pPr>
        <w:pStyle w:val="Odstavekseznama"/>
        <w:numPr>
          <w:ilvl w:val="0"/>
          <w:numId w:val="12"/>
        </w:numPr>
        <w:spacing w:after="0" w:line="254" w:lineRule="auto"/>
        <w:ind w:left="993" w:right="0" w:hanging="284"/>
      </w:pPr>
      <w:r w:rsidRPr="00485669">
        <w:t>Odlok o Občinskem prostorskem načrtu Mestne občine Nova Gorica - neuradno prečiščeno besed z vidnimi popravki</w:t>
      </w:r>
    </w:p>
    <w:p w14:paraId="2F98F435" w14:textId="77777777" w:rsidR="003E2946" w:rsidRPr="00485669" w:rsidRDefault="003E2946" w:rsidP="003E2946">
      <w:pPr>
        <w:pStyle w:val="Odstavekseznama"/>
        <w:numPr>
          <w:ilvl w:val="1"/>
          <w:numId w:val="12"/>
        </w:numPr>
        <w:spacing w:after="0" w:line="254" w:lineRule="auto"/>
        <w:ind w:right="0"/>
      </w:pPr>
      <w:r w:rsidRPr="00485669">
        <w:t>Priloga 1 – vrste dovoljenih osnovnih objektov, ki se lahko gradijo na stavbnih namenskih rabah</w:t>
      </w:r>
    </w:p>
    <w:p w14:paraId="19DD5CD0" w14:textId="77777777" w:rsidR="003E2946" w:rsidRPr="00485669" w:rsidRDefault="003E2946" w:rsidP="003E2946">
      <w:pPr>
        <w:pStyle w:val="Odstavekseznama"/>
        <w:numPr>
          <w:ilvl w:val="1"/>
          <w:numId w:val="12"/>
        </w:numPr>
        <w:spacing w:after="0" w:line="254" w:lineRule="auto"/>
        <w:ind w:right="0"/>
      </w:pPr>
      <w:r w:rsidRPr="00485669">
        <w:t>Priloga 2 – regulacijske črte v prostoru</w:t>
      </w:r>
    </w:p>
    <w:p w14:paraId="5C3E5CF2" w14:textId="77777777" w:rsidR="003E2946" w:rsidRPr="00485669" w:rsidRDefault="003E2946" w:rsidP="003E2946">
      <w:pPr>
        <w:pStyle w:val="Odstavekseznama"/>
        <w:numPr>
          <w:ilvl w:val="1"/>
          <w:numId w:val="12"/>
        </w:numPr>
        <w:spacing w:after="0" w:line="254" w:lineRule="auto"/>
        <w:ind w:right="0"/>
      </w:pPr>
      <w:r w:rsidRPr="00485669">
        <w:t>Priloga 3 – grafični podrobni prostorski izvedbeni pogoji za posamezne Enote urejanja prostora</w:t>
      </w:r>
    </w:p>
    <w:p w14:paraId="5F809165" w14:textId="77777777" w:rsidR="003E2946" w:rsidRPr="00485669" w:rsidRDefault="003E2946" w:rsidP="003E2946">
      <w:pPr>
        <w:pStyle w:val="Odstavekseznama"/>
        <w:numPr>
          <w:ilvl w:val="1"/>
          <w:numId w:val="12"/>
        </w:numPr>
        <w:spacing w:after="0" w:line="254" w:lineRule="auto"/>
        <w:ind w:right="0"/>
      </w:pPr>
      <w:r w:rsidRPr="00485669">
        <w:t>Priloga 4 – enote urejanja prostora s podrobnimi prostorskimi izvedbenimi pogoji in usmeritvami za načrtovanje OPPN</w:t>
      </w:r>
    </w:p>
    <w:p w14:paraId="6256B598" w14:textId="4D542610" w:rsidR="003E2946" w:rsidRPr="00485669" w:rsidRDefault="003E2946" w:rsidP="00DE4452">
      <w:pPr>
        <w:pStyle w:val="LCNaslov2"/>
        <w:numPr>
          <w:ilvl w:val="0"/>
          <w:numId w:val="0"/>
        </w:numPr>
        <w:tabs>
          <w:tab w:val="clear" w:pos="567"/>
        </w:tabs>
        <w:spacing w:before="240" w:after="0"/>
        <w:ind w:left="709"/>
        <w:rPr>
          <w:rFonts w:ascii="Verdana" w:eastAsiaTheme="minorHAnsi" w:hAnsi="Verdana" w:cstheme="minorHAnsi"/>
          <w:bCs w:val="0"/>
          <w:color w:val="auto"/>
          <w:sz w:val="20"/>
          <w:szCs w:val="22"/>
          <w:lang w:eastAsia="sl-SI"/>
        </w:rPr>
      </w:pPr>
      <w:r w:rsidRPr="00485669">
        <w:rPr>
          <w:rFonts w:ascii="Verdana" w:eastAsiaTheme="minorHAnsi" w:hAnsi="Verdana" w:cstheme="minorHAnsi"/>
          <w:bCs w:val="0"/>
          <w:color w:val="auto"/>
          <w:sz w:val="20"/>
          <w:szCs w:val="22"/>
          <w:lang w:eastAsia="sl-SI"/>
        </w:rPr>
        <w:t>Grafični del:</w:t>
      </w:r>
    </w:p>
    <w:p w14:paraId="33816342" w14:textId="77777777" w:rsidR="003E2946" w:rsidRPr="00485669" w:rsidRDefault="003E2946" w:rsidP="00DE4452">
      <w:pPr>
        <w:pStyle w:val="Odstavekseznama"/>
        <w:numPr>
          <w:ilvl w:val="0"/>
          <w:numId w:val="12"/>
        </w:numPr>
        <w:spacing w:after="0" w:line="254" w:lineRule="auto"/>
        <w:ind w:left="993" w:right="0" w:hanging="284"/>
      </w:pPr>
      <w:r w:rsidRPr="00485669">
        <w:t>Strateški del</w:t>
      </w:r>
    </w:p>
    <w:p w14:paraId="05C9A90E" w14:textId="77777777" w:rsidR="003E2946" w:rsidRPr="00485669" w:rsidRDefault="003E2946" w:rsidP="003E2946">
      <w:pPr>
        <w:pStyle w:val="Odstavekseznama"/>
        <w:numPr>
          <w:ilvl w:val="1"/>
          <w:numId w:val="12"/>
        </w:numPr>
        <w:autoSpaceDE w:val="0"/>
        <w:autoSpaceDN w:val="0"/>
        <w:adjustRightInd w:val="0"/>
        <w:spacing w:after="0" w:line="240" w:lineRule="auto"/>
        <w:ind w:right="0"/>
        <w:rPr>
          <w:rFonts w:cstheme="minorHAnsi"/>
        </w:rPr>
      </w:pPr>
      <w:r w:rsidRPr="00485669">
        <w:rPr>
          <w:rFonts w:cstheme="minorHAnsi"/>
        </w:rPr>
        <w:t>Karta 1: Zasnova prostorskega razvoja</w:t>
      </w:r>
    </w:p>
    <w:p w14:paraId="24673BE7" w14:textId="77777777" w:rsidR="003E2946" w:rsidRPr="00485669" w:rsidRDefault="003E2946" w:rsidP="003E2946">
      <w:pPr>
        <w:pStyle w:val="Odstavekseznama"/>
        <w:numPr>
          <w:ilvl w:val="1"/>
          <w:numId w:val="12"/>
        </w:numPr>
        <w:autoSpaceDE w:val="0"/>
        <w:autoSpaceDN w:val="0"/>
        <w:adjustRightInd w:val="0"/>
        <w:spacing w:after="0" w:line="240" w:lineRule="auto"/>
        <w:ind w:right="0"/>
        <w:rPr>
          <w:rFonts w:cstheme="minorHAnsi"/>
        </w:rPr>
      </w:pPr>
      <w:r w:rsidRPr="00485669">
        <w:rPr>
          <w:rFonts w:cstheme="minorHAnsi"/>
        </w:rPr>
        <w:lastRenderedPageBreak/>
        <w:t>Karta 4.1: Dejavnosti in naravni viri</w:t>
      </w:r>
    </w:p>
    <w:p w14:paraId="2771E124" w14:textId="77777777" w:rsidR="003E2946" w:rsidRPr="00485669" w:rsidRDefault="003E2946" w:rsidP="003E2946">
      <w:pPr>
        <w:pStyle w:val="Odstavekseznama"/>
        <w:numPr>
          <w:ilvl w:val="0"/>
          <w:numId w:val="12"/>
        </w:numPr>
        <w:spacing w:after="0" w:line="254" w:lineRule="auto"/>
        <w:ind w:left="993" w:right="0" w:hanging="426"/>
      </w:pPr>
      <w:r w:rsidRPr="00485669">
        <w:t>Izvedbeni del NRP</w:t>
      </w:r>
    </w:p>
    <w:p w14:paraId="56D6DBD9" w14:textId="77777777" w:rsidR="003E2946" w:rsidRPr="00485669" w:rsidRDefault="003E2946" w:rsidP="003E2946">
      <w:pPr>
        <w:pStyle w:val="Odstavekseznama"/>
        <w:numPr>
          <w:ilvl w:val="0"/>
          <w:numId w:val="12"/>
        </w:numPr>
        <w:spacing w:after="0" w:line="254" w:lineRule="auto"/>
        <w:ind w:left="993" w:right="0" w:hanging="426"/>
      </w:pPr>
      <w:r w:rsidRPr="00485669">
        <w:t>Izvedbeni del GJI</w:t>
      </w:r>
    </w:p>
    <w:p w14:paraId="0BBCEF66" w14:textId="77777777" w:rsidR="003E2946" w:rsidRPr="00485669" w:rsidRDefault="003E2946" w:rsidP="00DE4452">
      <w:pPr>
        <w:pStyle w:val="LCNaslov2"/>
        <w:numPr>
          <w:ilvl w:val="0"/>
          <w:numId w:val="0"/>
        </w:numPr>
        <w:tabs>
          <w:tab w:val="clear" w:pos="567"/>
        </w:tabs>
        <w:spacing w:before="240" w:after="0"/>
        <w:ind w:left="709"/>
        <w:rPr>
          <w:rFonts w:ascii="Verdana" w:eastAsiaTheme="minorHAnsi" w:hAnsi="Verdana" w:cstheme="minorHAnsi"/>
          <w:bCs w:val="0"/>
          <w:color w:val="auto"/>
          <w:sz w:val="20"/>
          <w:szCs w:val="22"/>
          <w:lang w:eastAsia="sl-SI"/>
        </w:rPr>
      </w:pPr>
      <w:r w:rsidRPr="00485669">
        <w:rPr>
          <w:rFonts w:ascii="Verdana" w:eastAsiaTheme="minorHAnsi" w:hAnsi="Verdana" w:cstheme="minorHAnsi"/>
          <w:bCs w:val="0"/>
          <w:color w:val="auto"/>
          <w:sz w:val="20"/>
          <w:szCs w:val="22"/>
          <w:lang w:eastAsia="sl-SI"/>
        </w:rPr>
        <w:t>Priloge:</w:t>
      </w:r>
    </w:p>
    <w:p w14:paraId="6A38CE2E" w14:textId="77777777" w:rsidR="003E2946" w:rsidRPr="00485669" w:rsidRDefault="003E2946" w:rsidP="00DE4452">
      <w:pPr>
        <w:pStyle w:val="Odstavekseznama"/>
        <w:numPr>
          <w:ilvl w:val="0"/>
          <w:numId w:val="12"/>
        </w:numPr>
        <w:spacing w:after="0" w:line="254" w:lineRule="auto"/>
        <w:ind w:left="993" w:right="0" w:hanging="284"/>
      </w:pPr>
      <w:r w:rsidRPr="00485669">
        <w:t>skladnost z nadrejenim aktom</w:t>
      </w:r>
    </w:p>
    <w:p w14:paraId="204AA869" w14:textId="77777777" w:rsidR="003E2946" w:rsidRPr="00485669" w:rsidRDefault="003E2946" w:rsidP="00DE4452">
      <w:pPr>
        <w:pStyle w:val="Odstavekseznama"/>
        <w:numPr>
          <w:ilvl w:val="0"/>
          <w:numId w:val="12"/>
        </w:numPr>
        <w:spacing w:after="0" w:line="254" w:lineRule="auto"/>
        <w:ind w:left="993" w:right="0" w:hanging="284"/>
      </w:pPr>
      <w:r w:rsidRPr="00485669">
        <w:t xml:space="preserve">prikaz stanja prostora </w:t>
      </w:r>
    </w:p>
    <w:p w14:paraId="6B2B749F" w14:textId="77777777" w:rsidR="003E2946" w:rsidRPr="00485669" w:rsidRDefault="003E2946" w:rsidP="00DE4452">
      <w:pPr>
        <w:pStyle w:val="Odstavekseznama"/>
        <w:numPr>
          <w:ilvl w:val="0"/>
          <w:numId w:val="12"/>
        </w:numPr>
        <w:spacing w:after="0" w:line="254" w:lineRule="auto"/>
        <w:ind w:left="993" w:right="0" w:hanging="284"/>
      </w:pPr>
      <w:r w:rsidRPr="00485669">
        <w:t xml:space="preserve">strokovne podlage </w:t>
      </w:r>
    </w:p>
    <w:p w14:paraId="7D25E59A" w14:textId="77777777" w:rsidR="003E2946" w:rsidRPr="00485669" w:rsidRDefault="003E2946" w:rsidP="003E2946">
      <w:pPr>
        <w:pStyle w:val="Odstavekseznama"/>
        <w:numPr>
          <w:ilvl w:val="1"/>
          <w:numId w:val="12"/>
        </w:numPr>
        <w:autoSpaceDE w:val="0"/>
        <w:autoSpaceDN w:val="0"/>
        <w:adjustRightInd w:val="0"/>
        <w:spacing w:after="0" w:line="240" w:lineRule="auto"/>
        <w:ind w:right="0"/>
        <w:rPr>
          <w:rFonts w:cstheme="minorHAnsi"/>
        </w:rPr>
      </w:pPr>
      <w:r w:rsidRPr="00485669">
        <w:rPr>
          <w:rFonts w:cstheme="minorHAnsi"/>
        </w:rPr>
        <w:t xml:space="preserve">Krajinska zasnova MONG, Locus d.o.o, avgust 2020, </w:t>
      </w:r>
    </w:p>
    <w:p w14:paraId="31E6503D" w14:textId="77777777" w:rsidR="003E2946" w:rsidRPr="00485669" w:rsidRDefault="003E2946" w:rsidP="003E2946">
      <w:pPr>
        <w:pStyle w:val="Odstavekseznama"/>
        <w:numPr>
          <w:ilvl w:val="1"/>
          <w:numId w:val="12"/>
        </w:numPr>
        <w:autoSpaceDE w:val="0"/>
        <w:autoSpaceDN w:val="0"/>
        <w:adjustRightInd w:val="0"/>
        <w:spacing w:after="0" w:line="240" w:lineRule="auto"/>
        <w:ind w:right="0"/>
        <w:rPr>
          <w:rFonts w:cstheme="minorHAnsi"/>
        </w:rPr>
      </w:pPr>
      <w:r w:rsidRPr="00485669">
        <w:rPr>
          <w:rFonts w:cstheme="minorHAnsi"/>
        </w:rPr>
        <w:t>Umestitev kampov v prostor Mestne občine Nova Gorica, Locus d.o.o., november 2022</w:t>
      </w:r>
    </w:p>
    <w:p w14:paraId="6BA10169" w14:textId="77777777" w:rsidR="003E2946" w:rsidRPr="00485669" w:rsidRDefault="003E2946" w:rsidP="003E2946">
      <w:pPr>
        <w:pStyle w:val="Odstavekseznama"/>
        <w:numPr>
          <w:ilvl w:val="1"/>
          <w:numId w:val="12"/>
        </w:numPr>
        <w:autoSpaceDE w:val="0"/>
        <w:autoSpaceDN w:val="0"/>
        <w:adjustRightInd w:val="0"/>
        <w:spacing w:after="0" w:line="240" w:lineRule="auto"/>
        <w:ind w:right="0"/>
        <w:rPr>
          <w:rFonts w:cstheme="minorHAnsi"/>
        </w:rPr>
      </w:pPr>
      <w:r w:rsidRPr="00485669">
        <w:rPr>
          <w:rFonts w:cstheme="minorHAnsi"/>
        </w:rPr>
        <w:t>Hidrološko-hidravlična analiza celovitih oziroma omilitvenih ukrepov za izvedbo protipoplavnih ukrepov na vodotoku Liskur, Hidrolab d.o.o., november 2022, dopolnitev junij 2023</w:t>
      </w:r>
    </w:p>
    <w:p w14:paraId="1ABFFD67" w14:textId="77777777" w:rsidR="003E2946" w:rsidRPr="00485669" w:rsidRDefault="003E2946" w:rsidP="003E2946">
      <w:pPr>
        <w:pStyle w:val="Odstavekseznama"/>
        <w:numPr>
          <w:ilvl w:val="1"/>
          <w:numId w:val="12"/>
        </w:numPr>
        <w:autoSpaceDE w:val="0"/>
        <w:autoSpaceDN w:val="0"/>
        <w:adjustRightInd w:val="0"/>
        <w:spacing w:after="0" w:line="240" w:lineRule="auto"/>
        <w:ind w:right="0"/>
        <w:rPr>
          <w:rFonts w:cstheme="minorHAnsi"/>
        </w:rPr>
      </w:pPr>
      <w:r w:rsidRPr="00485669">
        <w:rPr>
          <w:rFonts w:cstheme="minorHAnsi"/>
        </w:rPr>
        <w:t>Strokovna obrazložitev v zvezi z območjem redkih poplav med Kolodvorsko in Prvomajsko ulico, Hidrolab d.o.o.,junij 2022</w:t>
      </w:r>
    </w:p>
    <w:p w14:paraId="52690D64" w14:textId="77777777" w:rsidR="003E2946" w:rsidRPr="00485669" w:rsidRDefault="003E2946" w:rsidP="003E2946">
      <w:pPr>
        <w:pStyle w:val="Odstavekseznama"/>
        <w:numPr>
          <w:ilvl w:val="1"/>
          <w:numId w:val="12"/>
        </w:numPr>
        <w:autoSpaceDE w:val="0"/>
        <w:autoSpaceDN w:val="0"/>
        <w:adjustRightInd w:val="0"/>
        <w:spacing w:after="0" w:line="240" w:lineRule="auto"/>
        <w:ind w:right="0"/>
        <w:rPr>
          <w:rFonts w:cstheme="minorHAnsi"/>
        </w:rPr>
      </w:pPr>
      <w:r w:rsidRPr="00485669">
        <w:rPr>
          <w:rFonts w:cstheme="minorHAnsi"/>
        </w:rPr>
        <w:t>Ocena vpliva posega na plazljiva območja – za poseg SD OPN za mestno občino Nova Gorica, Strokovne podlage po vsebini geotehničnega poročila skladno s prilogo 8 splošnih smernic s področja upravljanja z vodami, IRGO Consulting d.o.o., št. projekta 3030781, avgust 2025.</w:t>
      </w:r>
    </w:p>
    <w:p w14:paraId="23339F47" w14:textId="77777777" w:rsidR="003E2946" w:rsidRPr="00485669" w:rsidRDefault="003E2946" w:rsidP="003E2946">
      <w:pPr>
        <w:pStyle w:val="Odstavekseznama"/>
        <w:numPr>
          <w:ilvl w:val="1"/>
          <w:numId w:val="12"/>
        </w:numPr>
        <w:autoSpaceDE w:val="0"/>
        <w:autoSpaceDN w:val="0"/>
        <w:adjustRightInd w:val="0"/>
        <w:spacing w:after="0" w:line="240" w:lineRule="auto"/>
        <w:ind w:right="0"/>
        <w:rPr>
          <w:rFonts w:cstheme="minorHAnsi"/>
        </w:rPr>
      </w:pPr>
      <w:r w:rsidRPr="00485669">
        <w:rPr>
          <w:rFonts w:cstheme="minorHAnsi"/>
        </w:rPr>
        <w:t>Ocena vpliva posega na plazljiva območja – za ločena zemljišča naročnika X Race Camp d. o. o, IRGO, februar 2026</w:t>
      </w:r>
    </w:p>
    <w:p w14:paraId="0E723A7E" w14:textId="77777777" w:rsidR="003E2946" w:rsidRPr="00485669" w:rsidRDefault="003E2946" w:rsidP="003E2946">
      <w:pPr>
        <w:pStyle w:val="Odstavekseznama"/>
        <w:numPr>
          <w:ilvl w:val="1"/>
          <w:numId w:val="12"/>
        </w:numPr>
        <w:autoSpaceDE w:val="0"/>
        <w:autoSpaceDN w:val="0"/>
        <w:adjustRightInd w:val="0"/>
        <w:spacing w:after="0" w:line="240" w:lineRule="auto"/>
        <w:ind w:right="0"/>
        <w:rPr>
          <w:rFonts w:cstheme="minorHAnsi"/>
        </w:rPr>
      </w:pPr>
      <w:r w:rsidRPr="00485669">
        <w:rPr>
          <w:rFonts w:cstheme="minorHAnsi"/>
        </w:rPr>
        <w:t>Ocena vpliva posega na plazljiva območja – za nadomestna kmetijska zemljišča na parcelah 3140/1, 3141, k. o.  2311 - Vitovlje, IRGO, februar 2026</w:t>
      </w:r>
    </w:p>
    <w:p w14:paraId="4F3AA321" w14:textId="77777777" w:rsidR="003E2946" w:rsidRPr="00485669" w:rsidRDefault="003E2946" w:rsidP="003E2946">
      <w:pPr>
        <w:pStyle w:val="Odstavekseznama"/>
        <w:numPr>
          <w:ilvl w:val="1"/>
          <w:numId w:val="12"/>
        </w:numPr>
        <w:autoSpaceDE w:val="0"/>
        <w:autoSpaceDN w:val="0"/>
        <w:adjustRightInd w:val="0"/>
        <w:spacing w:after="0" w:line="240" w:lineRule="auto"/>
        <w:ind w:right="0"/>
        <w:rPr>
          <w:rFonts w:cstheme="minorHAnsi"/>
        </w:rPr>
      </w:pPr>
      <w:r w:rsidRPr="00485669">
        <w:rPr>
          <w:rFonts w:cstheme="minorHAnsi"/>
        </w:rPr>
        <w:t>Elaborat nadomestnih kmetijskih zemljišč za potrebe mestne občine Nova Gorica, Agrarius d.o.o. pedološke raziskave in projektiranje, 2025.</w:t>
      </w:r>
    </w:p>
    <w:p w14:paraId="1790FB0A" w14:textId="77777777" w:rsidR="003E2946" w:rsidRPr="00485669" w:rsidRDefault="003E2946" w:rsidP="00DE4452">
      <w:pPr>
        <w:pStyle w:val="Odstavekseznama"/>
        <w:numPr>
          <w:ilvl w:val="0"/>
          <w:numId w:val="12"/>
        </w:numPr>
        <w:spacing w:after="0" w:line="254" w:lineRule="auto"/>
        <w:ind w:left="993" w:right="0" w:hanging="284"/>
      </w:pPr>
      <w:r w:rsidRPr="00485669">
        <w:t>obrazložitev in utemeljitev akta, vključno z</w:t>
      </w:r>
    </w:p>
    <w:p w14:paraId="2FFB5E23" w14:textId="77777777" w:rsidR="003E2946" w:rsidRPr="00485669" w:rsidRDefault="003E2946" w:rsidP="003E2946">
      <w:pPr>
        <w:pStyle w:val="Odstavekseznama"/>
        <w:numPr>
          <w:ilvl w:val="1"/>
          <w:numId w:val="12"/>
        </w:numPr>
        <w:autoSpaceDE w:val="0"/>
        <w:autoSpaceDN w:val="0"/>
        <w:adjustRightInd w:val="0"/>
        <w:spacing w:after="0" w:line="240" w:lineRule="auto"/>
        <w:ind w:right="0"/>
        <w:rPr>
          <w:rFonts w:cstheme="minorHAnsi"/>
        </w:rPr>
      </w:pPr>
      <w:r w:rsidRPr="00485669">
        <w:rPr>
          <w:rFonts w:cstheme="minorHAnsi"/>
        </w:rPr>
        <w:t>Bilancami namenske rabe prostora</w:t>
      </w:r>
    </w:p>
    <w:p w14:paraId="595744B2" w14:textId="77777777" w:rsidR="003E2946" w:rsidRPr="00485669" w:rsidRDefault="003E2946" w:rsidP="003E2946">
      <w:pPr>
        <w:pStyle w:val="Odstavekseznama"/>
        <w:numPr>
          <w:ilvl w:val="1"/>
          <w:numId w:val="12"/>
        </w:numPr>
        <w:autoSpaceDE w:val="0"/>
        <w:autoSpaceDN w:val="0"/>
        <w:adjustRightInd w:val="0"/>
        <w:spacing w:after="0" w:line="240" w:lineRule="auto"/>
        <w:ind w:right="0"/>
        <w:rPr>
          <w:rFonts w:cstheme="minorHAnsi"/>
        </w:rPr>
      </w:pPr>
      <w:r w:rsidRPr="00485669">
        <w:rPr>
          <w:rFonts w:cstheme="minorHAnsi"/>
        </w:rPr>
        <w:t xml:space="preserve">Pregledno karto - pregled lokacij pobud </w:t>
      </w:r>
    </w:p>
    <w:p w14:paraId="03F354A8" w14:textId="77777777" w:rsidR="003E2946" w:rsidRPr="00485669" w:rsidRDefault="003E2946" w:rsidP="00DE4452">
      <w:pPr>
        <w:pStyle w:val="Odstavekseznama"/>
        <w:numPr>
          <w:ilvl w:val="0"/>
          <w:numId w:val="12"/>
        </w:numPr>
        <w:spacing w:after="0" w:line="254" w:lineRule="auto"/>
        <w:ind w:left="993" w:right="0" w:hanging="284"/>
      </w:pPr>
      <w:r w:rsidRPr="00485669">
        <w:t>okoljsko poročilo</w:t>
      </w:r>
    </w:p>
    <w:p w14:paraId="29036B67" w14:textId="77777777" w:rsidR="003E2946" w:rsidRPr="00485669" w:rsidRDefault="003E2946" w:rsidP="00DE4452">
      <w:pPr>
        <w:pStyle w:val="Odstavekseznama"/>
        <w:numPr>
          <w:ilvl w:val="0"/>
          <w:numId w:val="12"/>
        </w:numPr>
        <w:spacing w:after="0" w:line="254" w:lineRule="auto"/>
        <w:ind w:left="993" w:right="0" w:hanging="284"/>
      </w:pPr>
      <w:r w:rsidRPr="00485669">
        <w:t>pridobljena prva mnenja</w:t>
      </w:r>
    </w:p>
    <w:p w14:paraId="033C1501" w14:textId="77777777" w:rsidR="003E2946" w:rsidRPr="00485669" w:rsidRDefault="003E2946" w:rsidP="00DE4452">
      <w:pPr>
        <w:pStyle w:val="Odstavekseznama"/>
        <w:numPr>
          <w:ilvl w:val="0"/>
          <w:numId w:val="12"/>
        </w:numPr>
        <w:spacing w:after="0" w:line="254" w:lineRule="auto"/>
        <w:ind w:left="993" w:right="0" w:hanging="284"/>
      </w:pPr>
      <w:r w:rsidRPr="00485669">
        <w:t>pridobljena druga mnenja</w:t>
      </w:r>
    </w:p>
    <w:p w14:paraId="32FE7EE3" w14:textId="77777777" w:rsidR="003E2946" w:rsidRPr="00485669" w:rsidRDefault="003E2946" w:rsidP="00DE4452">
      <w:pPr>
        <w:pStyle w:val="Odstavekseznama"/>
        <w:numPr>
          <w:ilvl w:val="0"/>
          <w:numId w:val="12"/>
        </w:numPr>
        <w:spacing w:after="0" w:line="254" w:lineRule="auto"/>
        <w:ind w:left="993" w:right="0" w:hanging="284"/>
      </w:pPr>
      <w:r w:rsidRPr="00485669">
        <w:t>povzetek za javnost</w:t>
      </w:r>
    </w:p>
    <w:p w14:paraId="65D7477A" w14:textId="7CD71BE4" w:rsidR="00714788" w:rsidRPr="0066085E" w:rsidRDefault="00714788" w:rsidP="00DE4452">
      <w:pPr>
        <w:pStyle w:val="gradivo"/>
        <w:ind w:left="1429"/>
      </w:pPr>
    </w:p>
    <w:sectPr w:rsidR="00714788" w:rsidRPr="0066085E" w:rsidSect="00E217AD">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588B7" w14:textId="77777777" w:rsidR="00A11703" w:rsidRDefault="00A11703" w:rsidP="00352A82">
      <w:r>
        <w:separator/>
      </w:r>
    </w:p>
  </w:endnote>
  <w:endnote w:type="continuationSeparator" w:id="0">
    <w:p w14:paraId="15B75CE7" w14:textId="77777777" w:rsidR="00A11703" w:rsidRDefault="00A11703"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Roman">
    <w:altName w:val="Times New Roman"/>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C5BCE" w14:textId="414AE1C0" w:rsidR="005E3A11" w:rsidRDefault="00E217AD">
    <w:pPr>
      <w:pStyle w:val="Noga"/>
    </w:pPr>
    <w:r w:rsidRPr="008759F5">
      <w:drawing>
        <wp:anchor distT="0" distB="0" distL="114300" distR="114300" simplePos="0" relativeHeight="251691008"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07713443" name="Slika 2077134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1045009699" name="Slika 10450096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19952" w14:textId="77777777" w:rsidR="00A11703" w:rsidRDefault="00A11703" w:rsidP="00352A82">
      <w:r>
        <w:separator/>
      </w:r>
    </w:p>
  </w:footnote>
  <w:footnote w:type="continuationSeparator" w:id="0">
    <w:p w14:paraId="2A52BFA5" w14:textId="77777777" w:rsidR="00A11703" w:rsidRDefault="00A11703"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88C53" w14:textId="290C453D" w:rsidR="005E3A11" w:rsidRDefault="00E217AD">
    <w:pPr>
      <w:pStyle w:val="Glava"/>
    </w:pPr>
    <w:r>
      <w:drawing>
        <wp:anchor distT="0" distB="0" distL="114300" distR="114300" simplePos="0" relativeHeight="251688960"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396164362" name="Slika 396164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84864" behindDoc="1" locked="0" layoutInCell="1" allowOverlap="1" wp14:anchorId="61A8A9BC" wp14:editId="592A956C">
          <wp:simplePos x="0" y="0"/>
          <wp:positionH relativeFrom="page">
            <wp:align>center</wp:align>
          </wp:positionH>
          <wp:positionV relativeFrom="page">
            <wp:align>top</wp:align>
          </wp:positionV>
          <wp:extent cx="7556400" cy="936000"/>
          <wp:effectExtent l="0" t="0" r="0" b="0"/>
          <wp:wrapNone/>
          <wp:docPr id="1722035409" name="Slika 1722035409"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028B351F"/>
    <w:multiLevelType w:val="multilevel"/>
    <w:tmpl w:val="CCA45C48"/>
    <w:styleLink w:val="Locus"/>
    <w:lvl w:ilvl="0">
      <w:start w:val="1"/>
      <w:numFmt w:val="decimal"/>
      <w:pStyle w:val="LCNaslov1"/>
      <w:lvlText w:val="%1"/>
      <w:lvlJc w:val="left"/>
      <w:pPr>
        <w:ind w:left="425" w:hanging="425"/>
      </w:pPr>
      <w:rPr>
        <w:rFonts w:hint="default"/>
      </w:rPr>
    </w:lvl>
    <w:lvl w:ilvl="1">
      <w:start w:val="1"/>
      <w:numFmt w:val="decimal"/>
      <w:pStyle w:val="LCNaslov2"/>
      <w:lvlText w:val="%1.%2"/>
      <w:lvlJc w:val="left"/>
      <w:pPr>
        <w:ind w:left="567" w:hanging="567"/>
      </w:pPr>
      <w:rPr>
        <w:rFonts w:hint="default"/>
      </w:rPr>
    </w:lvl>
    <w:lvl w:ilvl="2">
      <w:start w:val="1"/>
      <w:numFmt w:val="decimal"/>
      <w:pStyle w:val="LCNaslov3"/>
      <w:lvlText w:val="%2.%3.1"/>
      <w:lvlJc w:val="left"/>
      <w:pPr>
        <w:tabs>
          <w:tab w:val="num" w:pos="567"/>
        </w:tabs>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BA7251E"/>
    <w:multiLevelType w:val="hybridMultilevel"/>
    <w:tmpl w:val="9DAA072A"/>
    <w:lvl w:ilvl="0" w:tplc="B69E6896">
      <w:start w:val="1"/>
      <w:numFmt w:val="decimal"/>
      <w:lvlText w:val="(%1)"/>
      <w:lvlJc w:val="left"/>
      <w:pPr>
        <w:ind w:left="1084" w:hanging="375"/>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 w15:restartNumberingAfterBreak="0">
    <w:nsid w:val="176F424A"/>
    <w:multiLevelType w:val="hybridMultilevel"/>
    <w:tmpl w:val="57B4062C"/>
    <w:lvl w:ilvl="0" w:tplc="04240005">
      <w:start w:val="1"/>
      <w:numFmt w:val="bullet"/>
      <w:lvlText w:val=""/>
      <w:lvlJc w:val="left"/>
      <w:pPr>
        <w:ind w:left="720" w:hanging="360"/>
      </w:pPr>
      <w:rPr>
        <w:rFonts w:ascii="Wingdings" w:hAnsi="Wingdings" w:hint="default"/>
        <w:color w:val="7BA4DB"/>
        <w:kern w:val="2"/>
      </w:rPr>
    </w:lvl>
    <w:lvl w:ilvl="1" w:tplc="FFFFFFFF">
      <w:start w:val="4"/>
      <w:numFmt w:val="bullet"/>
      <w:lvlText w:val="-"/>
      <w:lvlJc w:val="left"/>
      <w:pPr>
        <w:ind w:left="144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6" w15:restartNumberingAfterBreak="0">
    <w:nsid w:val="1EDF1987"/>
    <w:multiLevelType w:val="hybridMultilevel"/>
    <w:tmpl w:val="62246EE4"/>
    <w:lvl w:ilvl="0" w:tplc="04240005">
      <w:start w:val="1"/>
      <w:numFmt w:val="bullet"/>
      <w:lvlText w:val=""/>
      <w:lvlJc w:val="left"/>
      <w:pPr>
        <w:ind w:left="720" w:hanging="360"/>
      </w:pPr>
      <w:rPr>
        <w:rFonts w:ascii="Wingdings" w:hAnsi="Wingdings" w:hint="default"/>
        <w:color w:val="7BA4DB"/>
        <w:kern w:val="2"/>
      </w:rPr>
    </w:lvl>
    <w:lvl w:ilvl="1" w:tplc="FFFFFFFF">
      <w:start w:val="4"/>
      <w:numFmt w:val="bullet"/>
      <w:lvlText w:val="-"/>
      <w:lvlJc w:val="left"/>
      <w:pPr>
        <w:ind w:left="144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8" w15:restartNumberingAfterBreak="0">
    <w:nsid w:val="2C003D25"/>
    <w:multiLevelType w:val="hybridMultilevel"/>
    <w:tmpl w:val="D7627B50"/>
    <w:lvl w:ilvl="0" w:tplc="E462076A">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9" w15:restartNumberingAfterBreak="0">
    <w:nsid w:val="3FE5683B"/>
    <w:multiLevelType w:val="hybridMultilevel"/>
    <w:tmpl w:val="42FE5F8E"/>
    <w:lvl w:ilvl="0" w:tplc="6A628A2C">
      <w:start w:val="4"/>
      <w:numFmt w:val="bullet"/>
      <w:lvlText w:val="-"/>
      <w:lvlJc w:val="left"/>
      <w:pPr>
        <w:ind w:left="0" w:firstLine="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1"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3"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4"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5"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6" w15:restartNumberingAfterBreak="0">
    <w:nsid w:val="762F4288"/>
    <w:multiLevelType w:val="hybridMultilevel"/>
    <w:tmpl w:val="A3F20E1C"/>
    <w:lvl w:ilvl="0" w:tplc="04240005">
      <w:start w:val="1"/>
      <w:numFmt w:val="bullet"/>
      <w:lvlText w:val=""/>
      <w:lvlJc w:val="left"/>
      <w:pPr>
        <w:ind w:left="720" w:hanging="360"/>
      </w:pPr>
      <w:rPr>
        <w:rFonts w:ascii="Wingdings" w:hAnsi="Wingdings" w:hint="default"/>
        <w:color w:val="7BA4DB"/>
        <w:kern w:val="2"/>
      </w:rPr>
    </w:lvl>
    <w:lvl w:ilvl="1" w:tplc="6A628A2C">
      <w:start w:val="4"/>
      <w:numFmt w:val="bullet"/>
      <w:lvlText w:val="-"/>
      <w:lvlJc w:val="left"/>
      <w:pPr>
        <w:ind w:left="144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937002D"/>
    <w:multiLevelType w:val="hybridMultilevel"/>
    <w:tmpl w:val="4CA86086"/>
    <w:lvl w:ilvl="0" w:tplc="04240001">
      <w:start w:val="1"/>
      <w:numFmt w:val="bullet"/>
      <w:lvlText w:val=""/>
      <w:lvlJc w:val="left"/>
      <w:pPr>
        <w:ind w:left="720" w:hanging="360"/>
      </w:pPr>
      <w:rPr>
        <w:rFonts w:ascii="Symbol" w:hAnsi="Symbol" w:hint="default"/>
        <w:color w:val="7BA4DB"/>
        <w:kern w:val="2"/>
      </w:rPr>
    </w:lvl>
    <w:lvl w:ilvl="1" w:tplc="FFFFFFFF">
      <w:start w:val="4"/>
      <w:numFmt w:val="bullet"/>
      <w:lvlText w:val="-"/>
      <w:lvlJc w:val="left"/>
      <w:pPr>
        <w:ind w:left="144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77129964">
    <w:abstractNumId w:val="11"/>
  </w:num>
  <w:num w:numId="2" w16cid:durableId="1164929981">
    <w:abstractNumId w:val="14"/>
  </w:num>
  <w:num w:numId="3" w16cid:durableId="1314213452">
    <w:abstractNumId w:val="0"/>
  </w:num>
  <w:num w:numId="4" w16cid:durableId="629288842">
    <w:abstractNumId w:val="7"/>
  </w:num>
  <w:num w:numId="5" w16cid:durableId="738939049">
    <w:abstractNumId w:val="13"/>
  </w:num>
  <w:num w:numId="6" w16cid:durableId="1657220828">
    <w:abstractNumId w:val="15"/>
  </w:num>
  <w:num w:numId="7" w16cid:durableId="1256210005">
    <w:abstractNumId w:val="3"/>
  </w:num>
  <w:num w:numId="8" w16cid:durableId="620721476">
    <w:abstractNumId w:val="5"/>
  </w:num>
  <w:num w:numId="9" w16cid:durableId="1223718357">
    <w:abstractNumId w:val="10"/>
  </w:num>
  <w:num w:numId="10" w16cid:durableId="767116328">
    <w:abstractNumId w:val="12"/>
  </w:num>
  <w:num w:numId="11" w16cid:durableId="1374578856">
    <w:abstractNumId w:val="1"/>
  </w:num>
  <w:num w:numId="12" w16cid:durableId="1934971692">
    <w:abstractNumId w:val="9"/>
  </w:num>
  <w:num w:numId="13" w16cid:durableId="1447311944">
    <w:abstractNumId w:val="1"/>
  </w:num>
  <w:num w:numId="14" w16cid:durableId="51848762">
    <w:abstractNumId w:val="1"/>
  </w:num>
  <w:num w:numId="15" w16cid:durableId="1365326933">
    <w:abstractNumId w:val="2"/>
  </w:num>
  <w:num w:numId="16" w16cid:durableId="255556957">
    <w:abstractNumId w:val="16"/>
  </w:num>
  <w:num w:numId="17" w16cid:durableId="1582327298">
    <w:abstractNumId w:val="17"/>
  </w:num>
  <w:num w:numId="18" w16cid:durableId="1697192822">
    <w:abstractNumId w:val="4"/>
  </w:num>
  <w:num w:numId="19" w16cid:durableId="2020886063">
    <w:abstractNumId w:val="6"/>
  </w:num>
  <w:num w:numId="20" w16cid:durableId="21459284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0F4B"/>
    <w:rsid w:val="0002073C"/>
    <w:rsid w:val="00020E3E"/>
    <w:rsid w:val="00026D5B"/>
    <w:rsid w:val="000276AB"/>
    <w:rsid w:val="0004790E"/>
    <w:rsid w:val="0005678C"/>
    <w:rsid w:val="000768C7"/>
    <w:rsid w:val="000807CE"/>
    <w:rsid w:val="00083CA2"/>
    <w:rsid w:val="00096F61"/>
    <w:rsid w:val="000C624C"/>
    <w:rsid w:val="000D4179"/>
    <w:rsid w:val="000D6C77"/>
    <w:rsid w:val="000E5815"/>
    <w:rsid w:val="00101B99"/>
    <w:rsid w:val="00110838"/>
    <w:rsid w:val="001137D1"/>
    <w:rsid w:val="00145A3D"/>
    <w:rsid w:val="00147774"/>
    <w:rsid w:val="00167093"/>
    <w:rsid w:val="00173230"/>
    <w:rsid w:val="001732D3"/>
    <w:rsid w:val="00192B9A"/>
    <w:rsid w:val="001B2389"/>
    <w:rsid w:val="001C491B"/>
    <w:rsid w:val="001C6438"/>
    <w:rsid w:val="001D3D38"/>
    <w:rsid w:val="001D7013"/>
    <w:rsid w:val="001E570C"/>
    <w:rsid w:val="0022391F"/>
    <w:rsid w:val="0022510F"/>
    <w:rsid w:val="00226E0E"/>
    <w:rsid w:val="002374C1"/>
    <w:rsid w:val="00275D61"/>
    <w:rsid w:val="00282BE1"/>
    <w:rsid w:val="0028430E"/>
    <w:rsid w:val="0028622D"/>
    <w:rsid w:val="00290D8B"/>
    <w:rsid w:val="0029344C"/>
    <w:rsid w:val="002B08B0"/>
    <w:rsid w:val="002F330A"/>
    <w:rsid w:val="002F3B06"/>
    <w:rsid w:val="002F511B"/>
    <w:rsid w:val="00352A82"/>
    <w:rsid w:val="00355F3A"/>
    <w:rsid w:val="00366240"/>
    <w:rsid w:val="003815F8"/>
    <w:rsid w:val="0039457F"/>
    <w:rsid w:val="003A0AE4"/>
    <w:rsid w:val="003B11F7"/>
    <w:rsid w:val="003B1C1F"/>
    <w:rsid w:val="003B3EA2"/>
    <w:rsid w:val="003D2F2D"/>
    <w:rsid w:val="003E2946"/>
    <w:rsid w:val="003E40E7"/>
    <w:rsid w:val="003F3284"/>
    <w:rsid w:val="004129EE"/>
    <w:rsid w:val="00425EF7"/>
    <w:rsid w:val="00426B10"/>
    <w:rsid w:val="004273D1"/>
    <w:rsid w:val="00433834"/>
    <w:rsid w:val="00445A64"/>
    <w:rsid w:val="00461B39"/>
    <w:rsid w:val="00463FA4"/>
    <w:rsid w:val="00476915"/>
    <w:rsid w:val="0048000D"/>
    <w:rsid w:val="00485669"/>
    <w:rsid w:val="00486063"/>
    <w:rsid w:val="004953C5"/>
    <w:rsid w:val="00496C9B"/>
    <w:rsid w:val="004D58F4"/>
    <w:rsid w:val="004E242E"/>
    <w:rsid w:val="004E68FC"/>
    <w:rsid w:val="005210F0"/>
    <w:rsid w:val="005458EA"/>
    <w:rsid w:val="00581BE7"/>
    <w:rsid w:val="005A4BF0"/>
    <w:rsid w:val="005A7EF0"/>
    <w:rsid w:val="005E3A11"/>
    <w:rsid w:val="00602BD6"/>
    <w:rsid w:val="006478D7"/>
    <w:rsid w:val="0066085E"/>
    <w:rsid w:val="006620F0"/>
    <w:rsid w:val="0066213D"/>
    <w:rsid w:val="00685AC9"/>
    <w:rsid w:val="006C4511"/>
    <w:rsid w:val="00714788"/>
    <w:rsid w:val="00715D35"/>
    <w:rsid w:val="007173A5"/>
    <w:rsid w:val="00722FAC"/>
    <w:rsid w:val="00731380"/>
    <w:rsid w:val="00734A18"/>
    <w:rsid w:val="00741E21"/>
    <w:rsid w:val="00747071"/>
    <w:rsid w:val="00757B08"/>
    <w:rsid w:val="00774DD1"/>
    <w:rsid w:val="0079172C"/>
    <w:rsid w:val="00791DB2"/>
    <w:rsid w:val="00793022"/>
    <w:rsid w:val="00796028"/>
    <w:rsid w:val="007A42B0"/>
    <w:rsid w:val="007D4694"/>
    <w:rsid w:val="007D48AB"/>
    <w:rsid w:val="00810854"/>
    <w:rsid w:val="008631C4"/>
    <w:rsid w:val="0086350F"/>
    <w:rsid w:val="0087386C"/>
    <w:rsid w:val="00873CAB"/>
    <w:rsid w:val="008759F5"/>
    <w:rsid w:val="008802E3"/>
    <w:rsid w:val="008821D4"/>
    <w:rsid w:val="008F21D2"/>
    <w:rsid w:val="008F5DCA"/>
    <w:rsid w:val="009060A3"/>
    <w:rsid w:val="0092018F"/>
    <w:rsid w:val="009208D8"/>
    <w:rsid w:val="00923A6E"/>
    <w:rsid w:val="009410C7"/>
    <w:rsid w:val="00953490"/>
    <w:rsid w:val="00974365"/>
    <w:rsid w:val="00991D79"/>
    <w:rsid w:val="009B227A"/>
    <w:rsid w:val="009C1754"/>
    <w:rsid w:val="009C375A"/>
    <w:rsid w:val="009F3138"/>
    <w:rsid w:val="00A03315"/>
    <w:rsid w:val="00A11703"/>
    <w:rsid w:val="00A12815"/>
    <w:rsid w:val="00A7398A"/>
    <w:rsid w:val="00A9127C"/>
    <w:rsid w:val="00A9136F"/>
    <w:rsid w:val="00A95A58"/>
    <w:rsid w:val="00AA4BFD"/>
    <w:rsid w:val="00AF13ED"/>
    <w:rsid w:val="00B03523"/>
    <w:rsid w:val="00B32537"/>
    <w:rsid w:val="00B442F4"/>
    <w:rsid w:val="00B51242"/>
    <w:rsid w:val="00B72C6F"/>
    <w:rsid w:val="00B75D08"/>
    <w:rsid w:val="00BB10D6"/>
    <w:rsid w:val="00BE33D2"/>
    <w:rsid w:val="00BE5B70"/>
    <w:rsid w:val="00BF4C5D"/>
    <w:rsid w:val="00C01E33"/>
    <w:rsid w:val="00C10614"/>
    <w:rsid w:val="00C44386"/>
    <w:rsid w:val="00C5335B"/>
    <w:rsid w:val="00C55713"/>
    <w:rsid w:val="00C65F88"/>
    <w:rsid w:val="00C7627D"/>
    <w:rsid w:val="00C973E8"/>
    <w:rsid w:val="00CB2034"/>
    <w:rsid w:val="00CC3F17"/>
    <w:rsid w:val="00CD0869"/>
    <w:rsid w:val="00CE604A"/>
    <w:rsid w:val="00CF0B4F"/>
    <w:rsid w:val="00CF2AFF"/>
    <w:rsid w:val="00CF5A31"/>
    <w:rsid w:val="00D100B3"/>
    <w:rsid w:val="00D1432B"/>
    <w:rsid w:val="00D43E89"/>
    <w:rsid w:val="00D51EE1"/>
    <w:rsid w:val="00D81991"/>
    <w:rsid w:val="00D94451"/>
    <w:rsid w:val="00DA69BC"/>
    <w:rsid w:val="00DC2765"/>
    <w:rsid w:val="00DE0745"/>
    <w:rsid w:val="00DE4452"/>
    <w:rsid w:val="00DE7B81"/>
    <w:rsid w:val="00E217AD"/>
    <w:rsid w:val="00E57102"/>
    <w:rsid w:val="00E639CC"/>
    <w:rsid w:val="00E73C15"/>
    <w:rsid w:val="00E876FD"/>
    <w:rsid w:val="00ED7977"/>
    <w:rsid w:val="00EE0F2B"/>
    <w:rsid w:val="00EE5DDF"/>
    <w:rsid w:val="00F12361"/>
    <w:rsid w:val="00F24C66"/>
    <w:rsid w:val="00F27F42"/>
    <w:rsid w:val="00F372C1"/>
    <w:rsid w:val="00F37918"/>
    <w:rsid w:val="00F40810"/>
    <w:rsid w:val="00F4231E"/>
    <w:rsid w:val="00F811AF"/>
    <w:rsid w:val="00F8597E"/>
    <w:rsid w:val="00FB7287"/>
    <w:rsid w:val="00FD3A1B"/>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aliases w:val="številka odstavka"/>
    <w:basedOn w:val="Navaden"/>
    <w:link w:val="OdstavekseznamaZnak"/>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paragraph" w:customStyle="1" w:styleId="LCNaslov1">
    <w:name w:val="LC Naslov 1"/>
    <w:basedOn w:val="Naslov1"/>
    <w:qFormat/>
    <w:rsid w:val="0004790E"/>
    <w:pPr>
      <w:numPr>
        <w:numId w:val="11"/>
      </w:numPr>
      <w:tabs>
        <w:tab w:val="left" w:pos="425"/>
      </w:tabs>
      <w:spacing w:before="400" w:after="240" w:line="240" w:lineRule="auto"/>
      <w:jc w:val="both"/>
    </w:pPr>
    <w:rPr>
      <w:rFonts w:ascii="Calibri" w:hAnsi="Calibri"/>
      <w:b w:val="0"/>
      <w:caps/>
      <w:noProof w:val="0"/>
      <w:color w:val="7BA4DB"/>
      <w:sz w:val="28"/>
      <w:lang w:eastAsia="en-US"/>
    </w:rPr>
  </w:style>
  <w:style w:type="paragraph" w:customStyle="1" w:styleId="LCNaslov2">
    <w:name w:val="LC Naslov 2"/>
    <w:basedOn w:val="Naslov2"/>
    <w:qFormat/>
    <w:rsid w:val="0004790E"/>
    <w:pPr>
      <w:keepLines w:val="0"/>
      <w:numPr>
        <w:ilvl w:val="1"/>
        <w:numId w:val="11"/>
      </w:numPr>
      <w:tabs>
        <w:tab w:val="left" w:pos="567"/>
      </w:tabs>
      <w:spacing w:before="480" w:line="240" w:lineRule="auto"/>
      <w:jc w:val="both"/>
    </w:pPr>
    <w:rPr>
      <w:rFonts w:ascii="Calibri" w:hAnsi="Calibri"/>
      <w:b w:val="0"/>
      <w:noProof w:val="0"/>
      <w:color w:val="7BA4DB"/>
      <w:lang w:eastAsia="en-US"/>
    </w:rPr>
  </w:style>
  <w:style w:type="paragraph" w:customStyle="1" w:styleId="LCNaslov3">
    <w:name w:val="LC Naslov 3"/>
    <w:basedOn w:val="Naslov3"/>
    <w:qFormat/>
    <w:rsid w:val="0004790E"/>
    <w:pPr>
      <w:keepLines w:val="0"/>
      <w:numPr>
        <w:ilvl w:val="2"/>
        <w:numId w:val="11"/>
      </w:numPr>
      <w:spacing w:before="360" w:after="120" w:line="240" w:lineRule="auto"/>
      <w:jc w:val="both"/>
    </w:pPr>
    <w:rPr>
      <w:rFonts w:ascii="Calibri" w:hAnsi="Calibri"/>
      <w:noProof w:val="0"/>
      <w:color w:val="7BA4DB"/>
      <w:sz w:val="20"/>
      <w:szCs w:val="22"/>
      <w:lang w:eastAsia="en-US"/>
    </w:rPr>
  </w:style>
  <w:style w:type="numbering" w:customStyle="1" w:styleId="Locus">
    <w:name w:val="Locus"/>
    <w:uiPriority w:val="99"/>
    <w:rsid w:val="0004790E"/>
    <w:pPr>
      <w:numPr>
        <w:numId w:val="11"/>
      </w:numPr>
    </w:pPr>
  </w:style>
  <w:style w:type="character" w:customStyle="1" w:styleId="OdstavekseznamaZnak">
    <w:name w:val="Odstavek seznama Znak"/>
    <w:aliases w:val="številka odstavka Znak"/>
    <w:basedOn w:val="Privzetapisavaodstavka"/>
    <w:link w:val="Odstavekseznama"/>
    <w:uiPriority w:val="34"/>
    <w:locked/>
    <w:rsid w:val="0004790E"/>
    <w:rPr>
      <w:rFonts w:ascii="Verdana" w:eastAsia="Times New Roman" w:hAnsi="Verdana" w:cs="Arial"/>
      <w:bCs/>
      <w:noProof/>
      <w:sz w:val="20"/>
      <w:szCs w:val="20"/>
      <w:lang w:eastAsia="sl-SI"/>
    </w:rPr>
  </w:style>
  <w:style w:type="paragraph" w:customStyle="1" w:styleId="LCNavadentekst">
    <w:name w:val="LC Navaden tekst"/>
    <w:basedOn w:val="Navaden"/>
    <w:link w:val="LCNavadentekstChar"/>
    <w:qFormat/>
    <w:rsid w:val="0002073C"/>
    <w:pPr>
      <w:spacing w:after="120" w:line="240" w:lineRule="auto"/>
      <w:ind w:left="0" w:right="0"/>
    </w:pPr>
    <w:rPr>
      <w:rFonts w:asciiTheme="minorHAnsi" w:eastAsia="PMingLiU" w:hAnsiTheme="minorHAnsi" w:cs="Times New Roman"/>
      <w:bCs w:val="0"/>
      <w:noProof w:val="0"/>
      <w:szCs w:val="24"/>
    </w:rPr>
  </w:style>
  <w:style w:type="character" w:customStyle="1" w:styleId="LCNavadentekstChar">
    <w:name w:val="LC Navaden tekst Char"/>
    <w:basedOn w:val="Privzetapisavaodstavka"/>
    <w:link w:val="LCNavadentekst"/>
    <w:rsid w:val="0002073C"/>
    <w:rPr>
      <w:rFonts w:eastAsia="PMingLiU" w:cs="Times New Roman"/>
      <w:sz w:val="20"/>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uradni-list.si/1/objava.jsp?sop=2011-01-2042" TargetMode="External"/><Relationship Id="rId26" Type="http://schemas.openxmlformats.org/officeDocument/2006/relationships/hyperlink" Target="http://www.uradni-list.si/1/objava.jsp?sop=2022-01-0873" TargetMode="External"/><Relationship Id="rId39" Type="http://schemas.openxmlformats.org/officeDocument/2006/relationships/hyperlink" Target="http://www.uradni-list.si/1/objava.jsp?sop=2021-01-3971" TargetMode="External"/><Relationship Id="rId21" Type="http://schemas.openxmlformats.org/officeDocument/2006/relationships/hyperlink" Target="http://www.uradni-list.si/1/objava.jsp?sop=2012-01-4323" TargetMode="External"/><Relationship Id="rId34" Type="http://schemas.openxmlformats.org/officeDocument/2006/relationships/hyperlink" Target="http://www.uradni-list.si/1/objava.jsp?sop=2012-01-2414"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uradni-list.si/1/objava.jsp?sop=2009-01-4890" TargetMode="External"/><Relationship Id="rId20" Type="http://schemas.openxmlformats.org/officeDocument/2006/relationships/hyperlink" Target="http://www.uradni-list.si/1/objava.jsp?sop=2012-01-2414" TargetMode="External"/><Relationship Id="rId29" Type="http://schemas.openxmlformats.org/officeDocument/2006/relationships/hyperlink" Target="http://www.uradni-list.si/1/objava.jsp?sop=2008-01-3026"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www.uradni-list.si/1/objava.jsp?sop=2017-01-2915" TargetMode="External"/><Relationship Id="rId32" Type="http://schemas.openxmlformats.org/officeDocument/2006/relationships/hyperlink" Target="http://www.uradni-list.si/1/objava.jsp?sop=2011-01-2042" TargetMode="External"/><Relationship Id="rId37" Type="http://schemas.openxmlformats.org/officeDocument/2006/relationships/hyperlink" Target="http://www.uradni-list.si/1/objava.jsp?sop=2015-01-0505"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uradni-list.si/1/objava.jsp?sop=2008-01-3026" TargetMode="External"/><Relationship Id="rId23" Type="http://schemas.openxmlformats.org/officeDocument/2006/relationships/hyperlink" Target="http://www.uradni-list.si/1/objava.jsp?sop=2015-01-0505" TargetMode="External"/><Relationship Id="rId28" Type="http://schemas.openxmlformats.org/officeDocument/2006/relationships/hyperlink" Target="http://www.uradni-list.si/1/objava.jsp?sop=2007-01-1761" TargetMode="External"/><Relationship Id="rId36" Type="http://schemas.openxmlformats.org/officeDocument/2006/relationships/hyperlink" Target="http://www.uradni-list.si/1/objava.jsp?sop=2014-01-3190" TargetMode="External"/><Relationship Id="rId10" Type="http://schemas.openxmlformats.org/officeDocument/2006/relationships/header" Target="header1.xml"/><Relationship Id="rId19" Type="http://schemas.openxmlformats.org/officeDocument/2006/relationships/hyperlink" Target="http://www.uradni-list.si/1/objava.jsp?sop=2012-01-2413" TargetMode="External"/><Relationship Id="rId31" Type="http://schemas.openxmlformats.org/officeDocument/2006/relationships/hyperlink" Target="http://www.uradni-list.si/1/objava.jsp?sop=2010-01-430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uradni-list.si/1/objava.jsp?sop=2007-01-1761" TargetMode="External"/><Relationship Id="rId22" Type="http://schemas.openxmlformats.org/officeDocument/2006/relationships/hyperlink" Target="http://www.uradni-list.si/1/objava.jsp?sop=2014-01-3190" TargetMode="External"/><Relationship Id="rId27" Type="http://schemas.openxmlformats.org/officeDocument/2006/relationships/hyperlink" Target="http://www.uradni-list.si/1/objava.jsp?sop=2023-01-0348" TargetMode="External"/><Relationship Id="rId30" Type="http://schemas.openxmlformats.org/officeDocument/2006/relationships/hyperlink" Target="http://www.uradni-list.si/1/objava.jsp?sop=2009-01-4890" TargetMode="External"/><Relationship Id="rId35" Type="http://schemas.openxmlformats.org/officeDocument/2006/relationships/hyperlink" Target="http://www.uradni-list.si/1/objava.jsp?sop=2012-01-4323"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www.uradni-list.si/1/objava.jsp?sop=2010-01-4305" TargetMode="External"/><Relationship Id="rId25" Type="http://schemas.openxmlformats.org/officeDocument/2006/relationships/hyperlink" Target="http://www.uradni-list.si/1/objava.jsp?sop=2021-01-3971" TargetMode="External"/><Relationship Id="rId33" Type="http://schemas.openxmlformats.org/officeDocument/2006/relationships/hyperlink" Target="http://www.uradni-list.si/1/objava.jsp?sop=2012-01-2413" TargetMode="External"/><Relationship Id="rId38" Type="http://schemas.openxmlformats.org/officeDocument/2006/relationships/hyperlink" Target="http://www.uradni-list.si/1/objava.jsp?sop=2017-01-291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2025-07-11T10:52:37+00:00</Veljaod_x003a_>
    <Veljado xmlns="971fd287-4551-411b-a694-38c9be1b8a3f" xsi:nil="true"/>
    <TaxCatchAll xmlns="151e2135-251a-4a54-bb3f-b4383bb78d32" xsi:nil="true"/>
    <Datumobjave xmlns="971fd287-4551-411b-a694-38c9be1b8a3f">2025-07-11T10:52:37+00:00</Datumobja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AC3D4F-2013-416F-AA41-EBB7B0E53758}">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2.xml><?xml version="1.0" encoding="utf-8"?>
<ds:datastoreItem xmlns:ds="http://schemas.openxmlformats.org/officeDocument/2006/customXml" ds:itemID="{67836AD5-CCE6-41DB-8EB7-B7D8B4870D92}">
  <ds:schemaRefs>
    <ds:schemaRef ds:uri="http://schemas.microsoft.com/sharepoint/v3/contenttype/forms"/>
  </ds:schemaRefs>
</ds:datastoreItem>
</file>

<file path=customXml/itemProps3.xml><?xml version="1.0" encoding="utf-8"?>
<ds:datastoreItem xmlns:ds="http://schemas.openxmlformats.org/officeDocument/2006/customXml" ds:itemID="{E1564A29-A00E-4D1D-B982-542F74417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6008</Words>
  <Characters>34247</Characters>
  <Application>Microsoft Office Word</Application>
  <DocSecurity>0</DocSecurity>
  <Lines>285</Lines>
  <Paragraphs>80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3</cp:revision>
  <cp:lastPrinted>2025-02-19T07:16:00Z</cp:lastPrinted>
  <dcterms:created xsi:type="dcterms:W3CDTF">2026-06-04T14:37:00Z</dcterms:created>
  <dcterms:modified xsi:type="dcterms:W3CDTF">2026-06-04T14:42:00Z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