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14EB4D4" w:rsidR="0066085E" w:rsidRPr="0012797E" w:rsidRDefault="00013E0A" w:rsidP="0067333B">
      <w:pPr>
        <w:pStyle w:val="Nazivenote"/>
        <w:spacing w:line="288" w:lineRule="auto"/>
        <w:rPr>
          <w:b w:val="0"/>
          <w:bCs/>
          <w:sz w:val="16"/>
          <w:szCs w:val="16"/>
        </w:rPr>
      </w:pPr>
      <w:r w:rsidRPr="0012797E">
        <w:rPr>
          <w:sz w:val="16"/>
          <w:szCs w:val="16"/>
        </w:rPr>
        <mc:AlternateContent>
          <mc:Choice Requires="wps">
            <w:drawing>
              <wp:anchor distT="45720" distB="45720" distL="114300" distR="114300" simplePos="0" relativeHeight="251658241" behindDoc="1" locked="0" layoutInCell="1" allowOverlap="1" wp14:anchorId="18D38E96" wp14:editId="37112904">
                <wp:simplePos x="0" y="0"/>
                <wp:positionH relativeFrom="column">
                  <wp:posOffset>4885055</wp:posOffset>
                </wp:positionH>
                <wp:positionV relativeFrom="paragraph">
                  <wp:posOffset>115570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1932F14F" w:rsidR="00445A64" w:rsidRPr="0012797E" w:rsidRDefault="00013E0A" w:rsidP="00445A64">
                            <w:pPr>
                              <w:pStyle w:val="tevilka"/>
                              <w:rPr>
                                <w:sz w:val="80"/>
                                <w:szCs w:val="80"/>
                              </w:rPr>
                            </w:pPr>
                            <w:r>
                              <w:rPr>
                                <w:sz w:val="80"/>
                                <w:szCs w:val="80"/>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4.65pt;margin-top:9.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" stroked="f">
                <v:textbox>
                  <w:txbxContent>
                    <w:p w14:paraId="79C32D9A" w14:textId="1932F14F" w:rsidR="00445A64" w:rsidRPr="0012797E" w:rsidRDefault="00013E0A" w:rsidP="00445A64">
                      <w:pPr>
                        <w:pStyle w:val="tevilka"/>
                        <w:rPr>
                          <w:sz w:val="80"/>
                          <w:szCs w:val="80"/>
                        </w:rPr>
                      </w:pPr>
                      <w:r>
                        <w:rPr>
                          <w:sz w:val="80"/>
                          <w:szCs w:val="80"/>
                        </w:rPr>
                        <w:t>21</w:t>
                      </w:r>
                    </w:p>
                  </w:txbxContent>
                </v:textbox>
                <w10:wrap type="tight"/>
              </v:shape>
            </w:pict>
          </mc:Fallback>
        </mc:AlternateContent>
      </w:r>
      <w:r w:rsidRPr="00ED51DD">
        <mc:AlternateContent>
          <mc:Choice Requires="wps">
            <w:drawing>
              <wp:anchor distT="0" distB="0" distL="114300" distR="114300" simplePos="0" relativeHeight="251660291" behindDoc="0" locked="0" layoutInCell="1" allowOverlap="1" wp14:anchorId="365C27C6" wp14:editId="2FACB79E">
                <wp:simplePos x="0" y="0"/>
                <wp:positionH relativeFrom="margin">
                  <wp:align>right</wp:align>
                </wp:positionH>
                <wp:positionV relativeFrom="margin">
                  <wp:align>top</wp:align>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E3F67" id="Pravokotnik 18" o:spid="_x0000_s1026" alt="&quot;&quot;" style="position:absolute;margin-left:20.8pt;margin-top:0;width:1in;height:1in;z-index:251660291;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" filled="f" strokecolor="windowText" strokeweight="1pt">
                <w10:wrap anchorx="margin" anchory="margin"/>
              </v:rect>
            </w:pict>
          </mc:Fallback>
        </mc:AlternateContent>
      </w:r>
      <w:r w:rsidR="008F5DCA" w:rsidRPr="0012797E">
        <w:rPr>
          <w:sz w:val="16"/>
          <w:szCs w:val="16"/>
        </w:rPr>
        <w:t>Župan</w:t>
      </w:r>
      <w:r w:rsidR="00A7398A" w:rsidRPr="0012797E">
        <w:rPr>
          <w:sz w:val="16"/>
          <w:szCs w:val="16"/>
        </w:rPr>
        <w:t xml:space="preserve"> </w:t>
      </w:r>
      <w:r w:rsidR="00722FAC" w:rsidRPr="0012797E">
        <w:rPr>
          <w:sz w:val="16"/>
          <w:szCs w:val="16"/>
        </w:rPr>
        <w:br/>
      </w:r>
      <w:r w:rsidR="002B08B0" w:rsidRPr="0012797E">
        <w:rPr>
          <w:b w:val="0"/>
          <w:bCs/>
          <w:sz w:val="16"/>
          <w:szCs w:val="16"/>
        </w:rPr>
        <w:t>Trg Edvarda Kardelja 1, 5000 Nova Gorica</w:t>
      </w:r>
      <w:r>
        <w:rPr>
          <w:b w:val="0"/>
          <w:bCs/>
          <w:sz w:val="16"/>
          <w:szCs w:val="16"/>
        </w:rPr>
        <w:tab/>
      </w:r>
      <w:r>
        <w:rPr>
          <w:b w:val="0"/>
          <w:bCs/>
          <w:sz w:val="16"/>
          <w:szCs w:val="16"/>
        </w:rPr>
        <w:tab/>
      </w:r>
    </w:p>
    <w:p w14:paraId="77EDCABD" w14:textId="77777777" w:rsidR="0066085E" w:rsidRPr="0012797E" w:rsidRDefault="0066085E" w:rsidP="0067333B">
      <w:pPr>
        <w:pStyle w:val="Nazivenote"/>
        <w:spacing w:line="288" w:lineRule="auto"/>
        <w:rPr>
          <w:sz w:val="20"/>
          <w:szCs w:val="20"/>
        </w:rPr>
      </w:pPr>
    </w:p>
    <w:p w14:paraId="5B6C62D8" w14:textId="72373FFA" w:rsidR="0066085E" w:rsidRPr="0012797E" w:rsidRDefault="0066085E" w:rsidP="0067333B">
      <w:pPr>
        <w:pStyle w:val="stevilkadokumenta"/>
        <w:spacing w:line="288" w:lineRule="auto"/>
      </w:pPr>
      <w:r w:rsidRPr="0012797E">
        <w:rPr>
          <w:rStyle w:val="ZvezaZnak"/>
          <w:bCs/>
          <w:sz w:val="20"/>
          <w:u w:val="none"/>
        </w:rPr>
        <w:t xml:space="preserve">Številka: </w:t>
      </w:r>
      <w:r w:rsidR="00E7447A" w:rsidRPr="0012797E">
        <w:rPr>
          <w:rStyle w:val="ZvezaZnak"/>
          <w:bCs/>
          <w:sz w:val="20"/>
          <w:u w:val="none"/>
        </w:rPr>
        <w:t>014-23/2021-</w:t>
      </w:r>
      <w:r w:rsidR="00D472DF" w:rsidRPr="0012797E">
        <w:rPr>
          <w:rStyle w:val="ZvezaZnak"/>
          <w:bCs/>
          <w:sz w:val="20"/>
          <w:u w:val="none"/>
        </w:rPr>
        <w:t xml:space="preserve"> 714</w:t>
      </w:r>
      <w:r w:rsidR="00352A82" w:rsidRPr="0012797E">
        <w:rPr>
          <w:rStyle w:val="ZvezaZnak"/>
          <w:bCs/>
          <w:sz w:val="20"/>
          <w:u w:val="none"/>
        </w:rPr>
        <w:br/>
      </w:r>
      <w:r w:rsidRPr="0012797E">
        <w:t xml:space="preserve">Nova Gorica, dne </w:t>
      </w:r>
      <w:r w:rsidR="003F5E67" w:rsidRPr="0012797E">
        <w:t xml:space="preserve">4. </w:t>
      </w:r>
      <w:r w:rsidR="00D472DF" w:rsidRPr="0012797E">
        <w:t>junija</w:t>
      </w:r>
      <w:r w:rsidR="008D3091" w:rsidRPr="0012797E">
        <w:t xml:space="preserve"> </w:t>
      </w:r>
      <w:r w:rsidR="00084F6E" w:rsidRPr="0012797E">
        <w:t>202</w:t>
      </w:r>
      <w:r w:rsidR="00E513FD" w:rsidRPr="0012797E">
        <w:t>6</w:t>
      </w:r>
    </w:p>
    <w:p w14:paraId="7731015D" w14:textId="77777777" w:rsidR="000807CE" w:rsidRPr="0012797E" w:rsidRDefault="000807CE" w:rsidP="0067333B">
      <w:pPr>
        <w:pStyle w:val="stevilkadokumenta"/>
        <w:spacing w:line="288" w:lineRule="auto"/>
        <w:rPr>
          <w:rStyle w:val="ZvezaZnak"/>
          <w:bCs/>
          <w:sz w:val="20"/>
          <w:u w:val="none"/>
        </w:rPr>
      </w:pPr>
    </w:p>
    <w:p w14:paraId="2D9E2EAD" w14:textId="28716D67" w:rsidR="000807CE" w:rsidRPr="0012797E" w:rsidRDefault="000807CE" w:rsidP="0067333B">
      <w:pPr>
        <w:pStyle w:val="gradivo"/>
        <w:spacing w:before="480" w:after="480" w:line="288" w:lineRule="auto"/>
        <w:rPr>
          <w:b/>
          <w:bCs w:val="0"/>
        </w:rPr>
      </w:pPr>
      <w:r w:rsidRPr="0012797E">
        <w:rPr>
          <w:b/>
          <w:bCs w:val="0"/>
        </w:rPr>
        <w:t>MESTNI SVET MESTNE OBČINE NOVA GORICA</w:t>
      </w:r>
    </w:p>
    <w:p w14:paraId="42663E32" w14:textId="598C01A2" w:rsidR="008802E3" w:rsidRPr="0012797E" w:rsidRDefault="0066085E" w:rsidP="0067333B">
      <w:pPr>
        <w:spacing w:line="288" w:lineRule="auto"/>
        <w:ind w:left="4395" w:hanging="3686"/>
      </w:pPr>
      <w:r w:rsidRPr="0012797E">
        <w:rPr>
          <w:b/>
          <w:bCs w:val="0"/>
        </w:rPr>
        <w:t>ZADEVA</w:t>
      </w:r>
      <w:r w:rsidRPr="0012797E">
        <w:t>:</w:t>
      </w:r>
      <w:r w:rsidRPr="0012797E">
        <w:tab/>
        <w:t>PREDLOG ZA OBRAVNAVO NA SEJI MESTNEGA SVETA MESTNE OBČINE NOVA GORICA</w:t>
      </w:r>
    </w:p>
    <w:p w14:paraId="1D7223B1" w14:textId="4944C88C" w:rsidR="0066085E" w:rsidRPr="0012797E" w:rsidRDefault="0066085E" w:rsidP="0067333B">
      <w:pPr>
        <w:pStyle w:val="Naslov1"/>
        <w:spacing w:before="240" w:after="240" w:line="288" w:lineRule="auto"/>
        <w:ind w:left="4395" w:hanging="3686"/>
        <w:rPr>
          <w:sz w:val="20"/>
          <w:szCs w:val="20"/>
        </w:rPr>
      </w:pPr>
      <w:r w:rsidRPr="0012797E">
        <w:rPr>
          <w:sz w:val="20"/>
          <w:szCs w:val="20"/>
        </w:rPr>
        <w:t>NASLOV:</w:t>
      </w:r>
      <w:r w:rsidRPr="0012797E">
        <w:rPr>
          <w:sz w:val="20"/>
          <w:szCs w:val="20"/>
        </w:rPr>
        <w:tab/>
      </w:r>
      <w:r w:rsidR="00763BF1" w:rsidRPr="0012797E">
        <w:rPr>
          <w:sz w:val="20"/>
          <w:szCs w:val="20"/>
        </w:rPr>
        <w:t xml:space="preserve">Predlog </w:t>
      </w:r>
      <w:r w:rsidR="00AC06FB" w:rsidRPr="0012797E">
        <w:rPr>
          <w:sz w:val="20"/>
          <w:szCs w:val="20"/>
        </w:rPr>
        <w:t xml:space="preserve">Sklepa o </w:t>
      </w:r>
      <w:r w:rsidR="00C0250E" w:rsidRPr="0012797E">
        <w:rPr>
          <w:sz w:val="20"/>
          <w:szCs w:val="20"/>
        </w:rPr>
        <w:t xml:space="preserve">določitvi </w:t>
      </w:r>
      <w:r w:rsidR="0086095B" w:rsidRPr="0012797E">
        <w:rPr>
          <w:sz w:val="20"/>
          <w:szCs w:val="20"/>
        </w:rPr>
        <w:t>dela plače za redno delovno uspešnost</w:t>
      </w:r>
      <w:r w:rsidR="00C60953" w:rsidRPr="0012797E">
        <w:rPr>
          <w:sz w:val="20"/>
          <w:szCs w:val="20"/>
        </w:rPr>
        <w:t xml:space="preserve"> direktorice</w:t>
      </w:r>
      <w:r w:rsidR="00E76843" w:rsidRPr="0012797E">
        <w:rPr>
          <w:sz w:val="20"/>
          <w:szCs w:val="20"/>
        </w:rPr>
        <w:t xml:space="preserve"> j</w:t>
      </w:r>
      <w:r w:rsidR="0086095B" w:rsidRPr="0012797E">
        <w:rPr>
          <w:sz w:val="20"/>
          <w:szCs w:val="20"/>
        </w:rPr>
        <w:t xml:space="preserve">avnega zavoda </w:t>
      </w:r>
      <w:r w:rsidR="00E76843" w:rsidRPr="0012797E">
        <w:rPr>
          <w:sz w:val="20"/>
          <w:szCs w:val="20"/>
        </w:rPr>
        <w:t>GO! 2025 – Evropska prestolnica kulture</w:t>
      </w:r>
      <w:r w:rsidR="0017443D" w:rsidRPr="0012797E">
        <w:rPr>
          <w:sz w:val="20"/>
          <w:szCs w:val="20"/>
        </w:rPr>
        <w:t xml:space="preserve"> – Nova Gorica</w:t>
      </w:r>
      <w:r w:rsidR="003C75BA" w:rsidRPr="0012797E">
        <w:rPr>
          <w:sz w:val="20"/>
          <w:szCs w:val="20"/>
        </w:rPr>
        <w:t xml:space="preserve"> </w:t>
      </w:r>
      <w:r w:rsidR="003909AB" w:rsidRPr="0012797E">
        <w:rPr>
          <w:sz w:val="20"/>
          <w:szCs w:val="20"/>
        </w:rPr>
        <w:t>za leto 2025</w:t>
      </w:r>
    </w:p>
    <w:p w14:paraId="4EB48263" w14:textId="7C52E1AE" w:rsidR="0066085E" w:rsidRPr="0012797E" w:rsidRDefault="0066085E" w:rsidP="0067333B">
      <w:pPr>
        <w:spacing w:line="288" w:lineRule="auto"/>
        <w:ind w:left="4395" w:hanging="3686"/>
      </w:pPr>
      <w:r w:rsidRPr="0012797E">
        <w:rPr>
          <w:b/>
          <w:bCs w:val="0"/>
        </w:rPr>
        <w:t>GRADIVO PRIPRAVIL</w:t>
      </w:r>
      <w:r w:rsidRPr="0012797E">
        <w:t>:</w:t>
      </w:r>
      <w:r w:rsidRPr="0012797E">
        <w:tab/>
      </w:r>
      <w:r w:rsidR="009A6D5E" w:rsidRPr="0012797E">
        <w:t>Majda Petejan</w:t>
      </w:r>
      <w:r w:rsidR="00933216" w:rsidRPr="0012797E">
        <w:t>, višja svetovalka za družbene dejavnosti</w:t>
      </w:r>
    </w:p>
    <w:p w14:paraId="2589E91B" w14:textId="75C9D26A" w:rsidR="0066085E" w:rsidRPr="0012797E" w:rsidRDefault="0066085E" w:rsidP="0067333B">
      <w:pPr>
        <w:spacing w:line="288" w:lineRule="auto"/>
        <w:ind w:left="4395" w:hanging="3686"/>
      </w:pPr>
      <w:r w:rsidRPr="0012797E">
        <w:rPr>
          <w:b/>
          <w:bCs w:val="0"/>
        </w:rPr>
        <w:t>IZDELOVALEC GRADIVA:</w:t>
      </w:r>
      <w:r w:rsidR="00FB7287" w:rsidRPr="0012797E">
        <w:tab/>
      </w:r>
      <w:r w:rsidR="00686F68" w:rsidRPr="0012797E">
        <w:t>Mestna občina Nova Gorica</w:t>
      </w:r>
    </w:p>
    <w:p w14:paraId="11F58982" w14:textId="0600600C" w:rsidR="0066085E" w:rsidRPr="0012797E" w:rsidRDefault="0066085E" w:rsidP="0067333B">
      <w:pPr>
        <w:spacing w:line="288" w:lineRule="auto"/>
        <w:ind w:left="4395" w:hanging="3686"/>
        <w:rPr>
          <w:b/>
          <w:bCs w:val="0"/>
        </w:rPr>
      </w:pPr>
      <w:r w:rsidRPr="0012797E">
        <w:rPr>
          <w:b/>
          <w:bCs w:val="0"/>
        </w:rPr>
        <w:t>POROČEVALEC:</w:t>
      </w:r>
      <w:r w:rsidR="00FB7287" w:rsidRPr="0012797E">
        <w:t xml:space="preserve"> </w:t>
      </w:r>
      <w:r w:rsidR="00FB7287" w:rsidRPr="0012797E">
        <w:tab/>
      </w:r>
      <w:r w:rsidR="009A68CA" w:rsidRPr="0012797E">
        <w:t xml:space="preserve">mag. Marinka Saksida, </w:t>
      </w:r>
      <w:r w:rsidR="00D54FA4" w:rsidRPr="0012797E">
        <w:t>vodja Oddelka za družbene dejavnosti</w:t>
      </w:r>
      <w:r w:rsidR="009F0DBB" w:rsidRPr="0012797E">
        <w:br/>
      </w:r>
    </w:p>
    <w:p w14:paraId="75A8D632" w14:textId="2462A083" w:rsidR="0066085E" w:rsidRPr="0012797E" w:rsidRDefault="0066085E" w:rsidP="0067333B">
      <w:pPr>
        <w:spacing w:line="288" w:lineRule="auto"/>
        <w:ind w:left="4395" w:hanging="3686"/>
      </w:pPr>
      <w:r w:rsidRPr="0012797E">
        <w:rPr>
          <w:b/>
          <w:bCs w:val="0"/>
        </w:rPr>
        <w:t xml:space="preserve">PRISTOJNO DELOVNO </w:t>
      </w:r>
      <w:r w:rsidR="003924F9" w:rsidRPr="0012797E">
        <w:rPr>
          <w:b/>
          <w:bCs w:val="0"/>
        </w:rPr>
        <w:t>TELO</w:t>
      </w:r>
      <w:r w:rsidRPr="0012797E">
        <w:t xml:space="preserve">: </w:t>
      </w:r>
      <w:r w:rsidRPr="0012797E">
        <w:tab/>
      </w:r>
      <w:r w:rsidR="001B5742" w:rsidRPr="0012797E">
        <w:t xml:space="preserve">Odbor za </w:t>
      </w:r>
      <w:r w:rsidR="009A6D5E" w:rsidRPr="0012797E">
        <w:t>kulturo, šolstvo in špor</w:t>
      </w:r>
      <w:r w:rsidR="00962E4E" w:rsidRPr="0012797E">
        <w:t>t</w:t>
      </w:r>
    </w:p>
    <w:p w14:paraId="4C9319DA" w14:textId="7B5A35DC" w:rsidR="0066085E" w:rsidRPr="0012797E" w:rsidRDefault="0066085E" w:rsidP="0067333B">
      <w:pPr>
        <w:spacing w:line="288" w:lineRule="auto"/>
        <w:ind w:firstLine="708"/>
        <w:rPr>
          <w:b/>
          <w:bCs w:val="0"/>
        </w:rPr>
      </w:pPr>
      <w:r w:rsidRPr="0012797E">
        <w:rPr>
          <w:b/>
          <w:bCs w:val="0"/>
        </w:rPr>
        <w:t xml:space="preserve">PREDLOG SKLEPA: </w:t>
      </w:r>
    </w:p>
    <w:p w14:paraId="4AD67041" w14:textId="63420A3E" w:rsidR="00FB7287" w:rsidRPr="0012797E" w:rsidRDefault="00FB7287" w:rsidP="000711FA">
      <w:pPr>
        <w:spacing w:line="288" w:lineRule="auto"/>
        <w:ind w:left="708"/>
      </w:pPr>
      <w:r w:rsidRPr="0012797E">
        <w:t>Mestni svet Mestne občine Nova Gorica sprejme</w:t>
      </w:r>
      <w:r w:rsidR="00A02A24" w:rsidRPr="0012797E">
        <w:t xml:space="preserve"> </w:t>
      </w:r>
      <w:r w:rsidR="00326097" w:rsidRPr="0012797E">
        <w:t xml:space="preserve">Sklep o </w:t>
      </w:r>
      <w:r w:rsidR="00962E4E" w:rsidRPr="0012797E">
        <w:t xml:space="preserve">določitvi dela plače </w:t>
      </w:r>
      <w:r w:rsidR="00326097" w:rsidRPr="0012797E">
        <w:t xml:space="preserve">za redno delovno uspešnost </w:t>
      </w:r>
      <w:r w:rsidR="004012B1" w:rsidRPr="0012797E">
        <w:t xml:space="preserve">direktorice </w:t>
      </w:r>
      <w:r w:rsidR="00326097" w:rsidRPr="0012797E">
        <w:t xml:space="preserve">Javnega zavoda </w:t>
      </w:r>
      <w:r w:rsidR="00776553" w:rsidRPr="0012797E">
        <w:t>GO! 2025 – Evropska prestolnica kulture – Nova Gorica</w:t>
      </w:r>
      <w:r w:rsidR="0017443D" w:rsidRPr="0012797E">
        <w:t xml:space="preserve"> </w:t>
      </w:r>
      <w:r w:rsidR="001A765A" w:rsidRPr="0012797E">
        <w:t>z</w:t>
      </w:r>
      <w:r w:rsidR="00933216" w:rsidRPr="0012797E">
        <w:t>a leto 2025.</w:t>
      </w: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12797E" w14:paraId="0FF38549" w14:textId="77777777" w:rsidTr="00FB7287">
        <w:tc>
          <w:tcPr>
            <w:tcW w:w="3549" w:type="dxa"/>
          </w:tcPr>
          <w:p w14:paraId="1D1D813B" w14:textId="77777777" w:rsidR="00FB7287" w:rsidRPr="0012797E" w:rsidRDefault="00FB7287" w:rsidP="0067333B">
            <w:pPr>
              <w:pStyle w:val="Podpisoseba"/>
              <w:spacing w:before="0" w:after="0" w:line="288" w:lineRule="auto"/>
              <w:rPr>
                <w:b/>
                <w:color w:val="FFFFFF" w:themeColor="background1"/>
              </w:rPr>
            </w:pPr>
            <w:r w:rsidRPr="0012797E">
              <w:rPr>
                <w:b/>
                <w:color w:val="FFFFFF" w:themeColor="background1"/>
              </w:rPr>
              <w:t>Desnik podpisnik</w:t>
            </w:r>
          </w:p>
        </w:tc>
      </w:tr>
      <w:tr w:rsidR="00FB7287" w:rsidRPr="0012797E" w14:paraId="6D021AA2" w14:textId="77777777" w:rsidTr="00FB7287">
        <w:tc>
          <w:tcPr>
            <w:tcW w:w="3549" w:type="dxa"/>
          </w:tcPr>
          <w:p w14:paraId="7F514CF4" w14:textId="77777777" w:rsidR="00FB7287" w:rsidRPr="0012797E" w:rsidRDefault="00FB7287" w:rsidP="0067333B">
            <w:pPr>
              <w:pStyle w:val="Podpisoseba"/>
              <w:spacing w:before="0" w:after="0" w:line="288" w:lineRule="auto"/>
              <w:rPr>
                <w:bCs w:val="0"/>
              </w:rPr>
            </w:pPr>
            <w:r w:rsidRPr="0012797E">
              <w:rPr>
                <w:b/>
              </w:rPr>
              <w:t>Samo Turel</w:t>
            </w:r>
          </w:p>
        </w:tc>
      </w:tr>
      <w:tr w:rsidR="00FB7287" w:rsidRPr="0012797E" w14:paraId="1EDB9A6B" w14:textId="77777777" w:rsidTr="00FB7287">
        <w:trPr>
          <w:trHeight w:val="530"/>
        </w:trPr>
        <w:tc>
          <w:tcPr>
            <w:tcW w:w="3549" w:type="dxa"/>
          </w:tcPr>
          <w:p w14:paraId="07F6B71D" w14:textId="5A44E495" w:rsidR="00FB7287" w:rsidRPr="0012797E" w:rsidRDefault="00501C9C" w:rsidP="0067333B">
            <w:pPr>
              <w:pStyle w:val="Podpisoseba"/>
              <w:spacing w:before="0" w:after="0" w:line="288" w:lineRule="auto"/>
              <w:rPr>
                <w:bCs w:val="0"/>
              </w:rPr>
            </w:pPr>
            <w:r w:rsidRPr="0012797E">
              <w:t>Ž</w:t>
            </w:r>
            <w:r w:rsidR="00FB7287" w:rsidRPr="0012797E">
              <w:t>upan</w:t>
            </w:r>
          </w:p>
        </w:tc>
      </w:tr>
      <w:bookmarkEnd w:id="0"/>
    </w:tbl>
    <w:p w14:paraId="0B7D260C" w14:textId="77777777" w:rsidR="0067333B" w:rsidRPr="0012797E" w:rsidRDefault="0067333B" w:rsidP="0067333B">
      <w:pPr>
        <w:spacing w:line="288" w:lineRule="auto"/>
        <w:rPr>
          <w:rStyle w:val="ZvezaZnak"/>
          <w:bCs/>
          <w:sz w:val="20"/>
          <w:u w:val="none"/>
        </w:rPr>
      </w:pPr>
    </w:p>
    <w:p w14:paraId="1C6841A1" w14:textId="0A7158D1" w:rsidR="0005678C" w:rsidRPr="0012797E" w:rsidRDefault="0066085E" w:rsidP="0067333B">
      <w:pPr>
        <w:pStyle w:val="gradivo"/>
        <w:spacing w:line="288" w:lineRule="auto"/>
      </w:pPr>
      <w:r w:rsidRPr="0012797E">
        <w:t>Gradivo</w:t>
      </w:r>
      <w:r w:rsidR="00F12361" w:rsidRPr="0012797E">
        <w:t>:</w:t>
      </w:r>
    </w:p>
    <w:p w14:paraId="4EEFBC05" w14:textId="0DE2C3EB" w:rsidR="00B45A7F" w:rsidRPr="0012797E" w:rsidRDefault="0066085E" w:rsidP="001A3C46">
      <w:pPr>
        <w:pStyle w:val="gradivo"/>
        <w:numPr>
          <w:ilvl w:val="0"/>
          <w:numId w:val="10"/>
        </w:numPr>
        <w:spacing w:line="288" w:lineRule="auto"/>
      </w:pPr>
      <w:r w:rsidRPr="0012797E">
        <w:t>Gradivo</w:t>
      </w:r>
      <w:r w:rsidR="00B45A7F" w:rsidRPr="0012797E">
        <w:t xml:space="preserve"> 1</w:t>
      </w:r>
      <w:r w:rsidR="003A35BE" w:rsidRPr="0012797E">
        <w:t>:</w:t>
      </w:r>
      <w:r w:rsidR="00F12361" w:rsidRPr="0012797E">
        <w:t xml:space="preserve"> </w:t>
      </w:r>
      <w:r w:rsidRPr="0012797E">
        <w:t>predlog sklepa</w:t>
      </w:r>
      <w:r w:rsidR="003A35BE" w:rsidRPr="0012797E">
        <w:t xml:space="preserve"> z</w:t>
      </w:r>
      <w:r w:rsidR="001A3C46" w:rsidRPr="0012797E">
        <w:t xml:space="preserve"> o</w:t>
      </w:r>
      <w:r w:rsidR="003A35BE" w:rsidRPr="0012797E">
        <w:t>brazložitvijo</w:t>
      </w:r>
    </w:p>
    <w:p w14:paraId="25E1094C" w14:textId="360F4C66" w:rsidR="00872909" w:rsidRPr="0012797E" w:rsidRDefault="00B45A7F" w:rsidP="000711FA">
      <w:pPr>
        <w:pStyle w:val="gradivo"/>
        <w:numPr>
          <w:ilvl w:val="0"/>
          <w:numId w:val="10"/>
        </w:numPr>
        <w:spacing w:line="288" w:lineRule="auto"/>
      </w:pPr>
      <w:r w:rsidRPr="0012797E">
        <w:t xml:space="preserve">Gradivo 2: </w:t>
      </w:r>
      <w:r w:rsidR="00F52864" w:rsidRPr="0012797E">
        <w:t>sklep sveta zavoda</w:t>
      </w:r>
      <w:r w:rsidR="004233C4" w:rsidRPr="0012797E">
        <w:t xml:space="preserve"> </w:t>
      </w:r>
    </w:p>
    <w:p w14:paraId="5BF43F84" w14:textId="61DC7501" w:rsidR="000711FA" w:rsidRPr="0012797E" w:rsidRDefault="000711FA" w:rsidP="000711FA">
      <w:pPr>
        <w:pStyle w:val="gradivo"/>
        <w:numPr>
          <w:ilvl w:val="0"/>
          <w:numId w:val="10"/>
        </w:numPr>
        <w:spacing w:line="288" w:lineRule="auto"/>
      </w:pPr>
      <w:r w:rsidRPr="0012797E">
        <w:t>Gradivo 2: utemeljitev meril</w:t>
      </w:r>
    </w:p>
    <w:p w14:paraId="29F8F0D4" w14:textId="121F32EA" w:rsidR="000711FA" w:rsidRPr="0012797E" w:rsidRDefault="000711FA" w:rsidP="00872909">
      <w:pPr>
        <w:pStyle w:val="gradivo"/>
        <w:spacing w:line="288" w:lineRule="auto"/>
        <w:sectPr w:rsidR="000711FA" w:rsidRPr="0012797E"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12797E" w:rsidRDefault="000E5815" w:rsidP="0067333B">
      <w:pPr>
        <w:pStyle w:val="Nazivenote"/>
        <w:spacing w:line="288" w:lineRule="auto"/>
        <w:rPr>
          <w:b w:val="0"/>
          <w:bCs/>
          <w:sz w:val="16"/>
          <w:szCs w:val="16"/>
        </w:rPr>
      </w:pPr>
      <w:r w:rsidRPr="0012797E">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12797E" w:rsidRDefault="000E5815" w:rsidP="000E5815">
                            <w:pPr>
                              <w:pStyle w:val="tevilka"/>
                              <w:rPr>
                                <w:sz w:val="50"/>
                                <w:szCs w:val="50"/>
                              </w:rPr>
                            </w:pPr>
                            <w:r w:rsidRPr="0012797E">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12797E" w:rsidRDefault="000E5815" w:rsidP="000E5815">
                      <w:pPr>
                        <w:pStyle w:val="tevilka"/>
                        <w:rPr>
                          <w:sz w:val="50"/>
                          <w:szCs w:val="50"/>
                        </w:rPr>
                      </w:pPr>
                      <w:r w:rsidRPr="0012797E">
                        <w:rPr>
                          <w:sz w:val="50"/>
                          <w:szCs w:val="50"/>
                        </w:rPr>
                        <w:t>Predlog</w:t>
                      </w:r>
                    </w:p>
                  </w:txbxContent>
                </v:textbox>
                <w10:wrap type="tight"/>
              </v:shape>
            </w:pict>
          </mc:Fallback>
        </mc:AlternateContent>
      </w:r>
      <w:r w:rsidRPr="0012797E">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EF8D"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12797E">
        <w:rPr>
          <w:sz w:val="16"/>
          <w:szCs w:val="16"/>
        </w:rPr>
        <w:t xml:space="preserve">Mestni </w:t>
      </w:r>
      <w:r w:rsidR="005C6EAA" w:rsidRPr="0012797E">
        <w:rPr>
          <w:sz w:val="16"/>
          <w:szCs w:val="16"/>
        </w:rPr>
        <w:t>s</w:t>
      </w:r>
      <w:r w:rsidR="00731380" w:rsidRPr="0012797E">
        <w:rPr>
          <w:sz w:val="16"/>
          <w:szCs w:val="16"/>
        </w:rPr>
        <w:t>vet</w:t>
      </w:r>
      <w:r w:rsidR="00731380" w:rsidRPr="0012797E">
        <w:rPr>
          <w:sz w:val="16"/>
          <w:szCs w:val="16"/>
        </w:rPr>
        <w:br/>
      </w:r>
      <w:r w:rsidR="00731380" w:rsidRPr="0012797E">
        <w:rPr>
          <w:b w:val="0"/>
          <w:bCs/>
          <w:sz w:val="16"/>
          <w:szCs w:val="16"/>
        </w:rPr>
        <w:t>Trg Edvarda Kardelja 1, 5000 Nova Gorica</w:t>
      </w:r>
    </w:p>
    <w:p w14:paraId="4DA58669" w14:textId="77777777" w:rsidR="000E5815" w:rsidRPr="0012797E" w:rsidRDefault="000E5815" w:rsidP="0067333B">
      <w:pPr>
        <w:spacing w:line="288" w:lineRule="auto"/>
      </w:pPr>
    </w:p>
    <w:p w14:paraId="58D8DDBC" w14:textId="77777777" w:rsidR="000E5815" w:rsidRPr="0012797E" w:rsidRDefault="000E5815" w:rsidP="0067333B">
      <w:pPr>
        <w:spacing w:line="288" w:lineRule="auto"/>
      </w:pPr>
    </w:p>
    <w:p w14:paraId="29743C17" w14:textId="0C5C1A8F" w:rsidR="00894E70" w:rsidRPr="0012797E" w:rsidRDefault="00894E70" w:rsidP="009E796F">
      <w:pPr>
        <w:pStyle w:val="gradivo"/>
        <w:rPr>
          <w:rFonts w:eastAsia="Arial"/>
        </w:rPr>
      </w:pPr>
      <w:r w:rsidRPr="0012797E">
        <w:rPr>
          <w:rFonts w:eastAsia="Arial"/>
        </w:rPr>
        <w:t xml:space="preserve">Na podlagi 119. člena </w:t>
      </w:r>
      <w:bookmarkStart w:id="1" w:name="_Hlk172033984"/>
      <w:r w:rsidRPr="0012797E">
        <w:rPr>
          <w:rFonts w:eastAsia="Arial"/>
        </w:rPr>
        <w:t>Zakona o skupnih temeljih sistema plač v javnem sektorju (Uradni list RS, št. 95/24</w:t>
      </w:r>
      <w:r w:rsidR="00FD1619" w:rsidRPr="0012797E">
        <w:rPr>
          <w:rFonts w:eastAsia="Arial"/>
        </w:rPr>
        <w:t xml:space="preserve"> in 12/26 – ZPPJUFT</w:t>
      </w:r>
      <w:r w:rsidRPr="0012797E">
        <w:rPr>
          <w:rFonts w:eastAsia="Arial"/>
        </w:rPr>
        <w:t>)</w:t>
      </w:r>
      <w:bookmarkEnd w:id="1"/>
      <w:r w:rsidRPr="0012797E">
        <w:rPr>
          <w:rFonts w:eastAsia="Arial"/>
        </w:rPr>
        <w:t xml:space="preserve">, </w:t>
      </w:r>
      <w:bookmarkStart w:id="2" w:name="_Hlk222735298"/>
      <w:r w:rsidR="008E0A5C" w:rsidRPr="0012797E">
        <w:rPr>
          <w:rFonts w:eastAsia="Arial"/>
        </w:rPr>
        <w:t>6</w:t>
      </w:r>
      <w:r w:rsidRPr="0012797E">
        <w:rPr>
          <w:rFonts w:eastAsia="Arial"/>
        </w:rPr>
        <w:t xml:space="preserve">. člena </w:t>
      </w:r>
      <w:r w:rsidR="008E0A5C" w:rsidRPr="0012797E">
        <w:rPr>
          <w:rFonts w:eastAsia="Arial"/>
        </w:rPr>
        <w:t>Uredbe o plačah javnih uslužbencev plačne skupine B (Uradni list RS, št. 99/24, 109/24, 26/25, 29/25)</w:t>
      </w:r>
      <w:bookmarkEnd w:id="2"/>
      <w:r w:rsidR="002C32A0" w:rsidRPr="0012797E">
        <w:rPr>
          <w:rFonts w:eastAsia="Arial"/>
        </w:rPr>
        <w:t>, 2. člena</w:t>
      </w:r>
      <w:r w:rsidR="002C32A0" w:rsidRPr="0012797E">
        <w:t xml:space="preserve"> </w:t>
      </w:r>
      <w:r w:rsidR="002C32A0" w:rsidRPr="0012797E">
        <w:rPr>
          <w:rFonts w:eastAsia="Arial"/>
        </w:rPr>
        <w:t xml:space="preserve">Pravilnika o merilih za ugotavljanje redne delovne uspešnosti direktorjev pravnih oseb javnega prava s področja kulture (Uradni list RS, št. 7/09, 33/10, 50/17, 111/21 in 95/24 – ZSTSPJS in 6/26) </w:t>
      </w:r>
      <w:r w:rsidRPr="0012797E">
        <w:rPr>
          <w:rFonts w:eastAsia="Arial"/>
        </w:rPr>
        <w:t>in 19. člena Statuta Mestne občine Nova Gorica (Uradni list RS, št. 13/12, 18/17 in 18/19) je Mestni svet Mestne občine Nova Gorica na seji dne_______________ sprejel</w:t>
      </w:r>
    </w:p>
    <w:p w14:paraId="043AE117" w14:textId="77777777" w:rsidR="009C33E1" w:rsidRPr="0012797E" w:rsidRDefault="009C33E1" w:rsidP="002C32A0">
      <w:pPr>
        <w:spacing w:after="0" w:line="288" w:lineRule="auto"/>
        <w:rPr>
          <w:rFonts w:eastAsia="Arial"/>
        </w:rPr>
      </w:pPr>
    </w:p>
    <w:p w14:paraId="2886C783" w14:textId="7CFA2919" w:rsidR="00617764" w:rsidRPr="0012797E" w:rsidRDefault="00617764" w:rsidP="006F02F4">
      <w:pPr>
        <w:pStyle w:val="Naslov1"/>
        <w:spacing w:before="0" w:after="0"/>
        <w:jc w:val="center"/>
        <w:rPr>
          <w:rFonts w:eastAsia="Arial"/>
        </w:rPr>
      </w:pPr>
      <w:r w:rsidRPr="0012797E">
        <w:rPr>
          <w:rFonts w:eastAsia="Arial"/>
        </w:rPr>
        <w:t>SKLEP</w:t>
      </w:r>
    </w:p>
    <w:p w14:paraId="65FE6440" w14:textId="12F5A91B" w:rsidR="00617764" w:rsidRPr="0012797E" w:rsidRDefault="00617764" w:rsidP="006F02F4">
      <w:pPr>
        <w:pStyle w:val="Naslov1"/>
        <w:spacing w:before="0" w:after="0"/>
        <w:jc w:val="center"/>
        <w:rPr>
          <w:rFonts w:eastAsia="Arial"/>
        </w:rPr>
      </w:pPr>
      <w:r w:rsidRPr="0012797E">
        <w:rPr>
          <w:rFonts w:eastAsia="Arial"/>
        </w:rPr>
        <w:t xml:space="preserve">o </w:t>
      </w:r>
      <w:r w:rsidR="001A765A" w:rsidRPr="0012797E">
        <w:rPr>
          <w:rFonts w:eastAsia="Arial"/>
        </w:rPr>
        <w:t>določi</w:t>
      </w:r>
      <w:r w:rsidR="0012797E" w:rsidRPr="0012797E">
        <w:rPr>
          <w:rFonts w:eastAsia="Arial"/>
        </w:rPr>
        <w:t>t</w:t>
      </w:r>
      <w:r w:rsidR="001A765A" w:rsidRPr="0012797E">
        <w:rPr>
          <w:rFonts w:eastAsia="Arial"/>
        </w:rPr>
        <w:t>vi</w:t>
      </w:r>
      <w:r w:rsidRPr="0012797E">
        <w:rPr>
          <w:rFonts w:eastAsia="Arial"/>
        </w:rPr>
        <w:t xml:space="preserve"> dela plače za redno delovno uspešnost</w:t>
      </w:r>
      <w:r w:rsidR="001372F0" w:rsidRPr="0012797E">
        <w:rPr>
          <w:rFonts w:eastAsia="Arial"/>
        </w:rPr>
        <w:t xml:space="preserve"> </w:t>
      </w:r>
    </w:p>
    <w:p w14:paraId="15EEDE6E" w14:textId="7FFB6625" w:rsidR="0017443D" w:rsidRPr="0012797E" w:rsidRDefault="00617764" w:rsidP="006F02F4">
      <w:pPr>
        <w:pStyle w:val="Naslov1"/>
        <w:spacing w:before="0" w:after="0"/>
        <w:jc w:val="center"/>
        <w:rPr>
          <w:rFonts w:eastAsia="Arial"/>
        </w:rPr>
      </w:pPr>
      <w:r w:rsidRPr="0012797E">
        <w:rPr>
          <w:rFonts w:eastAsia="Arial"/>
        </w:rPr>
        <w:t>direktor</w:t>
      </w:r>
      <w:r w:rsidR="0017443D" w:rsidRPr="0012797E">
        <w:rPr>
          <w:rFonts w:eastAsia="Arial"/>
        </w:rPr>
        <w:t>ice j</w:t>
      </w:r>
      <w:r w:rsidRPr="0012797E">
        <w:rPr>
          <w:rFonts w:eastAsia="Arial"/>
        </w:rPr>
        <w:t>avnega zavoda</w:t>
      </w:r>
      <w:r w:rsidR="0017443D" w:rsidRPr="0012797E">
        <w:rPr>
          <w:rFonts w:eastAsia="Arial"/>
        </w:rPr>
        <w:t xml:space="preserve"> GO! 2025 – </w:t>
      </w:r>
    </w:p>
    <w:p w14:paraId="71B4AA01" w14:textId="43F5506C" w:rsidR="00617764" w:rsidRPr="0012797E" w:rsidRDefault="0017443D" w:rsidP="006F02F4">
      <w:pPr>
        <w:pStyle w:val="Naslov1"/>
        <w:spacing w:before="0" w:after="0"/>
        <w:jc w:val="center"/>
        <w:rPr>
          <w:rFonts w:eastAsia="Arial"/>
        </w:rPr>
      </w:pPr>
      <w:r w:rsidRPr="0012797E">
        <w:rPr>
          <w:rFonts w:eastAsia="Arial"/>
        </w:rPr>
        <w:t>Evropska prestolnica kulture – Nova Gorica za leto 2025</w:t>
      </w:r>
    </w:p>
    <w:p w14:paraId="7F4FF201" w14:textId="77777777" w:rsidR="009C33E1" w:rsidRPr="0012797E" w:rsidRDefault="009C33E1" w:rsidP="002C32A0">
      <w:pPr>
        <w:spacing w:after="0" w:line="288" w:lineRule="auto"/>
        <w:rPr>
          <w:rFonts w:eastAsia="Arial"/>
          <w:b/>
        </w:rPr>
      </w:pPr>
    </w:p>
    <w:p w14:paraId="2210C115" w14:textId="77777777" w:rsidR="002C32A0" w:rsidRPr="0012797E" w:rsidRDefault="002C32A0" w:rsidP="002C32A0">
      <w:pPr>
        <w:spacing w:after="0" w:line="288" w:lineRule="auto"/>
        <w:rPr>
          <w:rFonts w:eastAsia="Arial"/>
          <w:b/>
        </w:rPr>
      </w:pPr>
    </w:p>
    <w:p w14:paraId="2DF26B95" w14:textId="45D42028" w:rsidR="00C839C9" w:rsidRPr="0012797E" w:rsidRDefault="00C839C9" w:rsidP="002C32A0">
      <w:pPr>
        <w:spacing w:after="0" w:line="288" w:lineRule="auto"/>
        <w:ind w:left="851"/>
        <w:jc w:val="center"/>
        <w:rPr>
          <w:rFonts w:eastAsia="Arial"/>
          <w:bCs w:val="0"/>
        </w:rPr>
      </w:pPr>
      <w:r w:rsidRPr="0012797E">
        <w:rPr>
          <w:rFonts w:eastAsia="Arial"/>
          <w:bCs w:val="0"/>
        </w:rPr>
        <w:t xml:space="preserve">1. </w:t>
      </w:r>
    </w:p>
    <w:p w14:paraId="7F000FD8" w14:textId="23B4A166" w:rsidR="007035CD" w:rsidRPr="0012797E" w:rsidRDefault="001372F0" w:rsidP="00726AA2">
      <w:pPr>
        <w:pStyle w:val="gradivo"/>
        <w:rPr>
          <w:rFonts w:eastAsia="Arial"/>
        </w:rPr>
      </w:pPr>
      <w:r w:rsidRPr="0012797E">
        <w:rPr>
          <w:rFonts w:eastAsia="Arial"/>
        </w:rPr>
        <w:t>Miji Lorbek, d</w:t>
      </w:r>
      <w:r w:rsidR="00546321" w:rsidRPr="0012797E">
        <w:rPr>
          <w:rFonts w:eastAsia="Arial"/>
        </w:rPr>
        <w:t>ir</w:t>
      </w:r>
      <w:r w:rsidR="003F4081" w:rsidRPr="0012797E">
        <w:rPr>
          <w:rFonts w:eastAsia="Arial"/>
        </w:rPr>
        <w:t>ektorici</w:t>
      </w:r>
      <w:r w:rsidR="007035CD" w:rsidRPr="0012797E">
        <w:rPr>
          <w:rFonts w:eastAsia="Arial"/>
        </w:rPr>
        <w:t xml:space="preserve"> </w:t>
      </w:r>
      <w:r w:rsidR="00726AA2" w:rsidRPr="0012797E">
        <w:rPr>
          <w:rFonts w:eastAsia="Arial"/>
        </w:rPr>
        <w:t>j</w:t>
      </w:r>
      <w:r w:rsidR="007035CD" w:rsidRPr="0012797E">
        <w:rPr>
          <w:rFonts w:eastAsia="Arial"/>
        </w:rPr>
        <w:t xml:space="preserve">avnega zavoda </w:t>
      </w:r>
      <w:r w:rsidR="00726AA2" w:rsidRPr="0012797E">
        <w:rPr>
          <w:rFonts w:eastAsia="Arial"/>
        </w:rPr>
        <w:t>GO! 2025 – Evropska prestolnica kulture</w:t>
      </w:r>
      <w:r w:rsidR="00EB1800" w:rsidRPr="0012797E">
        <w:rPr>
          <w:rFonts w:eastAsia="Arial"/>
        </w:rPr>
        <w:t xml:space="preserve">, </w:t>
      </w:r>
      <w:r w:rsidR="00726AA2" w:rsidRPr="0012797E">
        <w:rPr>
          <w:rFonts w:eastAsia="Arial"/>
        </w:rPr>
        <w:t>Nova Gorica</w:t>
      </w:r>
      <w:r w:rsidR="00EB1800" w:rsidRPr="0012797E">
        <w:rPr>
          <w:rFonts w:eastAsia="Arial"/>
        </w:rPr>
        <w:t>,</w:t>
      </w:r>
      <w:r w:rsidR="009C33E1" w:rsidRPr="0012797E">
        <w:rPr>
          <w:rFonts w:eastAsia="Arial"/>
        </w:rPr>
        <w:t xml:space="preserve"> </w:t>
      </w:r>
      <w:r w:rsidR="007035CD" w:rsidRPr="0012797E">
        <w:rPr>
          <w:rFonts w:eastAsia="Arial"/>
        </w:rPr>
        <w:t xml:space="preserve">se za leto 2025 določi del plače za redno delovno uspešnost v </w:t>
      </w:r>
      <w:r w:rsidR="007035CD" w:rsidRPr="0012797E">
        <w:rPr>
          <w:rFonts w:eastAsia="Arial"/>
          <w:color w:val="000000" w:themeColor="text1"/>
        </w:rPr>
        <w:t xml:space="preserve">višini </w:t>
      </w:r>
      <w:r w:rsidR="008C15FE" w:rsidRPr="0012797E">
        <w:rPr>
          <w:rFonts w:eastAsia="Arial"/>
          <w:color w:val="000000" w:themeColor="text1"/>
        </w:rPr>
        <w:t>2.447,74</w:t>
      </w:r>
      <w:r w:rsidR="007035CD" w:rsidRPr="0012797E">
        <w:rPr>
          <w:rFonts w:eastAsia="Arial"/>
          <w:color w:val="000000" w:themeColor="text1"/>
        </w:rPr>
        <w:t xml:space="preserve"> EUR bruto.</w:t>
      </w:r>
    </w:p>
    <w:p w14:paraId="6FA24889" w14:textId="77777777" w:rsidR="009C33E1" w:rsidRPr="0012797E" w:rsidRDefault="009C33E1" w:rsidP="00745705">
      <w:pPr>
        <w:pStyle w:val="gradivo"/>
        <w:ind w:left="0"/>
        <w:rPr>
          <w:rFonts w:eastAsia="Arial"/>
          <w:color w:val="000000" w:themeColor="text1"/>
        </w:rPr>
      </w:pPr>
    </w:p>
    <w:p w14:paraId="0F815534" w14:textId="53B1EA2F" w:rsidR="00F01133" w:rsidRPr="0012797E" w:rsidRDefault="00F01133" w:rsidP="00AE137C">
      <w:pPr>
        <w:pStyle w:val="gradivo"/>
        <w:rPr>
          <w:rFonts w:eastAsia="Arial"/>
          <w:color w:val="000000" w:themeColor="text1"/>
        </w:rPr>
      </w:pPr>
      <w:r w:rsidRPr="0012797E">
        <w:rPr>
          <w:rFonts w:eastAsia="Arial"/>
          <w:color w:val="000000" w:themeColor="text1"/>
        </w:rPr>
        <w:t>Redna delovna uspešnost se skladno s Pravilnikom o merilih za ugotavljanje redne delovne uspešnosti direktorjev pravnih oseb javnega prava s področja kulture</w:t>
      </w:r>
      <w:r w:rsidR="009C33E1" w:rsidRPr="0012797E">
        <w:rPr>
          <w:rFonts w:eastAsia="Arial"/>
          <w:color w:val="000000" w:themeColor="text1"/>
        </w:rPr>
        <w:t xml:space="preserve"> </w:t>
      </w:r>
      <w:r w:rsidRPr="0012797E">
        <w:rPr>
          <w:rFonts w:eastAsia="Arial"/>
          <w:color w:val="000000" w:themeColor="text1"/>
        </w:rPr>
        <w:t xml:space="preserve">ovrednoti </w:t>
      </w:r>
      <w:r w:rsidR="009C33E1" w:rsidRPr="0012797E">
        <w:rPr>
          <w:rFonts w:eastAsia="Arial"/>
          <w:color w:val="000000" w:themeColor="text1"/>
        </w:rPr>
        <w:t>v</w:t>
      </w:r>
      <w:r w:rsidRPr="0012797E">
        <w:rPr>
          <w:rFonts w:eastAsia="Arial"/>
          <w:color w:val="000000" w:themeColor="text1"/>
        </w:rPr>
        <w:t xml:space="preserve"> višini 9</w:t>
      </w:r>
      <w:r w:rsidR="00782408" w:rsidRPr="0012797E">
        <w:rPr>
          <w:rFonts w:eastAsia="Arial"/>
          <w:color w:val="000000" w:themeColor="text1"/>
        </w:rPr>
        <w:t>5</w:t>
      </w:r>
      <w:r w:rsidRPr="0012797E">
        <w:rPr>
          <w:rFonts w:eastAsia="Arial"/>
          <w:color w:val="000000" w:themeColor="text1"/>
        </w:rPr>
        <w:t xml:space="preserve"> odstotnih točk.</w:t>
      </w:r>
    </w:p>
    <w:p w14:paraId="0967F8BD" w14:textId="77777777" w:rsidR="00A334D8" w:rsidRPr="0012797E" w:rsidRDefault="00A334D8" w:rsidP="009C33E1">
      <w:pPr>
        <w:spacing w:after="0" w:line="288" w:lineRule="auto"/>
        <w:rPr>
          <w:rFonts w:eastAsia="Arial"/>
          <w:b/>
        </w:rPr>
      </w:pPr>
    </w:p>
    <w:p w14:paraId="63D68ADB" w14:textId="46DAA471" w:rsidR="00C839C9" w:rsidRPr="0012797E" w:rsidRDefault="00C839C9" w:rsidP="002C32A0">
      <w:pPr>
        <w:spacing w:after="0" w:line="288" w:lineRule="auto"/>
        <w:ind w:left="851"/>
        <w:jc w:val="center"/>
        <w:rPr>
          <w:rFonts w:eastAsia="Arial"/>
          <w:bCs w:val="0"/>
        </w:rPr>
      </w:pPr>
      <w:r w:rsidRPr="0012797E">
        <w:rPr>
          <w:rFonts w:eastAsia="Arial"/>
          <w:bCs w:val="0"/>
        </w:rPr>
        <w:t xml:space="preserve">2. </w:t>
      </w:r>
    </w:p>
    <w:p w14:paraId="499BAEF6" w14:textId="1327E89E" w:rsidR="000E002C" w:rsidRPr="0012797E" w:rsidRDefault="00D620C1" w:rsidP="009E796F">
      <w:pPr>
        <w:pStyle w:val="gradivo"/>
        <w:rPr>
          <w:rFonts w:eastAsia="Arial"/>
        </w:rPr>
      </w:pPr>
      <w:r w:rsidRPr="0012797E">
        <w:rPr>
          <w:rFonts w:eastAsia="Arial"/>
        </w:rPr>
        <w:t>Za plačilo redne delovne uspešnosti se nameni 5% letnih sredstev za osnovno plačo direktor</w:t>
      </w:r>
      <w:r w:rsidR="000175BE" w:rsidRPr="0012797E">
        <w:rPr>
          <w:rFonts w:eastAsia="Arial"/>
        </w:rPr>
        <w:t>ice</w:t>
      </w:r>
      <w:r w:rsidR="008F1A48" w:rsidRPr="0012797E">
        <w:rPr>
          <w:rFonts w:eastAsia="Arial"/>
        </w:rPr>
        <w:t>.</w:t>
      </w:r>
    </w:p>
    <w:p w14:paraId="3ED5DC86" w14:textId="77777777" w:rsidR="00A334D8" w:rsidRPr="0012797E" w:rsidRDefault="00A334D8" w:rsidP="009E796F">
      <w:pPr>
        <w:pStyle w:val="gradivo"/>
        <w:rPr>
          <w:rFonts w:eastAsia="Arial"/>
        </w:rPr>
      </w:pPr>
    </w:p>
    <w:p w14:paraId="38CB45B3" w14:textId="0F0F5CB1" w:rsidR="00C839C9" w:rsidRPr="0012797E" w:rsidRDefault="00C839C9" w:rsidP="002C32A0">
      <w:pPr>
        <w:spacing w:after="0" w:line="288" w:lineRule="auto"/>
        <w:ind w:left="851"/>
        <w:jc w:val="center"/>
        <w:rPr>
          <w:rFonts w:eastAsia="Arial"/>
          <w:bCs w:val="0"/>
        </w:rPr>
      </w:pPr>
      <w:r w:rsidRPr="0012797E">
        <w:rPr>
          <w:rFonts w:eastAsia="Arial"/>
          <w:bCs w:val="0"/>
        </w:rPr>
        <w:t>3.</w:t>
      </w:r>
    </w:p>
    <w:p w14:paraId="5EA4CD78" w14:textId="276D440E" w:rsidR="00076AD1" w:rsidRPr="0012797E" w:rsidRDefault="00782408" w:rsidP="002C32A0">
      <w:pPr>
        <w:pStyle w:val="gradivo"/>
        <w:rPr>
          <w:rFonts w:eastAsia="Arial"/>
        </w:rPr>
      </w:pPr>
      <w:r w:rsidRPr="0012797E">
        <w:rPr>
          <w:rFonts w:eastAsia="Arial"/>
        </w:rPr>
        <w:t>Direktorici</w:t>
      </w:r>
      <w:r w:rsidR="000A0BCF" w:rsidRPr="0012797E">
        <w:rPr>
          <w:rFonts w:eastAsia="Arial"/>
        </w:rPr>
        <w:t xml:space="preserve"> se del plače za redno delovno uspešnost za leto </w:t>
      </w:r>
      <w:r w:rsidR="001A3C46" w:rsidRPr="0012797E">
        <w:rPr>
          <w:rFonts w:eastAsia="Arial"/>
        </w:rPr>
        <w:t>2025</w:t>
      </w:r>
      <w:r w:rsidR="000A0BCF" w:rsidRPr="0012797E">
        <w:rPr>
          <w:rFonts w:eastAsia="Arial"/>
        </w:rPr>
        <w:t xml:space="preserve"> izplača v letu </w:t>
      </w:r>
      <w:r w:rsidR="001A3C46" w:rsidRPr="0012797E">
        <w:rPr>
          <w:rFonts w:eastAsia="Arial"/>
        </w:rPr>
        <w:t>2026</w:t>
      </w:r>
      <w:r w:rsidR="000A0BCF" w:rsidRPr="0012797E">
        <w:rPr>
          <w:rFonts w:eastAsia="Arial"/>
        </w:rPr>
        <w:t xml:space="preserve">. </w:t>
      </w:r>
    </w:p>
    <w:p w14:paraId="6C3E45B0" w14:textId="05AF3083" w:rsidR="00C839C9" w:rsidRPr="0012797E" w:rsidRDefault="00C839C9" w:rsidP="006F02F4">
      <w:pPr>
        <w:spacing w:after="0" w:line="288" w:lineRule="auto"/>
        <w:ind w:left="851"/>
        <w:jc w:val="center"/>
        <w:rPr>
          <w:rFonts w:eastAsia="Arial"/>
          <w:bCs w:val="0"/>
        </w:rPr>
      </w:pPr>
      <w:r w:rsidRPr="0012797E">
        <w:rPr>
          <w:rFonts w:eastAsia="Arial"/>
          <w:bCs w:val="0"/>
        </w:rPr>
        <w:t xml:space="preserve">4. </w:t>
      </w:r>
    </w:p>
    <w:p w14:paraId="2C04539F" w14:textId="77777777" w:rsidR="00C839C9" w:rsidRPr="0012797E" w:rsidRDefault="00C839C9" w:rsidP="0067333B">
      <w:pPr>
        <w:spacing w:after="0" w:line="288" w:lineRule="auto"/>
        <w:rPr>
          <w:rFonts w:eastAsia="Arial"/>
          <w:b/>
        </w:rPr>
      </w:pPr>
    </w:p>
    <w:p w14:paraId="66DB3969" w14:textId="77777777" w:rsidR="002C32A0" w:rsidRPr="0012797E" w:rsidRDefault="002C32A0" w:rsidP="00C03EC2">
      <w:pPr>
        <w:spacing w:after="0" w:line="288" w:lineRule="auto"/>
        <w:ind w:left="708"/>
        <w:rPr>
          <w:rFonts w:eastAsia="Arial"/>
        </w:rPr>
      </w:pPr>
    </w:p>
    <w:p w14:paraId="01DD2683" w14:textId="77CBF74D" w:rsidR="00C03EC2" w:rsidRPr="0012797E" w:rsidRDefault="00C03EC2" w:rsidP="00C03EC2">
      <w:pPr>
        <w:spacing w:after="0" w:line="288" w:lineRule="auto"/>
        <w:ind w:left="708"/>
        <w:rPr>
          <w:rFonts w:eastAsia="Arial"/>
        </w:rPr>
      </w:pPr>
      <w:r w:rsidRPr="0012797E">
        <w:rPr>
          <w:rFonts w:eastAsia="Arial"/>
        </w:rPr>
        <w:t>Ta sklep velja takoj.</w:t>
      </w:r>
    </w:p>
    <w:p w14:paraId="7A3C00FF" w14:textId="77777777" w:rsidR="00076AD1" w:rsidRPr="0012797E" w:rsidRDefault="00076AD1" w:rsidP="00181D8A">
      <w:pPr>
        <w:spacing w:after="0" w:line="288" w:lineRule="auto"/>
        <w:rPr>
          <w:rFonts w:eastAsia="Arial"/>
        </w:rPr>
      </w:pPr>
    </w:p>
    <w:p w14:paraId="4549E1F2" w14:textId="30EC5FA2" w:rsidR="00714788" w:rsidRPr="0012797E" w:rsidRDefault="00352A82" w:rsidP="00076AD1">
      <w:pPr>
        <w:pStyle w:val="stevilkadokumenta"/>
        <w:spacing w:line="288" w:lineRule="auto"/>
      </w:pPr>
      <w:r w:rsidRPr="0012797E">
        <w:rPr>
          <w:rStyle w:val="ZvezaZnak"/>
          <w:sz w:val="20"/>
          <w:u w:val="none"/>
        </w:rPr>
        <w:t xml:space="preserve">Številka: </w:t>
      </w:r>
      <w:r w:rsidR="00E7447A" w:rsidRPr="0012797E">
        <w:rPr>
          <w:rStyle w:val="ZvezaZnak"/>
          <w:sz w:val="20"/>
          <w:u w:val="none"/>
        </w:rPr>
        <w:t>014-23/2021-</w:t>
      </w:r>
      <w:r w:rsidRPr="0012797E">
        <w:rPr>
          <w:rStyle w:val="ZvezaZnak"/>
          <w:sz w:val="20"/>
          <w:u w:val="none"/>
        </w:rPr>
        <w:br/>
      </w:r>
      <w:r w:rsidRPr="0012797E">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12797E" w14:paraId="3CD79ED9" w14:textId="77777777" w:rsidTr="009060A3">
        <w:tc>
          <w:tcPr>
            <w:tcW w:w="3549" w:type="dxa"/>
          </w:tcPr>
          <w:p w14:paraId="3281E915" w14:textId="77777777" w:rsidR="009060A3" w:rsidRPr="0012797E" w:rsidRDefault="009060A3" w:rsidP="0067333B">
            <w:pPr>
              <w:pStyle w:val="Podpisoseba"/>
              <w:spacing w:before="0" w:after="0" w:line="288" w:lineRule="auto"/>
              <w:rPr>
                <w:b/>
                <w:color w:val="FFFFFF" w:themeColor="background1"/>
              </w:rPr>
            </w:pPr>
            <w:r w:rsidRPr="0012797E">
              <w:rPr>
                <w:b/>
                <w:color w:val="FFFFFF" w:themeColor="background1"/>
              </w:rPr>
              <w:t>Desnik podpisnik</w:t>
            </w:r>
          </w:p>
        </w:tc>
      </w:tr>
      <w:tr w:rsidR="009060A3" w:rsidRPr="0012797E" w14:paraId="0E78414C" w14:textId="77777777" w:rsidTr="009060A3">
        <w:tc>
          <w:tcPr>
            <w:tcW w:w="3549" w:type="dxa"/>
          </w:tcPr>
          <w:p w14:paraId="36F5CAF7" w14:textId="77777777" w:rsidR="009060A3" w:rsidRPr="0012797E" w:rsidRDefault="009060A3" w:rsidP="0067333B">
            <w:pPr>
              <w:pStyle w:val="Podpisoseba"/>
              <w:spacing w:before="0" w:after="0" w:line="288" w:lineRule="auto"/>
              <w:rPr>
                <w:bCs w:val="0"/>
              </w:rPr>
            </w:pPr>
            <w:r w:rsidRPr="0012797E">
              <w:rPr>
                <w:b/>
              </w:rPr>
              <w:t>Samo Turel</w:t>
            </w:r>
          </w:p>
        </w:tc>
      </w:tr>
      <w:tr w:rsidR="009060A3" w:rsidRPr="0012797E" w14:paraId="296EC3FE" w14:textId="77777777" w:rsidTr="009060A3">
        <w:trPr>
          <w:trHeight w:val="530"/>
        </w:trPr>
        <w:tc>
          <w:tcPr>
            <w:tcW w:w="3549" w:type="dxa"/>
          </w:tcPr>
          <w:p w14:paraId="366DB2BD" w14:textId="02104981" w:rsidR="009060A3" w:rsidRPr="0012797E" w:rsidRDefault="003A35BE" w:rsidP="0067333B">
            <w:pPr>
              <w:pStyle w:val="Podpisoseba"/>
              <w:spacing w:before="0" w:after="0" w:line="288" w:lineRule="auto"/>
              <w:rPr>
                <w:bCs w:val="0"/>
              </w:rPr>
            </w:pPr>
            <w:r w:rsidRPr="0012797E">
              <w:t>Ž</w:t>
            </w:r>
            <w:r w:rsidR="009060A3" w:rsidRPr="0012797E">
              <w:t>upan</w:t>
            </w:r>
          </w:p>
        </w:tc>
      </w:tr>
    </w:tbl>
    <w:p w14:paraId="1600E036" w14:textId="3AA6434C" w:rsidR="00714788" w:rsidRPr="0012797E" w:rsidRDefault="00714788" w:rsidP="0067333B">
      <w:pPr>
        <w:spacing w:line="288" w:lineRule="auto"/>
      </w:pPr>
    </w:p>
    <w:p w14:paraId="021587B6" w14:textId="77777777" w:rsidR="00714788" w:rsidRPr="0012797E" w:rsidRDefault="00714788" w:rsidP="0067333B">
      <w:pPr>
        <w:spacing w:line="288" w:lineRule="auto"/>
      </w:pPr>
    </w:p>
    <w:p w14:paraId="49C83A4E" w14:textId="77777777" w:rsidR="00731380" w:rsidRPr="0012797E" w:rsidRDefault="00731380" w:rsidP="0067333B">
      <w:pPr>
        <w:spacing w:line="288" w:lineRule="auto"/>
      </w:pPr>
    </w:p>
    <w:p w14:paraId="06BE4516" w14:textId="77777777" w:rsidR="00731380" w:rsidRPr="0012797E" w:rsidRDefault="00731380" w:rsidP="0067333B">
      <w:pPr>
        <w:spacing w:line="288" w:lineRule="auto"/>
        <w:sectPr w:rsidR="00731380" w:rsidRPr="0012797E" w:rsidSect="00F26014">
          <w:pgSz w:w="11906" w:h="16838"/>
          <w:pgMar w:top="1418" w:right="1418" w:bottom="1418" w:left="1418" w:header="1304" w:footer="454" w:gutter="0"/>
          <w:cols w:space="708"/>
          <w:titlePg/>
          <w:docGrid w:linePitch="360"/>
        </w:sectPr>
      </w:pPr>
    </w:p>
    <w:p w14:paraId="69C13A43" w14:textId="0398C955" w:rsidR="00987C4B" w:rsidRPr="0012797E" w:rsidRDefault="00C50EB4" w:rsidP="0012797E">
      <w:pPr>
        <w:pStyle w:val="Nazivenote"/>
        <w:spacing w:line="288" w:lineRule="auto"/>
        <w:rPr>
          <w:b w:val="0"/>
          <w:bCs/>
          <w:sz w:val="16"/>
          <w:szCs w:val="16"/>
        </w:rPr>
      </w:pPr>
      <w:r w:rsidRPr="0012797E">
        <w:rPr>
          <w:sz w:val="16"/>
          <w:szCs w:val="16"/>
        </w:rPr>
        <w:lastRenderedPageBreak/>
        <w:t>Oddelek za družbene dejavnosti</w:t>
      </w:r>
      <w:r w:rsidR="00731380" w:rsidRPr="0012797E">
        <w:rPr>
          <w:sz w:val="16"/>
          <w:szCs w:val="16"/>
        </w:rPr>
        <w:br/>
      </w:r>
      <w:r w:rsidR="00731380" w:rsidRPr="0012797E">
        <w:rPr>
          <w:b w:val="0"/>
          <w:bCs/>
          <w:sz w:val="16"/>
          <w:szCs w:val="16"/>
        </w:rPr>
        <w:t>Trg Edvarda Kardelja 1, 5000 Nova Gorica</w:t>
      </w:r>
    </w:p>
    <w:p w14:paraId="179D5F2D" w14:textId="738FABDD" w:rsidR="005F4B59" w:rsidRPr="0012797E" w:rsidRDefault="00435075" w:rsidP="009B0D8B">
      <w:pPr>
        <w:pStyle w:val="Naslov1"/>
        <w:spacing w:line="288" w:lineRule="auto"/>
        <w:rPr>
          <w:szCs w:val="22"/>
        </w:rPr>
      </w:pPr>
      <w:r w:rsidRPr="0012797E">
        <w:rPr>
          <w:szCs w:val="22"/>
        </w:rPr>
        <w:t>Obrazložitev</w:t>
      </w:r>
    </w:p>
    <w:p w14:paraId="6FE88811" w14:textId="2A8C30F5" w:rsidR="00AE7B58" w:rsidRPr="0012797E" w:rsidRDefault="00AE7B58" w:rsidP="0012797E">
      <w:pPr>
        <w:pStyle w:val="gradivo"/>
        <w:spacing w:line="288" w:lineRule="auto"/>
      </w:pPr>
      <w:r w:rsidRPr="0012797E">
        <w:t xml:space="preserve">Pravni temelj za sprejem Sklepa o </w:t>
      </w:r>
      <w:r w:rsidR="007D11B6" w:rsidRPr="0012797E">
        <w:t xml:space="preserve">določitvi </w:t>
      </w:r>
      <w:r w:rsidRPr="0012797E">
        <w:t>dela plače za redno delovno uspešnost direktor</w:t>
      </w:r>
      <w:r w:rsidR="00C63702" w:rsidRPr="0012797E">
        <w:t>ice</w:t>
      </w:r>
      <w:r w:rsidRPr="0012797E">
        <w:t xml:space="preserve"> </w:t>
      </w:r>
      <w:r w:rsidR="009B0D8B" w:rsidRPr="0012797E">
        <w:t>j</w:t>
      </w:r>
      <w:r w:rsidRPr="0012797E">
        <w:t xml:space="preserve">avnega zavoda </w:t>
      </w:r>
      <w:r w:rsidR="005A07BC" w:rsidRPr="0012797E">
        <w:t>GO! 2025 – Evropska prestolnica kulture Nova Gorica</w:t>
      </w:r>
      <w:r w:rsidRPr="0012797E">
        <w:t xml:space="preserve"> (v nadaljevanju: zavod) za leto </w:t>
      </w:r>
      <w:r w:rsidR="00DA007E" w:rsidRPr="0012797E">
        <w:t>2025</w:t>
      </w:r>
      <w:r w:rsidRPr="0012797E">
        <w:t xml:space="preserve"> je </w:t>
      </w:r>
      <w:r w:rsidRPr="0012797E">
        <w:rPr>
          <w:lang w:eastAsia="en-US"/>
        </w:rPr>
        <w:t>119. člen Zakona o skupnih temeljih sistema plač v javnem sektorju (Uradni list RS, št. 95/24</w:t>
      </w:r>
      <w:r w:rsidR="009111E4" w:rsidRPr="0012797E">
        <w:rPr>
          <w:lang w:eastAsia="en-US"/>
        </w:rPr>
        <w:t xml:space="preserve"> i</w:t>
      </w:r>
      <w:r w:rsidR="00660689" w:rsidRPr="0012797E">
        <w:rPr>
          <w:lang w:eastAsia="en-US"/>
        </w:rPr>
        <w:t>n 12/26 – ZPPJUFT</w:t>
      </w:r>
      <w:r w:rsidRPr="0012797E">
        <w:rPr>
          <w:lang w:eastAsia="en-US"/>
        </w:rPr>
        <w:t xml:space="preserve">; v nadaljevanju: ZSTSPJS) in </w:t>
      </w:r>
      <w:r w:rsidR="00B4635C" w:rsidRPr="0012797E">
        <w:rPr>
          <w:rFonts w:eastAsia="Arial"/>
        </w:rPr>
        <w:t>6. člen Uredbe o plačah javnih uslužbencev plačne skupine B (Uradni list RS, št. 99/24, 109/24, 26/25, 29/25</w:t>
      </w:r>
      <w:r w:rsidR="0050629F" w:rsidRPr="0012797E">
        <w:rPr>
          <w:rFonts w:eastAsia="Arial"/>
        </w:rPr>
        <w:t>; v nadaljevanju: Uredba)</w:t>
      </w:r>
      <w:r w:rsidR="00181D8A" w:rsidRPr="0012797E">
        <w:rPr>
          <w:rFonts w:eastAsia="Arial"/>
        </w:rPr>
        <w:t>.</w:t>
      </w:r>
      <w:r w:rsidR="009E796F" w:rsidRPr="0012797E">
        <w:rPr>
          <w:rFonts w:eastAsia="Arial"/>
        </w:rPr>
        <w:t xml:space="preserve"> </w:t>
      </w:r>
      <w:r w:rsidRPr="0012797E">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w:t>
      </w:r>
      <w:r w:rsidR="000B6D42" w:rsidRPr="0012797E">
        <w:t xml:space="preserve"> in 95</w:t>
      </w:r>
      <w:r w:rsidR="00554C57" w:rsidRPr="0012797E">
        <w:t>/24 – ZSTSPJS)</w:t>
      </w:r>
      <w:r w:rsidRPr="0012797E">
        <w:t>, 7. člen Uredbe o plačah direktorjev v javnem sektorju (Uradni list RS, št. 68/17, 4/18, 30/18, 116/21, 180/21, 29/22, 89/22, 112/22, 157/22, 25/23, 64/23</w:t>
      </w:r>
      <w:r w:rsidR="00982CF5" w:rsidRPr="0012797E">
        <w:t xml:space="preserve">, </w:t>
      </w:r>
      <w:r w:rsidRPr="0012797E">
        <w:t>79/23</w:t>
      </w:r>
      <w:r w:rsidR="004B3AB6" w:rsidRPr="0012797E">
        <w:t>, 95/24 – ZSTSPJS, 96/24 in 99/24</w:t>
      </w:r>
      <w:r w:rsidRPr="0012797E">
        <w:t>) ter pravilniki, izdani na podlagi tretjega odstavka 22.a člena ZSPJS.</w:t>
      </w:r>
    </w:p>
    <w:p w14:paraId="46B8F38E" w14:textId="77777777" w:rsidR="00AE7B58" w:rsidRPr="0012797E" w:rsidRDefault="00AE7B58" w:rsidP="0012797E">
      <w:pPr>
        <w:pStyle w:val="gradivo"/>
        <w:spacing w:line="288" w:lineRule="auto"/>
        <w:rPr>
          <w:b/>
        </w:rPr>
      </w:pPr>
    </w:p>
    <w:p w14:paraId="40646055" w14:textId="4482DA28" w:rsidR="00AE7B58" w:rsidRPr="0012797E" w:rsidRDefault="00AE7B58" w:rsidP="0012797E">
      <w:pPr>
        <w:pStyle w:val="gradivo"/>
        <w:spacing w:line="288" w:lineRule="auto"/>
      </w:pPr>
      <w:r w:rsidRPr="0012797E">
        <w:t>Direktorjem v javnih zavodih se del plače za redno delovno uspešnost v okvirih, ki jih določa Zakon o sistemu plač v javnem sektorju (Uradni list RS, št. </w:t>
      </w:r>
      <w:hyperlink r:id="rId17" w:tgtFrame="_blank" w:tooltip="Zakon o sistemu plač v javnem sektorju (uradno prečiščeno besedilo) (ZSPJS-UPB13)" w:history="1">
        <w:r w:rsidRPr="0012797E">
          <w:t>108/09</w:t>
        </w:r>
      </w:hyperlink>
      <w:r w:rsidRPr="0012797E">
        <w:t xml:space="preserve">  – uradno prečiščeno besedilo, </w:t>
      </w:r>
      <w:hyperlink r:id="rId18" w:tgtFrame="_blank" w:tooltip="Zakon o spremembah Zakona o sistemu plač v javnem sektorju (ZSPJS-M)" w:history="1">
        <w:r w:rsidRPr="0012797E">
          <w:t>13/10</w:t>
        </w:r>
      </w:hyperlink>
      <w:r w:rsidRPr="0012797E">
        <w:t>, </w:t>
      </w:r>
      <w:hyperlink r:id="rId19" w:tgtFrame="_blank" w:tooltip="Zakon o spremembah in dopolnitvah Zakona o sistemu plač v javnem sektorju (ZSPJS-N)" w:history="1">
        <w:r w:rsidRPr="0012797E">
          <w:t>59/10</w:t>
        </w:r>
      </w:hyperlink>
      <w:r w:rsidRPr="0012797E">
        <w:t>, </w:t>
      </w:r>
      <w:hyperlink r:id="rId20" w:tgtFrame="_blank" w:tooltip="Zakon o spremembi Zakona o sistemu plač v javnem sektorju (ZSPJS-O)" w:history="1">
        <w:r w:rsidRPr="0012797E">
          <w:t>85/10</w:t>
        </w:r>
      </w:hyperlink>
      <w:r w:rsidRPr="0012797E">
        <w:t>, </w:t>
      </w:r>
      <w:hyperlink r:id="rId21" w:tgtFrame="_blank" w:tooltip="Zakon o spremembi Zakona o sistemu plač v javnem sektorju (ZSPJS-P)" w:history="1">
        <w:r w:rsidRPr="0012797E">
          <w:t>107/10</w:t>
        </w:r>
      </w:hyperlink>
      <w:r w:rsidRPr="0012797E">
        <w:t>, </w:t>
      </w:r>
      <w:hyperlink r:id="rId22" w:tgtFrame="_blank" w:tooltip="Avtentična razlaga 49.a člena Zakona o sistemu plač v javnem sektorju (ORZSPJS49a)" w:history="1">
        <w:r w:rsidRPr="0012797E">
          <w:t>35/11</w:t>
        </w:r>
      </w:hyperlink>
      <w:r w:rsidRPr="0012797E">
        <w:t xml:space="preserve">  – </w:t>
      </w:r>
      <w:r w:rsidR="00B854F7" w:rsidRPr="0012797E">
        <w:t xml:space="preserve"> </w:t>
      </w:r>
      <w:r w:rsidRPr="0012797E">
        <w:t>RZSPJS49a, </w:t>
      </w:r>
      <w:hyperlink r:id="rId2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12797E">
          <w:t>27/12</w:t>
        </w:r>
      </w:hyperlink>
      <w:r w:rsidRPr="0012797E">
        <w:t>  – odl. US, </w:t>
      </w:r>
      <w:hyperlink r:id="rId24" w:tgtFrame="_blank" w:tooltip="Zakon za uravnoteženje javnih financ (ZUJF)" w:history="1">
        <w:r w:rsidRPr="0012797E">
          <w:t>40/12</w:t>
        </w:r>
      </w:hyperlink>
      <w:r w:rsidRPr="0012797E">
        <w:t xml:space="preserve">  – ZUJF, </w:t>
      </w:r>
      <w:hyperlink r:id="rId25" w:tgtFrame="_blank" w:tooltip="Zakon o spremembi in dopolnitvah Zakona o sistemu plač v javnem sektorju (ZSPJS-R)" w:history="1">
        <w:r w:rsidRPr="0012797E">
          <w:t>46/13</w:t>
        </w:r>
      </w:hyperlink>
      <w:r w:rsidRPr="0012797E">
        <w:t>, </w:t>
      </w:r>
      <w:hyperlink r:id="rId26" w:tgtFrame="_blank" w:tooltip="Zakon o finančni upravi (ZFU)" w:history="1">
        <w:r w:rsidRPr="0012797E">
          <w:t>25/14</w:t>
        </w:r>
      </w:hyperlink>
      <w:r w:rsidRPr="0012797E">
        <w:t>  – FU, </w:t>
      </w:r>
      <w:hyperlink r:id="rId27" w:tgtFrame="_blank" w:tooltip="Zakon o spremembah Zakona o sistemu plač v javnem sektorju (ZSPJS-S)" w:history="1">
        <w:r w:rsidRPr="0012797E">
          <w:t>50/14</w:t>
        </w:r>
      </w:hyperlink>
      <w:r w:rsidRPr="0012797E">
        <w:t>, </w:t>
      </w:r>
      <w:hyperlink r:id="rId28" w:tgtFrame="_blank" w:tooltip="Zakon o ukrepih na področju plač in drugih stroškov dela v javnem sektorju za leto 2015 (ZUPPJS15)" w:history="1">
        <w:r w:rsidRPr="0012797E">
          <w:t>95/14</w:t>
        </w:r>
      </w:hyperlink>
      <w:r w:rsidRPr="0012797E">
        <w:t xml:space="preserve">  – ZUPPJS15, </w:t>
      </w:r>
      <w:hyperlink r:id="rId29" w:tgtFrame="_blank" w:tooltip="Zakon o dopolnitvi Zakona o sistemu plač v javnem sektorju (ZSPJS-T)" w:history="1">
        <w:r w:rsidRPr="0012797E">
          <w:t>82/15</w:t>
        </w:r>
      </w:hyperlink>
      <w:r w:rsidRPr="0012797E">
        <w:t>, </w:t>
      </w:r>
      <w:hyperlink r:id="rId30" w:tgtFrame="_blank" w:tooltip="Zakon o državnem odvetništvu (ZDOdv)" w:history="1">
        <w:r w:rsidRPr="0012797E">
          <w:t>23/17</w:t>
        </w:r>
      </w:hyperlink>
      <w:r w:rsidRPr="0012797E">
        <w:t> – ZDOdv, </w:t>
      </w:r>
      <w:hyperlink r:id="rId31" w:tgtFrame="_blank" w:tooltip="Zakon o spremembah Zakona o sistemu plač v javnem sektorju (ZSPJS-U)" w:history="1">
        <w:r w:rsidRPr="0012797E">
          <w:t>67/17</w:t>
        </w:r>
      </w:hyperlink>
      <w:r w:rsidRPr="0012797E">
        <w:t>, </w:t>
      </w:r>
      <w:hyperlink r:id="rId32" w:tgtFrame="_blank" w:tooltip="Zakon o spremembi in dopolnitvah Zakona o sistemu plač v javnem sektorju (ZSPJS-V)" w:history="1">
        <w:r w:rsidRPr="0012797E">
          <w:t>84/18</w:t>
        </w:r>
      </w:hyperlink>
      <w:r w:rsidRPr="0012797E">
        <w:t>, </w:t>
      </w:r>
      <w:hyperlink r:id="rId33" w:tgtFrame="_blank" w:tooltip="Zakon o spremembi Zakona o sistemu plač v javnem sektorju (ZSPJS-Z)" w:history="1">
        <w:r w:rsidRPr="0012797E">
          <w:t>204/21</w:t>
        </w:r>
      </w:hyperlink>
      <w:r w:rsidRPr="0012797E">
        <w:t>, </w:t>
      </w:r>
      <w:hyperlink r:id="rId34" w:tgtFrame="_blank" w:tooltip="Zakon o spremembah in dopolnitvah Zakona o sistemu plač v javnem sektorju (ZSPJS-AA)" w:history="1">
        <w:r w:rsidRPr="0012797E">
          <w:t>139/22</w:t>
        </w:r>
      </w:hyperlink>
      <w:r w:rsidRPr="0012797E">
        <w:t>, </w:t>
      </w:r>
      <w:hyperlink r:id="rId35" w:tgtFrame="_blank" w:tooltip="Zakon o spremembi Zakona o sistemu plač v javnem sektorju (ZSPJS-AB)" w:history="1">
        <w:r w:rsidRPr="0012797E">
          <w:t>38/24</w:t>
        </w:r>
      </w:hyperlink>
      <w:r w:rsidRPr="0012797E">
        <w:t>, </w:t>
      </w:r>
      <w:hyperlink r:id="rId36" w:tgtFrame="_blank" w:tooltip="Dopolnilna odločba o določitvi načina izvršitve odločbe Ustavnega sodišča št.U-I-772/21" w:history="1">
        <w:r w:rsidRPr="0012797E">
          <w:t>48/24</w:t>
        </w:r>
      </w:hyperlink>
      <w:r w:rsidRPr="0012797E">
        <w:t> – odl. US in </w:t>
      </w:r>
      <w:hyperlink r:id="rId37" w:tgtFrame="_blank" w:tooltip="Zakon o skupnih temeljih sistema plač v javnem sektorju (ZSTSPJS)" w:history="1">
        <w:r w:rsidRPr="0012797E">
          <w:t>95/24</w:t>
        </w:r>
      </w:hyperlink>
      <w:r w:rsidRPr="0012797E">
        <w:t>  – ZSTSPJS; v nadaljevanju: ZSPJS), izplačuje enkrat letno na podlagi poslovnega poročila, in sicer za redno delovno uspešnost v preteklem letu.</w:t>
      </w:r>
    </w:p>
    <w:p w14:paraId="65D07D3C" w14:textId="77777777" w:rsidR="00AE7B58" w:rsidRPr="0012797E" w:rsidRDefault="00AE7B58" w:rsidP="0012797E">
      <w:pPr>
        <w:pStyle w:val="gradivo"/>
        <w:spacing w:line="288" w:lineRule="auto"/>
      </w:pPr>
    </w:p>
    <w:p w14:paraId="52F27405" w14:textId="0BEC2D3F" w:rsidR="00AE7B58" w:rsidRPr="0012797E" w:rsidRDefault="00101D92" w:rsidP="0012797E">
      <w:pPr>
        <w:pStyle w:val="gradivo"/>
        <w:spacing w:line="288" w:lineRule="auto"/>
      </w:pPr>
      <w:r w:rsidRPr="0012797E">
        <w:t xml:space="preserve">V obdobju od 1. januarja 2025 do 31. decembra 2027 se </w:t>
      </w:r>
      <w:r w:rsidR="00936141" w:rsidRPr="0012797E">
        <w:t>na podlagi tretje točke 119. člena Zakona o skupnih temeljih</w:t>
      </w:r>
      <w:r w:rsidR="00B51CF5" w:rsidRPr="0012797E">
        <w:t xml:space="preserve"> sistema plač v javnem sektorju </w:t>
      </w:r>
      <w:r w:rsidRPr="0012797E">
        <w:t>za izplačilo dela plače za delovno uspešnost nameni enak odstotek sredstev za osnovne plače, kot je veljal v letu 2024.</w:t>
      </w:r>
    </w:p>
    <w:p w14:paraId="4B4212B2" w14:textId="77777777" w:rsidR="00B854F7" w:rsidRPr="0012797E" w:rsidRDefault="00B854F7" w:rsidP="0012797E">
      <w:pPr>
        <w:pStyle w:val="gradivo"/>
        <w:spacing w:line="288" w:lineRule="auto"/>
      </w:pPr>
    </w:p>
    <w:p w14:paraId="0AC9B909" w14:textId="36AA5EE5" w:rsidR="00090CA2" w:rsidRPr="0012797E" w:rsidRDefault="00CD7C1A" w:rsidP="0012797E">
      <w:pPr>
        <w:pStyle w:val="gradivo"/>
        <w:spacing w:line="288" w:lineRule="auto"/>
      </w:pPr>
      <w:r w:rsidRPr="0012797E">
        <w:t>Pravilnik o merilih za ugotavljanje redne delovne uspešnosti direktorjev pravnih oseb javnega prava s področja kulture (Uradni list RS, št. 7/09, 33/10, 50/17, 111/21 in 95/24 – ZSTSPJS</w:t>
      </w:r>
      <w:r w:rsidR="00446EAC" w:rsidRPr="0012797E">
        <w:t xml:space="preserve"> in 6/26</w:t>
      </w:r>
      <w:r w:rsidR="00FD1619" w:rsidRPr="0012797E">
        <w:t>;</w:t>
      </w:r>
      <w:r w:rsidRPr="0012797E">
        <w:t xml:space="preserve"> v nadaljevanju: Pravilnik)</w:t>
      </w:r>
      <w:r w:rsidR="00017524" w:rsidRPr="0012797E">
        <w:t xml:space="preserve"> </w:t>
      </w:r>
      <w:r w:rsidR="00090CA2" w:rsidRPr="0012797E">
        <w:t>v 2. členu določa, da višino dela plače za redno delovno uspešnost direktorja določi s sklepom organ, pristojen za imenovanje direktorja, na podlagi meril iz Pravilnika in v skladu s</w:t>
      </w:r>
      <w:r w:rsidR="00017524" w:rsidRPr="0012797E">
        <w:t xml:space="preserve"> </w:t>
      </w:r>
      <w:r w:rsidR="00090CA2" w:rsidRPr="0012797E">
        <w:t>proračunskimi možnostmi</w:t>
      </w:r>
      <w:r w:rsidR="002C6F5A" w:rsidRPr="0012797E">
        <w:t>.</w:t>
      </w:r>
    </w:p>
    <w:p w14:paraId="7453336A" w14:textId="77777777" w:rsidR="00090CA2" w:rsidRPr="0012797E" w:rsidRDefault="00090CA2" w:rsidP="0012797E">
      <w:pPr>
        <w:pStyle w:val="gradivo"/>
        <w:spacing w:line="288" w:lineRule="auto"/>
      </w:pPr>
    </w:p>
    <w:p w14:paraId="2C830E12" w14:textId="1F132A8E" w:rsidR="00543298" w:rsidRPr="0012797E" w:rsidRDefault="00543298" w:rsidP="0012797E">
      <w:pPr>
        <w:pStyle w:val="gradivo"/>
        <w:spacing w:line="288" w:lineRule="auto"/>
      </w:pPr>
      <w:r w:rsidRPr="0012797E">
        <w:t xml:space="preserve">Skladno z 2. členom Pravilnika, svet javnega zavoda, do 30. junija tekočega leta, poda organu, pristojnemu za imenovanje direktorja, predlog za določitev plače za redno delovno uspešnost direktorja. </w:t>
      </w:r>
    </w:p>
    <w:p w14:paraId="3ABF86CE" w14:textId="77777777" w:rsidR="00543298" w:rsidRPr="0012797E" w:rsidRDefault="00543298" w:rsidP="0012797E">
      <w:pPr>
        <w:pStyle w:val="gradivo"/>
        <w:spacing w:line="288" w:lineRule="auto"/>
      </w:pPr>
    </w:p>
    <w:p w14:paraId="60A36480" w14:textId="77777777" w:rsidR="00543298" w:rsidRPr="0012797E" w:rsidRDefault="00543298" w:rsidP="0012797E">
      <w:pPr>
        <w:pStyle w:val="gradivo"/>
        <w:spacing w:line="288" w:lineRule="auto"/>
      </w:pPr>
      <w:r w:rsidRPr="0012797E">
        <w:t>Višina plače za redno delovno uspešnost se skladno s 3. členom Pravilnika, določi na podlagi naslednjih meril:</w:t>
      </w:r>
    </w:p>
    <w:p w14:paraId="77537044" w14:textId="77777777" w:rsidR="00543298" w:rsidRPr="0012797E" w:rsidRDefault="00543298" w:rsidP="0012797E">
      <w:pPr>
        <w:pStyle w:val="gradivo"/>
        <w:numPr>
          <w:ilvl w:val="0"/>
          <w:numId w:val="44"/>
        </w:numPr>
        <w:spacing w:line="288" w:lineRule="auto"/>
      </w:pPr>
      <w:r w:rsidRPr="0012797E">
        <w:t>preseganje izpolnitve letnega programa dela javne službe po obsegu in kakovosti (največ do 50 odstotnih točk),</w:t>
      </w:r>
    </w:p>
    <w:p w14:paraId="5706E4E0" w14:textId="77777777" w:rsidR="00543298" w:rsidRPr="0012797E" w:rsidRDefault="00543298" w:rsidP="0012797E">
      <w:pPr>
        <w:pStyle w:val="gradivo"/>
        <w:numPr>
          <w:ilvl w:val="0"/>
          <w:numId w:val="44"/>
        </w:numPr>
        <w:spacing w:line="288" w:lineRule="auto"/>
      </w:pPr>
      <w:r w:rsidRPr="0012797E">
        <w:t>doseganje ali preseganje določenih merljivih kazalcev glede na povprečje v določenem obdobju (največ 30 odstotnih točk),</w:t>
      </w:r>
    </w:p>
    <w:p w14:paraId="3E874F19" w14:textId="77777777" w:rsidR="00543298" w:rsidRPr="0012797E" w:rsidRDefault="00543298" w:rsidP="0012797E">
      <w:pPr>
        <w:pStyle w:val="gradivo"/>
        <w:numPr>
          <w:ilvl w:val="0"/>
          <w:numId w:val="44"/>
        </w:numPr>
        <w:spacing w:line="288" w:lineRule="auto"/>
      </w:pPr>
      <w:r w:rsidRPr="0012797E">
        <w:t>doseganje deleža nejavnih prihodkov v celotnem letnem prihodku iz naslova javne službe (največ 20 odstotnih točk).</w:t>
      </w:r>
    </w:p>
    <w:p w14:paraId="67F2573C" w14:textId="77777777" w:rsidR="00543298" w:rsidRPr="0012797E" w:rsidRDefault="00543298" w:rsidP="0012797E">
      <w:pPr>
        <w:pStyle w:val="gradivo"/>
        <w:spacing w:line="288" w:lineRule="auto"/>
      </w:pPr>
    </w:p>
    <w:p w14:paraId="57097AE0" w14:textId="77777777" w:rsidR="00543298" w:rsidRPr="0012797E" w:rsidRDefault="00543298" w:rsidP="0012797E">
      <w:pPr>
        <w:pStyle w:val="gradivo"/>
        <w:spacing w:line="288" w:lineRule="auto"/>
      </w:pPr>
      <w:r w:rsidRPr="0012797E">
        <w:t>Skladno s 7. členom Pravilnika lahko organ, pristojen za imenovanje direktorja, izjemoma, v okviru svojih pristojnosti, dodatno vrednoti tudi izjemne poslovne dogodke (investicije, med letom zahtevan večji obseg del, odmevni umetniški in strokovni dogodki). Izjemne poslovne dogodke se lahko vrednoti v višini do 10 odstotnih točk, a tako, da v skupnem seštevku celotno vrednotenje ne preseže 100 odstotnih točk.</w:t>
      </w:r>
    </w:p>
    <w:p w14:paraId="21BBDAAA" w14:textId="77777777" w:rsidR="00543298" w:rsidRPr="0012797E" w:rsidRDefault="00543298" w:rsidP="0012797E">
      <w:pPr>
        <w:pStyle w:val="gradivo"/>
        <w:spacing w:line="288" w:lineRule="auto"/>
      </w:pPr>
    </w:p>
    <w:p w14:paraId="3EC065D4" w14:textId="77777777" w:rsidR="00543298" w:rsidRPr="0012797E" w:rsidRDefault="00543298" w:rsidP="0012797E">
      <w:pPr>
        <w:pStyle w:val="gradivo"/>
        <w:spacing w:line="288" w:lineRule="auto"/>
      </w:pPr>
      <w:r w:rsidRPr="0012797E">
        <w:t xml:space="preserve">Skladno z 9. členom Pravilnika se odstotne točke, dosežene na podlagi ovrednotenih meril, seštevajo. Višina dela plače za redno delovno uspešnost se izračuna tako, da se dobljeno število odstotnih točk pomnoži z višino dveh osnovnih plač direktorja iz decembra preteklega leta. </w:t>
      </w:r>
    </w:p>
    <w:p w14:paraId="760F4716" w14:textId="77777777" w:rsidR="00543298" w:rsidRPr="0012797E" w:rsidRDefault="00543298" w:rsidP="0012797E">
      <w:pPr>
        <w:pStyle w:val="gradivo"/>
        <w:spacing w:line="288" w:lineRule="auto"/>
      </w:pPr>
    </w:p>
    <w:p w14:paraId="4327055D" w14:textId="77777777" w:rsidR="00543298" w:rsidRPr="0012797E" w:rsidRDefault="00543298" w:rsidP="0012797E">
      <w:pPr>
        <w:pStyle w:val="gradivo"/>
        <w:spacing w:line="288" w:lineRule="auto"/>
      </w:pPr>
      <w:r w:rsidRPr="0012797E">
        <w:t>Skladno z 10. členom Pravilnika direktorju ne pripada del plače iz naslova redne delovne uspešnost za izvajanje javne službe, če javni zavod poslovno leto o zaključi z izgubo, če za ocenjevalno obdobje prejme negativno mnenje Računskega sodišča Republike Slovenije, če v ocenjevalnem obdobju ne odpravi pomanjkljivosti, ki jih je ugotovil nadzorni organ ali Računsko sodišče Republike Slovenije, če se ob izrednem nadzoru ugotovijo nezakonitosti pri poslovanju v ocenjevalnem obdobju ali če ne predloži v roku dokumentov, določenih s predpisi o financiranju pravne osebe javnega prava.</w:t>
      </w:r>
    </w:p>
    <w:p w14:paraId="422E6961" w14:textId="77777777" w:rsidR="00543298" w:rsidRPr="0012797E" w:rsidRDefault="00543298" w:rsidP="0012797E">
      <w:pPr>
        <w:pStyle w:val="gradivo"/>
        <w:spacing w:line="288" w:lineRule="auto"/>
      </w:pPr>
    </w:p>
    <w:p w14:paraId="064F879E" w14:textId="156EAE2B" w:rsidR="00543298" w:rsidRPr="0012797E" w:rsidRDefault="009B0D8B" w:rsidP="0012797E">
      <w:pPr>
        <w:pStyle w:val="gradivo"/>
        <w:spacing w:line="288" w:lineRule="auto"/>
      </w:pPr>
      <w:r w:rsidRPr="0012797E">
        <w:t xml:space="preserve">Zavod </w:t>
      </w:r>
      <w:r w:rsidR="00543298" w:rsidRPr="0012797E">
        <w:t xml:space="preserve">je </w:t>
      </w:r>
      <w:r w:rsidR="00EB1800" w:rsidRPr="0012797E">
        <w:t>3. 3</w:t>
      </w:r>
      <w:r w:rsidR="00543298" w:rsidRPr="0012797E">
        <w:t>. 202</w:t>
      </w:r>
      <w:r w:rsidR="00F52854" w:rsidRPr="0012797E">
        <w:t>6</w:t>
      </w:r>
      <w:r w:rsidR="00543298" w:rsidRPr="0012797E">
        <w:t xml:space="preserve"> Mestni občini Nova Gorica posredoval Letno poročilo</w:t>
      </w:r>
      <w:r w:rsidR="00E558BF" w:rsidRPr="0012797E">
        <w:t xml:space="preserve"> javnega zavoda GO! 2025 – Evropska prestolnica kulture – Nova Gorica</w:t>
      </w:r>
      <w:r w:rsidR="00CE7D9C" w:rsidRPr="0012797E">
        <w:t xml:space="preserve"> za leto 2025</w:t>
      </w:r>
      <w:r w:rsidR="00543298" w:rsidRPr="0012797E">
        <w:t xml:space="preserve">, ki ga je zaključil s presežkom prihodkov nad odhodki v višini </w:t>
      </w:r>
      <w:r w:rsidR="00EB0449" w:rsidRPr="0012797E">
        <w:t>26.273,30</w:t>
      </w:r>
      <w:r w:rsidR="00543298" w:rsidRPr="0012797E">
        <w:t xml:space="preserve"> EUR. Poročilo je sprejel svet zavoda na seji dne 2</w:t>
      </w:r>
      <w:r w:rsidR="00903778" w:rsidRPr="0012797E">
        <w:t>7</w:t>
      </w:r>
      <w:r w:rsidR="00543298" w:rsidRPr="0012797E">
        <w:t>. 2. 202</w:t>
      </w:r>
      <w:r w:rsidR="00410583" w:rsidRPr="0012797E">
        <w:t>6</w:t>
      </w:r>
      <w:r w:rsidR="00543298" w:rsidRPr="0012797E">
        <w:t xml:space="preserve">. Program </w:t>
      </w:r>
      <w:r w:rsidR="00903778" w:rsidRPr="0012797E">
        <w:t>zavoda</w:t>
      </w:r>
      <w:r w:rsidR="00543298" w:rsidRPr="0012797E">
        <w:t xml:space="preserve"> leto 202</w:t>
      </w:r>
      <w:r w:rsidR="00884344" w:rsidRPr="0012797E">
        <w:t>5</w:t>
      </w:r>
      <w:r w:rsidR="00543298" w:rsidRPr="0012797E">
        <w:t xml:space="preserve"> je bil izveden, pogodbene obveznosti so bile</w:t>
      </w:r>
      <w:r w:rsidR="0096445C" w:rsidRPr="0012797E">
        <w:t xml:space="preserve"> </w:t>
      </w:r>
      <w:r w:rsidR="00543298" w:rsidRPr="0012797E">
        <w:t>realizirane in cilji doseženi.</w:t>
      </w:r>
    </w:p>
    <w:p w14:paraId="0076985A" w14:textId="77777777" w:rsidR="00410583" w:rsidRPr="0012797E" w:rsidRDefault="00410583" w:rsidP="0012797E">
      <w:pPr>
        <w:pStyle w:val="gradivo"/>
        <w:spacing w:line="288" w:lineRule="auto"/>
      </w:pPr>
    </w:p>
    <w:p w14:paraId="6B7383DD" w14:textId="36701405" w:rsidR="00543298" w:rsidRPr="0012797E" w:rsidRDefault="00A639D8" w:rsidP="0012797E">
      <w:pPr>
        <w:pStyle w:val="gradivo"/>
        <w:spacing w:line="288" w:lineRule="auto"/>
      </w:pPr>
      <w:r w:rsidRPr="0012797E">
        <w:t xml:space="preserve">Občinska uprava Mestne občine Nova Gorica je v skladu z 59. člena Zakona o izvrševanju proračunov Republike Slovenije za leti 2026 in 2027 (Uradni list RS, št. 95/25 in 112/25 – ZJF-K) dne </w:t>
      </w:r>
      <w:r w:rsidR="005D4792" w:rsidRPr="0012797E">
        <w:t>3</w:t>
      </w:r>
      <w:r w:rsidRPr="0012797E">
        <w:t>.</w:t>
      </w:r>
      <w:r w:rsidR="009E0B12" w:rsidRPr="0012797E">
        <w:t xml:space="preserve"> </w:t>
      </w:r>
      <w:r w:rsidRPr="0012797E">
        <w:t>3.</w:t>
      </w:r>
      <w:r w:rsidR="00B07FBF" w:rsidRPr="0012797E">
        <w:t xml:space="preserve"> </w:t>
      </w:r>
      <w:r w:rsidRPr="0012797E">
        <w:t xml:space="preserve">2026 izdala soglasje k Letnemu poročilu javnega zavoda </w:t>
      </w:r>
      <w:r w:rsidR="00B07FBF" w:rsidRPr="0012797E">
        <w:t>GO! 2025 – Evropska prestolnica kulture – Nova Gorica,</w:t>
      </w:r>
      <w:r w:rsidR="00505AE5" w:rsidRPr="0012797E">
        <w:t xml:space="preserve"> za leto</w:t>
      </w:r>
      <w:r w:rsidRPr="0012797E">
        <w:t xml:space="preserve"> 2025</w:t>
      </w:r>
      <w:r w:rsidR="00B854F7" w:rsidRPr="0012797E">
        <w:t>.</w:t>
      </w:r>
    </w:p>
    <w:p w14:paraId="2B318E62" w14:textId="77777777" w:rsidR="00B854F7" w:rsidRPr="0012797E" w:rsidRDefault="00B854F7" w:rsidP="0012797E">
      <w:pPr>
        <w:pStyle w:val="gradivo"/>
        <w:spacing w:line="288" w:lineRule="auto"/>
      </w:pPr>
    </w:p>
    <w:p w14:paraId="464FC903" w14:textId="428B423F" w:rsidR="00CC34E7" w:rsidRPr="0012797E" w:rsidRDefault="00B07FBF" w:rsidP="0012797E">
      <w:pPr>
        <w:pStyle w:val="gradivo"/>
        <w:spacing w:line="288" w:lineRule="auto"/>
      </w:pPr>
      <w:r w:rsidRPr="0012797E">
        <w:t>Direktorica Mija Lorbek</w:t>
      </w:r>
      <w:r w:rsidR="00E549E5" w:rsidRPr="0012797E">
        <w:t xml:space="preserve"> j</w:t>
      </w:r>
      <w:r w:rsidR="00152470" w:rsidRPr="0012797E">
        <w:t>e</w:t>
      </w:r>
      <w:r w:rsidR="00E549E5" w:rsidRPr="0012797E">
        <w:t xml:space="preserve"> mesto direktorice</w:t>
      </w:r>
      <w:r w:rsidR="00152470" w:rsidRPr="0012797E">
        <w:t xml:space="preserve"> zasedala od 1. 1. 2025 do </w:t>
      </w:r>
      <w:r w:rsidR="00E549E5" w:rsidRPr="0012797E">
        <w:t>31. 12. 202</w:t>
      </w:r>
      <w:r w:rsidR="00B81BC3" w:rsidRPr="0012797E">
        <w:t>5</w:t>
      </w:r>
      <w:r w:rsidR="00152470" w:rsidRPr="0012797E">
        <w:t xml:space="preserve">. </w:t>
      </w:r>
    </w:p>
    <w:p w14:paraId="7A9931AA" w14:textId="77777777" w:rsidR="00CC34E7" w:rsidRPr="0012797E" w:rsidRDefault="00CC34E7" w:rsidP="0012797E">
      <w:pPr>
        <w:pStyle w:val="gradivo"/>
        <w:spacing w:line="288" w:lineRule="auto"/>
      </w:pPr>
    </w:p>
    <w:p w14:paraId="4996B1AA" w14:textId="1FD79A88" w:rsidR="00543298" w:rsidRPr="0012797E" w:rsidRDefault="00543298" w:rsidP="0012797E">
      <w:pPr>
        <w:pStyle w:val="gradivo"/>
        <w:spacing w:line="288" w:lineRule="auto"/>
      </w:pPr>
      <w:r w:rsidRPr="0012797E">
        <w:lastRenderedPageBreak/>
        <w:t xml:space="preserve">Na podlagi predloga </w:t>
      </w:r>
      <w:r w:rsidR="00CC34E7" w:rsidRPr="0012797E">
        <w:t>o</w:t>
      </w:r>
      <w:r w:rsidRPr="0012797E">
        <w:t xml:space="preserve"> določi</w:t>
      </w:r>
      <w:r w:rsidR="00CC34E7" w:rsidRPr="0012797E">
        <w:t>tvi dela</w:t>
      </w:r>
      <w:r w:rsidRPr="0012797E">
        <w:t xml:space="preserve"> plače za redno delovno uspešnost</w:t>
      </w:r>
      <w:r w:rsidR="004144F1" w:rsidRPr="0012797E">
        <w:t xml:space="preserve">, </w:t>
      </w:r>
      <w:r w:rsidRPr="0012797E">
        <w:t>ga je na podlagi Pravilnika pripravil svet zavoda in je bil posredovan Oddelku za družbene dejavnosti dne</w:t>
      </w:r>
      <w:r w:rsidR="00313500" w:rsidRPr="0012797E">
        <w:t xml:space="preserve"> </w:t>
      </w:r>
      <w:r w:rsidR="00873FAB" w:rsidRPr="0012797E">
        <w:t>2. 6</w:t>
      </w:r>
      <w:r w:rsidR="007F146E" w:rsidRPr="0012797E">
        <w:t>. 2026</w:t>
      </w:r>
      <w:r w:rsidR="00D94EE5" w:rsidRPr="0012797E">
        <w:t>, o</w:t>
      </w:r>
      <w:r w:rsidRPr="0012797E">
        <w:t>b upoštevanju letnega poročila javnega zavoda za leto 202</w:t>
      </w:r>
      <w:r w:rsidR="00095ED3" w:rsidRPr="0012797E">
        <w:t>5</w:t>
      </w:r>
      <w:r w:rsidRPr="0012797E">
        <w:t>, se višina dela plače iz naslova redne delovne uspešnosti</w:t>
      </w:r>
      <w:r w:rsidR="009E0B12" w:rsidRPr="0012797E">
        <w:t xml:space="preserve"> direktorice</w:t>
      </w:r>
      <w:r w:rsidRPr="0012797E">
        <w:t xml:space="preserve"> določi po posameznih merilih iz Pravilnika, ki so ovrednotena v naslednjih odstotnih točkah.</w:t>
      </w:r>
    </w:p>
    <w:p w14:paraId="653210EB" w14:textId="77777777" w:rsidR="00873FAB" w:rsidRPr="0012797E" w:rsidRDefault="00873FAB" w:rsidP="0012797E">
      <w:pPr>
        <w:spacing w:after="0" w:line="240" w:lineRule="auto"/>
        <w:rPr>
          <w:b/>
        </w:rPr>
      </w:pPr>
    </w:p>
    <w:p w14:paraId="4157A886" w14:textId="77777777" w:rsidR="00873FAB" w:rsidRPr="0012797E" w:rsidRDefault="00873FAB" w:rsidP="001661E8">
      <w:pPr>
        <w:spacing w:after="0" w:line="240" w:lineRule="auto"/>
        <w:ind w:left="703"/>
        <w:rPr>
          <w:b/>
        </w:rPr>
      </w:pPr>
    </w:p>
    <w:p w14:paraId="77998644" w14:textId="62315DA6" w:rsidR="001661E8" w:rsidRPr="0012797E" w:rsidRDefault="001661E8" w:rsidP="0012797E">
      <w:pPr>
        <w:spacing w:after="0" w:line="240" w:lineRule="auto"/>
        <w:ind w:left="703"/>
        <w:rPr>
          <w:b/>
        </w:rPr>
      </w:pPr>
      <w:r w:rsidRPr="0012797E">
        <w:rPr>
          <w:b/>
        </w:rPr>
        <w:t>Določitev redne delovne uspe</w:t>
      </w:r>
      <w:r w:rsidRPr="0012797E">
        <w:rPr>
          <w:b/>
        </w:rPr>
        <w:softHyphen/>
        <w:t xml:space="preserve">šnosti </w:t>
      </w:r>
      <w:r w:rsidR="005F4B59" w:rsidRPr="0012797E">
        <w:rPr>
          <w:b/>
        </w:rPr>
        <w:t xml:space="preserve">direktorice </w:t>
      </w:r>
      <w:r w:rsidRPr="0012797E">
        <w:rPr>
          <w:b/>
        </w:rPr>
        <w:t>za leto 2025:</w:t>
      </w:r>
    </w:p>
    <w:p w14:paraId="5D647800" w14:textId="77777777" w:rsidR="007105E6" w:rsidRPr="0012797E" w:rsidRDefault="007105E6" w:rsidP="001661E8">
      <w:pPr>
        <w:spacing w:after="0" w:line="240" w:lineRule="auto"/>
        <w:ind w:left="703"/>
        <w:rPr>
          <w:bCs w:val="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649"/>
        <w:gridCol w:w="1921"/>
      </w:tblGrid>
      <w:tr w:rsidR="001661E8" w:rsidRPr="0012797E" w14:paraId="0D80DB79" w14:textId="77777777" w:rsidTr="00AE1A14">
        <w:trPr>
          <w:trHeight w:val="70"/>
        </w:trPr>
        <w:tc>
          <w:tcPr>
            <w:tcW w:w="4786" w:type="dxa"/>
          </w:tcPr>
          <w:p w14:paraId="57C0C6A1" w14:textId="77777777" w:rsidR="001661E8" w:rsidRPr="0012797E" w:rsidRDefault="001661E8" w:rsidP="00B854F7">
            <w:pPr>
              <w:spacing w:after="0" w:line="240" w:lineRule="auto"/>
              <w:ind w:left="316"/>
              <w:rPr>
                <w:bCs w:val="0"/>
              </w:rPr>
            </w:pPr>
          </w:p>
          <w:p w14:paraId="1990E5EF" w14:textId="77777777" w:rsidR="001661E8" w:rsidRPr="0012797E" w:rsidRDefault="001661E8" w:rsidP="00B854F7">
            <w:pPr>
              <w:spacing w:after="0" w:line="240" w:lineRule="auto"/>
              <w:ind w:left="316"/>
              <w:rPr>
                <w:bCs w:val="0"/>
              </w:rPr>
            </w:pPr>
            <w:r w:rsidRPr="0012797E">
              <w:rPr>
                <w:bCs w:val="0"/>
              </w:rPr>
              <w:t xml:space="preserve">MERILA      </w:t>
            </w:r>
          </w:p>
          <w:p w14:paraId="66D1B453" w14:textId="77777777" w:rsidR="001661E8" w:rsidRPr="0012797E" w:rsidRDefault="001661E8" w:rsidP="00B854F7">
            <w:pPr>
              <w:spacing w:after="0" w:line="240" w:lineRule="auto"/>
              <w:ind w:left="316"/>
              <w:rPr>
                <w:bCs w:val="0"/>
              </w:rPr>
            </w:pPr>
            <w:r w:rsidRPr="0012797E">
              <w:rPr>
                <w:bCs w:val="0"/>
              </w:rPr>
              <w:t xml:space="preserve">         </w:t>
            </w:r>
          </w:p>
        </w:tc>
        <w:tc>
          <w:tcPr>
            <w:tcW w:w="1649" w:type="dxa"/>
          </w:tcPr>
          <w:p w14:paraId="15FFBE54" w14:textId="77777777" w:rsidR="001661E8" w:rsidRPr="0012797E" w:rsidRDefault="001661E8" w:rsidP="00B854F7">
            <w:pPr>
              <w:spacing w:after="0" w:line="240" w:lineRule="auto"/>
              <w:ind w:left="212"/>
              <w:rPr>
                <w:bCs w:val="0"/>
              </w:rPr>
            </w:pPr>
            <w:r w:rsidRPr="0012797E">
              <w:rPr>
                <w:bCs w:val="0"/>
              </w:rPr>
              <w:t>Število možnih točk</w:t>
            </w:r>
          </w:p>
        </w:tc>
        <w:tc>
          <w:tcPr>
            <w:tcW w:w="1921" w:type="dxa"/>
          </w:tcPr>
          <w:p w14:paraId="0F355EC1" w14:textId="77777777" w:rsidR="001661E8" w:rsidRPr="0012797E" w:rsidRDefault="001661E8" w:rsidP="00B854F7">
            <w:pPr>
              <w:spacing w:after="0" w:line="240" w:lineRule="auto"/>
              <w:ind w:left="212"/>
              <w:rPr>
                <w:bCs w:val="0"/>
              </w:rPr>
            </w:pPr>
            <w:r w:rsidRPr="0012797E">
              <w:rPr>
                <w:bCs w:val="0"/>
              </w:rPr>
              <w:t>Število doseženih točk</w:t>
            </w:r>
          </w:p>
        </w:tc>
      </w:tr>
      <w:tr w:rsidR="001661E8" w:rsidRPr="0012797E" w14:paraId="57338D5B" w14:textId="77777777" w:rsidTr="00AE1A14">
        <w:tc>
          <w:tcPr>
            <w:tcW w:w="4786" w:type="dxa"/>
          </w:tcPr>
          <w:p w14:paraId="23705DC4" w14:textId="77777777" w:rsidR="001661E8" w:rsidRPr="0012797E" w:rsidRDefault="001661E8" w:rsidP="00B854F7">
            <w:pPr>
              <w:spacing w:after="0" w:line="240" w:lineRule="auto"/>
              <w:ind w:left="316"/>
              <w:rPr>
                <w:bCs w:val="0"/>
              </w:rPr>
            </w:pPr>
            <w:r w:rsidRPr="0012797E">
              <w:rPr>
                <w:bCs w:val="0"/>
              </w:rPr>
              <w:t>3. člen:</w:t>
            </w:r>
          </w:p>
          <w:p w14:paraId="28C9F382" w14:textId="77777777" w:rsidR="001661E8" w:rsidRPr="0012797E" w:rsidRDefault="001661E8" w:rsidP="00B854F7">
            <w:pPr>
              <w:spacing w:after="0" w:line="240" w:lineRule="auto"/>
              <w:ind w:left="316"/>
              <w:rPr>
                <w:bCs w:val="0"/>
              </w:rPr>
            </w:pPr>
            <w:r w:rsidRPr="0012797E">
              <w:rPr>
                <w:bCs w:val="0"/>
              </w:rPr>
              <w:t>Preseganje izpolnitve letnega programa dela javne službe po obsegu in kakovosti</w:t>
            </w:r>
          </w:p>
          <w:p w14:paraId="668F8AC1" w14:textId="77777777" w:rsidR="001661E8" w:rsidRPr="0012797E" w:rsidRDefault="001661E8" w:rsidP="00B854F7">
            <w:pPr>
              <w:spacing w:after="0" w:line="240" w:lineRule="auto"/>
              <w:ind w:left="316"/>
              <w:rPr>
                <w:bCs w:val="0"/>
              </w:rPr>
            </w:pPr>
          </w:p>
        </w:tc>
        <w:tc>
          <w:tcPr>
            <w:tcW w:w="1649" w:type="dxa"/>
          </w:tcPr>
          <w:p w14:paraId="2BCB07B9" w14:textId="77777777" w:rsidR="001661E8" w:rsidRPr="0012797E" w:rsidRDefault="001661E8" w:rsidP="00B854F7">
            <w:pPr>
              <w:spacing w:after="0" w:line="240" w:lineRule="auto"/>
              <w:ind w:left="703" w:hanging="491"/>
              <w:rPr>
                <w:bCs w:val="0"/>
              </w:rPr>
            </w:pPr>
          </w:p>
          <w:p w14:paraId="26F4167B" w14:textId="77777777" w:rsidR="001661E8" w:rsidRPr="0012797E" w:rsidRDefault="001661E8" w:rsidP="00B854F7">
            <w:pPr>
              <w:spacing w:after="0" w:line="240" w:lineRule="auto"/>
              <w:ind w:left="703" w:hanging="491"/>
              <w:rPr>
                <w:bCs w:val="0"/>
              </w:rPr>
            </w:pPr>
            <w:r w:rsidRPr="0012797E">
              <w:rPr>
                <w:bCs w:val="0"/>
              </w:rPr>
              <w:t>50</w:t>
            </w:r>
          </w:p>
        </w:tc>
        <w:tc>
          <w:tcPr>
            <w:tcW w:w="1921" w:type="dxa"/>
          </w:tcPr>
          <w:p w14:paraId="7D0F3117" w14:textId="77777777" w:rsidR="001661E8" w:rsidRPr="0012797E" w:rsidRDefault="001661E8" w:rsidP="00B854F7">
            <w:pPr>
              <w:spacing w:after="0" w:line="240" w:lineRule="auto"/>
              <w:ind w:left="703" w:hanging="491"/>
              <w:rPr>
                <w:bCs w:val="0"/>
              </w:rPr>
            </w:pPr>
          </w:p>
          <w:p w14:paraId="4ADB3957" w14:textId="77777777" w:rsidR="001661E8" w:rsidRPr="0012797E" w:rsidRDefault="001661E8" w:rsidP="00B854F7">
            <w:pPr>
              <w:spacing w:after="0" w:line="240" w:lineRule="auto"/>
              <w:ind w:left="703" w:hanging="491"/>
              <w:rPr>
                <w:bCs w:val="0"/>
              </w:rPr>
            </w:pPr>
            <w:r w:rsidRPr="0012797E">
              <w:rPr>
                <w:bCs w:val="0"/>
              </w:rPr>
              <w:t>50</w:t>
            </w:r>
          </w:p>
        </w:tc>
      </w:tr>
      <w:tr w:rsidR="001661E8" w:rsidRPr="0012797E" w14:paraId="4E713CF3" w14:textId="77777777" w:rsidTr="00AE1A14">
        <w:tc>
          <w:tcPr>
            <w:tcW w:w="4786" w:type="dxa"/>
          </w:tcPr>
          <w:p w14:paraId="6FC2B239" w14:textId="77777777" w:rsidR="001661E8" w:rsidRPr="0012797E" w:rsidRDefault="001661E8" w:rsidP="00B854F7">
            <w:pPr>
              <w:spacing w:after="0" w:line="240" w:lineRule="auto"/>
              <w:ind w:left="316"/>
              <w:rPr>
                <w:bCs w:val="0"/>
              </w:rPr>
            </w:pPr>
            <w:r w:rsidRPr="0012797E">
              <w:rPr>
                <w:bCs w:val="0"/>
              </w:rPr>
              <w:t>4. člen:</w:t>
            </w:r>
          </w:p>
          <w:p w14:paraId="1B3C3091" w14:textId="41BBC427" w:rsidR="001661E8" w:rsidRPr="0012797E" w:rsidRDefault="001661E8" w:rsidP="00B854F7">
            <w:pPr>
              <w:spacing w:after="0" w:line="240" w:lineRule="auto"/>
              <w:ind w:left="316"/>
              <w:rPr>
                <w:bCs w:val="0"/>
              </w:rPr>
            </w:pPr>
            <w:r w:rsidRPr="0012797E">
              <w:rPr>
                <w:bCs w:val="0"/>
              </w:rPr>
              <w:t>Vrednotenje merljivih kazalcev</w:t>
            </w:r>
          </w:p>
          <w:p w14:paraId="6F1FE7E4" w14:textId="77777777" w:rsidR="001661E8" w:rsidRPr="0012797E" w:rsidRDefault="001661E8" w:rsidP="00B854F7">
            <w:pPr>
              <w:spacing w:after="0" w:line="240" w:lineRule="auto"/>
              <w:ind w:left="316"/>
              <w:rPr>
                <w:bCs w:val="0"/>
              </w:rPr>
            </w:pPr>
          </w:p>
        </w:tc>
        <w:tc>
          <w:tcPr>
            <w:tcW w:w="1649" w:type="dxa"/>
          </w:tcPr>
          <w:p w14:paraId="360FFF07" w14:textId="77777777" w:rsidR="001661E8" w:rsidRPr="0012797E" w:rsidRDefault="001661E8" w:rsidP="00B854F7">
            <w:pPr>
              <w:spacing w:after="0" w:line="240" w:lineRule="auto"/>
              <w:ind w:left="703" w:hanging="491"/>
              <w:rPr>
                <w:bCs w:val="0"/>
              </w:rPr>
            </w:pPr>
          </w:p>
          <w:p w14:paraId="1EB78A49" w14:textId="77777777" w:rsidR="001661E8" w:rsidRPr="0012797E" w:rsidRDefault="001661E8" w:rsidP="00B854F7">
            <w:pPr>
              <w:spacing w:after="0" w:line="240" w:lineRule="auto"/>
              <w:ind w:left="703" w:hanging="491"/>
              <w:rPr>
                <w:bCs w:val="0"/>
              </w:rPr>
            </w:pPr>
            <w:r w:rsidRPr="0012797E">
              <w:rPr>
                <w:bCs w:val="0"/>
              </w:rPr>
              <w:t>30</w:t>
            </w:r>
          </w:p>
        </w:tc>
        <w:tc>
          <w:tcPr>
            <w:tcW w:w="1921" w:type="dxa"/>
          </w:tcPr>
          <w:p w14:paraId="0240C4BA" w14:textId="77777777" w:rsidR="001661E8" w:rsidRPr="0012797E" w:rsidRDefault="001661E8" w:rsidP="00B854F7">
            <w:pPr>
              <w:spacing w:after="0" w:line="240" w:lineRule="auto"/>
              <w:ind w:left="703" w:hanging="491"/>
              <w:rPr>
                <w:bCs w:val="0"/>
              </w:rPr>
            </w:pPr>
          </w:p>
          <w:p w14:paraId="09C7BB83" w14:textId="4AB77F0E" w:rsidR="001661E8" w:rsidRPr="0012797E" w:rsidRDefault="002A023B" w:rsidP="00B854F7">
            <w:pPr>
              <w:spacing w:after="0" w:line="240" w:lineRule="auto"/>
              <w:ind w:left="703" w:hanging="491"/>
              <w:rPr>
                <w:bCs w:val="0"/>
              </w:rPr>
            </w:pPr>
            <w:r w:rsidRPr="0012797E">
              <w:rPr>
                <w:bCs w:val="0"/>
              </w:rPr>
              <w:t>30</w:t>
            </w:r>
          </w:p>
        </w:tc>
      </w:tr>
      <w:tr w:rsidR="001661E8" w:rsidRPr="0012797E" w14:paraId="1F67518C" w14:textId="77777777" w:rsidTr="00AE1A14">
        <w:tc>
          <w:tcPr>
            <w:tcW w:w="4786" w:type="dxa"/>
          </w:tcPr>
          <w:p w14:paraId="693C1520" w14:textId="77777777" w:rsidR="001661E8" w:rsidRPr="0012797E" w:rsidRDefault="001661E8" w:rsidP="00B854F7">
            <w:pPr>
              <w:spacing w:after="0" w:line="240" w:lineRule="auto"/>
              <w:ind w:left="316"/>
              <w:rPr>
                <w:bCs w:val="0"/>
              </w:rPr>
            </w:pPr>
            <w:r w:rsidRPr="0012797E">
              <w:rPr>
                <w:bCs w:val="0"/>
              </w:rPr>
              <w:t>5. člen:</w:t>
            </w:r>
          </w:p>
          <w:p w14:paraId="41035BE5" w14:textId="77777777" w:rsidR="001661E8" w:rsidRPr="0012797E" w:rsidRDefault="001661E8" w:rsidP="00B854F7">
            <w:pPr>
              <w:spacing w:after="0" w:line="240" w:lineRule="auto"/>
              <w:ind w:left="316"/>
              <w:rPr>
                <w:bCs w:val="0"/>
              </w:rPr>
            </w:pPr>
            <w:r w:rsidRPr="0012797E">
              <w:rPr>
                <w:bCs w:val="0"/>
              </w:rPr>
              <w:t>Vrednotenje deleža nejavnih prihodkov za javno službo v celotnem letnem prihodku</w:t>
            </w:r>
          </w:p>
          <w:p w14:paraId="38E92FEA" w14:textId="77777777" w:rsidR="001661E8" w:rsidRPr="0012797E" w:rsidRDefault="001661E8" w:rsidP="00B854F7">
            <w:pPr>
              <w:spacing w:after="0" w:line="240" w:lineRule="auto"/>
              <w:ind w:left="316"/>
              <w:rPr>
                <w:bCs w:val="0"/>
              </w:rPr>
            </w:pPr>
          </w:p>
        </w:tc>
        <w:tc>
          <w:tcPr>
            <w:tcW w:w="1649" w:type="dxa"/>
          </w:tcPr>
          <w:p w14:paraId="64E00809" w14:textId="77777777" w:rsidR="001661E8" w:rsidRPr="0012797E" w:rsidRDefault="001661E8" w:rsidP="00B854F7">
            <w:pPr>
              <w:spacing w:after="0" w:line="240" w:lineRule="auto"/>
              <w:ind w:left="703" w:hanging="491"/>
              <w:rPr>
                <w:bCs w:val="0"/>
              </w:rPr>
            </w:pPr>
          </w:p>
          <w:p w14:paraId="01A12DEB" w14:textId="77777777" w:rsidR="001661E8" w:rsidRPr="0012797E" w:rsidRDefault="001661E8" w:rsidP="00B854F7">
            <w:pPr>
              <w:spacing w:after="0" w:line="240" w:lineRule="auto"/>
              <w:ind w:left="703" w:hanging="491"/>
              <w:rPr>
                <w:bCs w:val="0"/>
              </w:rPr>
            </w:pPr>
            <w:r w:rsidRPr="0012797E">
              <w:rPr>
                <w:bCs w:val="0"/>
              </w:rPr>
              <w:t>20</w:t>
            </w:r>
          </w:p>
        </w:tc>
        <w:tc>
          <w:tcPr>
            <w:tcW w:w="1921" w:type="dxa"/>
          </w:tcPr>
          <w:p w14:paraId="1F6B5263" w14:textId="77777777" w:rsidR="001661E8" w:rsidRPr="0012797E" w:rsidRDefault="001661E8" w:rsidP="00B854F7">
            <w:pPr>
              <w:spacing w:after="0" w:line="240" w:lineRule="auto"/>
              <w:ind w:left="703" w:hanging="491"/>
              <w:rPr>
                <w:bCs w:val="0"/>
              </w:rPr>
            </w:pPr>
          </w:p>
          <w:p w14:paraId="7344546A" w14:textId="098CE8DC" w:rsidR="001661E8" w:rsidRPr="0012797E" w:rsidRDefault="00FA5CD8" w:rsidP="00B854F7">
            <w:pPr>
              <w:spacing w:after="0" w:line="240" w:lineRule="auto"/>
              <w:ind w:left="703" w:hanging="491"/>
              <w:rPr>
                <w:bCs w:val="0"/>
              </w:rPr>
            </w:pPr>
            <w:r w:rsidRPr="0012797E">
              <w:rPr>
                <w:bCs w:val="0"/>
              </w:rPr>
              <w:t>5</w:t>
            </w:r>
          </w:p>
        </w:tc>
      </w:tr>
      <w:tr w:rsidR="00964520" w:rsidRPr="0012797E" w14:paraId="1F997F36" w14:textId="77777777" w:rsidTr="00AE1A14">
        <w:tc>
          <w:tcPr>
            <w:tcW w:w="4786" w:type="dxa"/>
          </w:tcPr>
          <w:p w14:paraId="26B12C19" w14:textId="77777777" w:rsidR="00964520" w:rsidRPr="0012797E" w:rsidRDefault="00964520" w:rsidP="00B854F7">
            <w:pPr>
              <w:spacing w:after="0" w:line="240" w:lineRule="auto"/>
              <w:ind w:left="316"/>
              <w:rPr>
                <w:bCs w:val="0"/>
              </w:rPr>
            </w:pPr>
            <w:r w:rsidRPr="0012797E">
              <w:rPr>
                <w:bCs w:val="0"/>
              </w:rPr>
              <w:t>7. člen:</w:t>
            </w:r>
          </w:p>
          <w:p w14:paraId="328314F8" w14:textId="37B1749D" w:rsidR="00964520" w:rsidRPr="0012797E" w:rsidRDefault="00636F53" w:rsidP="00B854F7">
            <w:pPr>
              <w:spacing w:after="0" w:line="240" w:lineRule="auto"/>
              <w:ind w:left="316"/>
              <w:rPr>
                <w:bCs w:val="0"/>
              </w:rPr>
            </w:pPr>
            <w:r w:rsidRPr="0012797E">
              <w:rPr>
                <w:bCs w:val="0"/>
              </w:rPr>
              <w:t>Vrednotenje izstopajočih dogodkov</w:t>
            </w:r>
          </w:p>
        </w:tc>
        <w:tc>
          <w:tcPr>
            <w:tcW w:w="1649" w:type="dxa"/>
          </w:tcPr>
          <w:p w14:paraId="69C83F3D" w14:textId="557A8BE9" w:rsidR="00964520" w:rsidRPr="0012797E" w:rsidRDefault="00B07696" w:rsidP="00B854F7">
            <w:pPr>
              <w:spacing w:after="0" w:line="240" w:lineRule="auto"/>
              <w:ind w:left="703" w:hanging="491"/>
              <w:rPr>
                <w:bCs w:val="0"/>
              </w:rPr>
            </w:pPr>
            <w:r w:rsidRPr="0012797E">
              <w:rPr>
                <w:bCs w:val="0"/>
              </w:rPr>
              <w:t>10</w:t>
            </w:r>
          </w:p>
        </w:tc>
        <w:tc>
          <w:tcPr>
            <w:tcW w:w="1921" w:type="dxa"/>
          </w:tcPr>
          <w:p w14:paraId="422EFC80" w14:textId="60673B30" w:rsidR="00964520" w:rsidRPr="0012797E" w:rsidRDefault="00B07696" w:rsidP="00B854F7">
            <w:pPr>
              <w:spacing w:after="0" w:line="240" w:lineRule="auto"/>
              <w:ind w:left="703" w:hanging="491"/>
              <w:rPr>
                <w:bCs w:val="0"/>
              </w:rPr>
            </w:pPr>
            <w:r w:rsidRPr="0012797E">
              <w:rPr>
                <w:bCs w:val="0"/>
              </w:rPr>
              <w:t>10</w:t>
            </w:r>
          </w:p>
        </w:tc>
      </w:tr>
      <w:tr w:rsidR="001661E8" w:rsidRPr="0012797E" w14:paraId="2E3B280A" w14:textId="77777777" w:rsidTr="00AE1A14">
        <w:tc>
          <w:tcPr>
            <w:tcW w:w="4786" w:type="dxa"/>
          </w:tcPr>
          <w:p w14:paraId="59B01A6F" w14:textId="77777777" w:rsidR="001661E8" w:rsidRPr="0012797E" w:rsidRDefault="001661E8" w:rsidP="00B854F7">
            <w:pPr>
              <w:spacing w:after="0" w:line="240" w:lineRule="auto"/>
              <w:ind w:left="316"/>
              <w:rPr>
                <w:bCs w:val="0"/>
              </w:rPr>
            </w:pPr>
          </w:p>
          <w:p w14:paraId="53F30577" w14:textId="77777777" w:rsidR="001661E8" w:rsidRPr="0012797E" w:rsidRDefault="001661E8" w:rsidP="00B854F7">
            <w:pPr>
              <w:spacing w:after="0" w:line="240" w:lineRule="auto"/>
              <w:ind w:left="316"/>
              <w:rPr>
                <w:bCs w:val="0"/>
              </w:rPr>
            </w:pPr>
            <w:r w:rsidRPr="0012797E">
              <w:rPr>
                <w:bCs w:val="0"/>
              </w:rPr>
              <w:t>SKUPAJ</w:t>
            </w:r>
          </w:p>
          <w:p w14:paraId="2D258AB6" w14:textId="77777777" w:rsidR="001661E8" w:rsidRPr="0012797E" w:rsidRDefault="001661E8" w:rsidP="00B854F7">
            <w:pPr>
              <w:spacing w:after="0" w:line="240" w:lineRule="auto"/>
              <w:ind w:left="316"/>
              <w:rPr>
                <w:bCs w:val="0"/>
              </w:rPr>
            </w:pPr>
          </w:p>
        </w:tc>
        <w:tc>
          <w:tcPr>
            <w:tcW w:w="1649" w:type="dxa"/>
          </w:tcPr>
          <w:p w14:paraId="144731DA" w14:textId="77777777" w:rsidR="001661E8" w:rsidRPr="0012797E" w:rsidRDefault="001661E8" w:rsidP="00B854F7">
            <w:pPr>
              <w:spacing w:after="0" w:line="240" w:lineRule="auto"/>
              <w:ind w:left="703" w:hanging="491"/>
              <w:rPr>
                <w:bCs w:val="0"/>
              </w:rPr>
            </w:pPr>
          </w:p>
          <w:p w14:paraId="0A50217C" w14:textId="77777777" w:rsidR="001661E8" w:rsidRPr="0012797E" w:rsidRDefault="001661E8" w:rsidP="00B854F7">
            <w:pPr>
              <w:spacing w:after="0" w:line="240" w:lineRule="auto"/>
              <w:ind w:left="703" w:hanging="491"/>
              <w:rPr>
                <w:bCs w:val="0"/>
              </w:rPr>
            </w:pPr>
            <w:r w:rsidRPr="0012797E">
              <w:rPr>
                <w:bCs w:val="0"/>
              </w:rPr>
              <w:t>100</w:t>
            </w:r>
          </w:p>
          <w:p w14:paraId="3F2148BF" w14:textId="77777777" w:rsidR="001661E8" w:rsidRPr="0012797E" w:rsidRDefault="001661E8" w:rsidP="00B854F7">
            <w:pPr>
              <w:spacing w:after="0" w:line="240" w:lineRule="auto"/>
              <w:ind w:left="703" w:hanging="491"/>
              <w:rPr>
                <w:bCs w:val="0"/>
              </w:rPr>
            </w:pPr>
            <w:r w:rsidRPr="0012797E">
              <w:rPr>
                <w:bCs w:val="0"/>
              </w:rPr>
              <w:t>(max)</w:t>
            </w:r>
          </w:p>
          <w:p w14:paraId="7AF091CA" w14:textId="77777777" w:rsidR="001661E8" w:rsidRPr="0012797E" w:rsidRDefault="001661E8" w:rsidP="00B854F7">
            <w:pPr>
              <w:spacing w:after="0" w:line="240" w:lineRule="auto"/>
              <w:ind w:left="703" w:hanging="491"/>
              <w:rPr>
                <w:bCs w:val="0"/>
              </w:rPr>
            </w:pPr>
          </w:p>
        </w:tc>
        <w:tc>
          <w:tcPr>
            <w:tcW w:w="1921" w:type="dxa"/>
          </w:tcPr>
          <w:p w14:paraId="7A15DA61" w14:textId="77777777" w:rsidR="001661E8" w:rsidRPr="0012797E" w:rsidRDefault="001661E8" w:rsidP="00B854F7">
            <w:pPr>
              <w:spacing w:after="0" w:line="240" w:lineRule="auto"/>
              <w:ind w:left="703" w:hanging="491"/>
              <w:rPr>
                <w:bCs w:val="0"/>
              </w:rPr>
            </w:pPr>
          </w:p>
          <w:p w14:paraId="3367BFF0" w14:textId="6083C749" w:rsidR="001661E8" w:rsidRPr="0012797E" w:rsidRDefault="00D94EE5" w:rsidP="00B854F7">
            <w:pPr>
              <w:spacing w:after="0" w:line="240" w:lineRule="auto"/>
              <w:ind w:left="703" w:hanging="491"/>
              <w:rPr>
                <w:bCs w:val="0"/>
              </w:rPr>
            </w:pPr>
            <w:r w:rsidRPr="0012797E">
              <w:rPr>
                <w:bCs w:val="0"/>
              </w:rPr>
              <w:t>9</w:t>
            </w:r>
            <w:r w:rsidR="00FA5CD8" w:rsidRPr="0012797E">
              <w:rPr>
                <w:bCs w:val="0"/>
              </w:rPr>
              <w:t>5</w:t>
            </w:r>
          </w:p>
        </w:tc>
      </w:tr>
    </w:tbl>
    <w:p w14:paraId="3F1ABC36" w14:textId="77777777" w:rsidR="00543298" w:rsidRPr="0012797E" w:rsidRDefault="00543298" w:rsidP="00881993">
      <w:pPr>
        <w:spacing w:after="0" w:line="240" w:lineRule="auto"/>
        <w:ind w:left="703"/>
        <w:rPr>
          <w:bCs w:val="0"/>
        </w:rPr>
      </w:pPr>
    </w:p>
    <w:p w14:paraId="026E207F" w14:textId="77777777" w:rsidR="00040980" w:rsidRPr="0012797E" w:rsidRDefault="00040980" w:rsidP="00881993">
      <w:pPr>
        <w:spacing w:after="0" w:line="240" w:lineRule="auto"/>
        <w:ind w:left="703"/>
        <w:rPr>
          <w:bCs w:val="0"/>
        </w:rPr>
      </w:pPr>
    </w:p>
    <w:p w14:paraId="52E5C59F" w14:textId="56901C9D" w:rsidR="005F4B59" w:rsidRPr="0012797E" w:rsidRDefault="006E72E7" w:rsidP="00881993">
      <w:pPr>
        <w:spacing w:after="0" w:line="240" w:lineRule="auto"/>
        <w:ind w:left="703"/>
        <w:rPr>
          <w:bCs w:val="0"/>
        </w:rPr>
      </w:pPr>
      <w:r w:rsidRPr="0012797E">
        <w:rPr>
          <w:bCs w:val="0"/>
        </w:rPr>
        <w:t>Skupno število doseženih točk</w:t>
      </w:r>
      <w:r w:rsidR="00FA5CD8" w:rsidRPr="0012797E">
        <w:rPr>
          <w:bCs w:val="0"/>
        </w:rPr>
        <w:t xml:space="preserve"> </w:t>
      </w:r>
      <w:r w:rsidR="00BE4BF5" w:rsidRPr="0012797E">
        <w:rPr>
          <w:bCs w:val="0"/>
        </w:rPr>
        <w:t>znaša 9</w:t>
      </w:r>
      <w:r w:rsidR="009B0D8B" w:rsidRPr="0012797E">
        <w:rPr>
          <w:bCs w:val="0"/>
        </w:rPr>
        <w:t>5</w:t>
      </w:r>
      <w:r w:rsidR="00BE4BF5" w:rsidRPr="0012797E">
        <w:rPr>
          <w:bCs w:val="0"/>
        </w:rPr>
        <w:t xml:space="preserve"> točk.</w:t>
      </w:r>
    </w:p>
    <w:p w14:paraId="1BF0102B" w14:textId="77777777" w:rsidR="00543298" w:rsidRPr="0012797E" w:rsidRDefault="00543298" w:rsidP="00881993">
      <w:pPr>
        <w:spacing w:after="0" w:line="240" w:lineRule="auto"/>
        <w:ind w:left="703"/>
        <w:rPr>
          <w:bCs w:val="0"/>
        </w:rPr>
      </w:pPr>
    </w:p>
    <w:p w14:paraId="40ACD169" w14:textId="77777777" w:rsidR="00040980" w:rsidRPr="0012797E" w:rsidRDefault="00040980" w:rsidP="0012797E">
      <w:pPr>
        <w:spacing w:after="0" w:line="240" w:lineRule="auto"/>
        <w:rPr>
          <w:b/>
        </w:rPr>
      </w:pPr>
    </w:p>
    <w:p w14:paraId="7FED5093" w14:textId="5C75A86B" w:rsidR="007105E6" w:rsidRPr="0012797E" w:rsidRDefault="007105E6" w:rsidP="00881993">
      <w:pPr>
        <w:spacing w:after="0" w:line="240" w:lineRule="auto"/>
        <w:ind w:left="703"/>
        <w:rPr>
          <w:b/>
        </w:rPr>
      </w:pPr>
      <w:r w:rsidRPr="0012797E">
        <w:rPr>
          <w:b/>
        </w:rPr>
        <w:t>Število doseženih točk po posameznih merilih:</w:t>
      </w:r>
    </w:p>
    <w:p w14:paraId="7CDE82FD" w14:textId="77777777" w:rsidR="007105E6" w:rsidRPr="0012797E" w:rsidRDefault="007105E6" w:rsidP="00881993">
      <w:pPr>
        <w:spacing w:after="0" w:line="240" w:lineRule="auto"/>
        <w:ind w:left="703"/>
        <w:rPr>
          <w:bCs w:val="0"/>
        </w:rPr>
      </w:pPr>
    </w:p>
    <w:p w14:paraId="56D7D11D" w14:textId="12FE9D12" w:rsidR="00FA5CD8" w:rsidRPr="0012797E" w:rsidRDefault="001661E8" w:rsidP="00FA5CD8">
      <w:pPr>
        <w:pStyle w:val="gradivo"/>
        <w:rPr>
          <w:u w:val="single"/>
        </w:rPr>
      </w:pPr>
      <w:r w:rsidRPr="0012797E">
        <w:rPr>
          <w:u w:val="single"/>
        </w:rPr>
        <w:t>3. člen: Preseganje izpolnitve letnega programa dela javne službe po obsegu in kakovosti</w:t>
      </w:r>
    </w:p>
    <w:p w14:paraId="02E71DC9" w14:textId="77777777" w:rsidR="00D00F0C" w:rsidRPr="0012797E" w:rsidRDefault="00D00F0C" w:rsidP="000A5F4C">
      <w:pPr>
        <w:pStyle w:val="gradivo"/>
        <w:spacing w:line="240" w:lineRule="auto"/>
        <w:ind w:left="0"/>
      </w:pPr>
    </w:p>
    <w:p w14:paraId="15F677D1" w14:textId="3C58F090" w:rsidR="00FA5CD8" w:rsidRPr="0012797E" w:rsidRDefault="00FA5CD8" w:rsidP="0012797E">
      <w:pPr>
        <w:pStyle w:val="gradivo"/>
        <w:spacing w:line="288" w:lineRule="auto"/>
      </w:pPr>
      <w:r w:rsidRPr="0012797E">
        <w:t xml:space="preserve">Zavod je kljub zahtevnim pogojem </w:t>
      </w:r>
      <w:r w:rsidR="00FF14CE" w:rsidRPr="0012797E">
        <w:t xml:space="preserve">za </w:t>
      </w:r>
      <w:r w:rsidRPr="0012797E">
        <w:t>izvedb</w:t>
      </w:r>
      <w:r w:rsidR="00FF14CE" w:rsidRPr="0012797E">
        <w:t>o</w:t>
      </w:r>
      <w:r w:rsidRPr="0012797E">
        <w:t xml:space="preserve"> tega </w:t>
      </w:r>
      <w:r w:rsidR="00987C4B" w:rsidRPr="0012797E">
        <w:t>obsežnega</w:t>
      </w:r>
      <w:r w:rsidRPr="0012797E">
        <w:t xml:space="preserve"> projekta sredi infrastrukturnega razvoja prizorišč presegel zastavljene programske kazalnike</w:t>
      </w:r>
      <w:r w:rsidR="00BC4B4B" w:rsidRPr="0012797E">
        <w:t xml:space="preserve">. </w:t>
      </w:r>
      <w:r w:rsidR="00AB71B6" w:rsidRPr="0012797E">
        <w:t>P</w:t>
      </w:r>
      <w:r w:rsidRPr="0012797E">
        <w:t>oleg i</w:t>
      </w:r>
      <w:r w:rsidR="00FF14CE" w:rsidRPr="0012797E">
        <w:t xml:space="preserve">zvedbe </w:t>
      </w:r>
      <w:r w:rsidRPr="0012797E">
        <w:t xml:space="preserve">obsežnega programa </w:t>
      </w:r>
      <w:r w:rsidR="00AB71B6" w:rsidRPr="0012797E">
        <w:t xml:space="preserve">je </w:t>
      </w:r>
      <w:r w:rsidRPr="0012797E">
        <w:t>samoiniciativno</w:t>
      </w:r>
      <w:r w:rsidR="00BC4B4B" w:rsidRPr="0012797E">
        <w:t xml:space="preserve"> razširil</w:t>
      </w:r>
      <w:r w:rsidRPr="0012797E">
        <w:t xml:space="preserve"> podporne mednarodne dogodke za promocijo, kulturno diplomacijo</w:t>
      </w:r>
      <w:r w:rsidR="002F3955" w:rsidRPr="0012797E">
        <w:t xml:space="preserve">, </w:t>
      </w:r>
      <w:r w:rsidRPr="0012797E">
        <w:t>vzpostavlja</w:t>
      </w:r>
      <w:r w:rsidR="002F3955" w:rsidRPr="0012797E">
        <w:t>l</w:t>
      </w:r>
      <w:r w:rsidRPr="0012797E">
        <w:t xml:space="preserve"> mednarodn</w:t>
      </w:r>
      <w:r w:rsidR="002F3955" w:rsidRPr="0012797E">
        <w:t>e</w:t>
      </w:r>
      <w:r w:rsidRPr="0012797E">
        <w:t xml:space="preserve"> kulturn</w:t>
      </w:r>
      <w:r w:rsidR="002F3955" w:rsidRPr="0012797E">
        <w:t>e</w:t>
      </w:r>
      <w:r w:rsidRPr="0012797E">
        <w:t xml:space="preserve"> mrež</w:t>
      </w:r>
      <w:r w:rsidR="002F3955" w:rsidRPr="0012797E">
        <w:t>e</w:t>
      </w:r>
      <w:r w:rsidRPr="0012797E">
        <w:t xml:space="preserve"> Nove Gorice in regije</w:t>
      </w:r>
      <w:r w:rsidR="00244E46" w:rsidRPr="0012797E">
        <w:t xml:space="preserve"> na področju</w:t>
      </w:r>
      <w:r w:rsidRPr="0012797E">
        <w:t xml:space="preserve"> gospodarskega in kulturno-turističnega, kot tudi čezmejnega in mednarodnega povezovanja z nadpovprečnimi rezultati.</w:t>
      </w:r>
      <w:r w:rsidR="000A5F4C" w:rsidRPr="0012797E">
        <w:t xml:space="preserve"> </w:t>
      </w:r>
      <w:r w:rsidR="00AB71B6" w:rsidRPr="0012797E">
        <w:t>N</w:t>
      </w:r>
      <w:r w:rsidR="000A5F4C" w:rsidRPr="0012797E">
        <w:t>a prošnjo Ministrstva za kulturo</w:t>
      </w:r>
      <w:r w:rsidR="00AB71B6" w:rsidRPr="0012797E">
        <w:t xml:space="preserve"> je vodstvo</w:t>
      </w:r>
      <w:r w:rsidR="000A5F4C" w:rsidRPr="0012797E">
        <w:t xml:space="preserve"> izdelalo pisno strokovno stališče do Poročila komisije Evropskega parlamenta o vmesni oceni aktivnosti Evropskih prestolnic kulture za obdobje 2020–2033, ki ni bilo predvideno v okviru prvotno načrtovanih aktivnosti.</w:t>
      </w:r>
      <w:r w:rsidR="00D4080B" w:rsidRPr="0012797E">
        <w:t xml:space="preserve"> Na višjo raven</w:t>
      </w:r>
      <w:r w:rsidR="003B0ADC" w:rsidRPr="0012797E">
        <w:t xml:space="preserve"> je dvignilo kompleksno mednarodno komunikacijo za večje komunikacijske kampanje in manjše akcije.</w:t>
      </w:r>
      <w:r w:rsidR="00D4080B" w:rsidRPr="0012797E">
        <w:t xml:space="preserve"> Ob odnosih z mediji je načrtovalo in dodatno angažiralo sistem </w:t>
      </w:r>
      <w:r w:rsidR="00D4080B" w:rsidRPr="0012797E">
        <w:lastRenderedPageBreak/>
        <w:t xml:space="preserve">aktivne produkcije digitalnih vsebin </w:t>
      </w:r>
      <w:r w:rsidR="007A6C58" w:rsidRPr="0012797E">
        <w:t>z</w:t>
      </w:r>
      <w:r w:rsidR="00D4080B" w:rsidRPr="0012797E">
        <w:t xml:space="preserve"> razvoj</w:t>
      </w:r>
      <w:r w:rsidR="007A6C58" w:rsidRPr="0012797E">
        <w:t>em</w:t>
      </w:r>
      <w:r w:rsidR="00D4080B" w:rsidRPr="0012797E">
        <w:t xml:space="preserve"> občinstev</w:t>
      </w:r>
      <w:r w:rsidR="00130F23" w:rsidRPr="0012797E">
        <w:t>,</w:t>
      </w:r>
      <w:r w:rsidR="00D4080B" w:rsidRPr="0012797E">
        <w:t xml:space="preserve"> v skladu s programom izobraževanja kompetenc Ministrstva za kulturo Republike</w:t>
      </w:r>
      <w:r w:rsidR="007A6C58" w:rsidRPr="0012797E">
        <w:t xml:space="preserve">. </w:t>
      </w:r>
      <w:r w:rsidR="00D218AD" w:rsidRPr="0012797E">
        <w:t>S</w:t>
      </w:r>
      <w:r w:rsidR="007A6C58" w:rsidRPr="0012797E">
        <w:t xml:space="preserve">kozi celotno leto 2025 </w:t>
      </w:r>
      <w:r w:rsidR="00D218AD" w:rsidRPr="0012797E">
        <w:t xml:space="preserve">je </w:t>
      </w:r>
      <w:r w:rsidR="00130F23" w:rsidRPr="0012797E">
        <w:t xml:space="preserve">zavod </w:t>
      </w:r>
      <w:r w:rsidR="007A6C58" w:rsidRPr="0012797E">
        <w:t>nadaljeval aktivnosti za pripravo dediščine (ang. Legacy)</w:t>
      </w:r>
      <w:r w:rsidR="00D218AD" w:rsidRPr="0012797E">
        <w:t>. Vodstvo se je dodatno angažiralo v prizadevanjih za krepitev sodelovanja z gospodarstvom in zasebnim sektorjem, za razvoj kulturnega turizma</w:t>
      </w:r>
      <w:r w:rsidR="00D7686B" w:rsidRPr="0012797E">
        <w:t xml:space="preserve">, sodelovalo </w:t>
      </w:r>
      <w:r w:rsidR="00130F23" w:rsidRPr="0012797E">
        <w:t xml:space="preserve">je </w:t>
      </w:r>
      <w:r w:rsidR="00D7686B" w:rsidRPr="0012797E">
        <w:t>pri odpiranju in upravljanju novih prostorov</w:t>
      </w:r>
      <w:r w:rsidR="00935597" w:rsidRPr="0012797E">
        <w:t xml:space="preserve"> ter pridobil</w:t>
      </w:r>
      <w:r w:rsidR="00130F23" w:rsidRPr="0012797E">
        <w:t xml:space="preserve">o </w:t>
      </w:r>
      <w:r w:rsidR="00935597" w:rsidRPr="0012797E">
        <w:t>dodatna sredstva za uspešno</w:t>
      </w:r>
      <w:r w:rsidR="00D218AD" w:rsidRPr="0012797E">
        <w:t xml:space="preserve"> izvedbo projekta Evropske prestolnice kulture 2025.</w:t>
      </w:r>
    </w:p>
    <w:p w14:paraId="03A059C7" w14:textId="77777777" w:rsidR="00FA5CD8" w:rsidRPr="0012797E" w:rsidRDefault="00FA5CD8" w:rsidP="0012797E">
      <w:pPr>
        <w:pStyle w:val="gradivo"/>
        <w:spacing w:line="288" w:lineRule="auto"/>
      </w:pPr>
    </w:p>
    <w:p w14:paraId="3883CAC3" w14:textId="20FB72B1" w:rsidR="001661E8" w:rsidRPr="0012797E" w:rsidRDefault="001661E8" w:rsidP="0012797E">
      <w:pPr>
        <w:pStyle w:val="gradivo"/>
        <w:spacing w:line="288" w:lineRule="auto"/>
      </w:pPr>
      <w:r w:rsidRPr="0012797E">
        <w:t xml:space="preserve">Po kakovosti in tehtnosti je </w:t>
      </w:r>
      <w:r w:rsidR="00873FAB" w:rsidRPr="0012797E">
        <w:t>zavod</w:t>
      </w:r>
      <w:r w:rsidRPr="0012797E">
        <w:t xml:space="preserve"> presegel izpolnitev letnega programa, kar prinaša 50 odstotnih točk.</w:t>
      </w:r>
    </w:p>
    <w:p w14:paraId="305029CF" w14:textId="77777777" w:rsidR="007105E6" w:rsidRPr="0012797E" w:rsidRDefault="007105E6" w:rsidP="0012797E">
      <w:pPr>
        <w:spacing w:after="0" w:line="288" w:lineRule="auto"/>
        <w:rPr>
          <w:bCs w:val="0"/>
        </w:rPr>
      </w:pPr>
    </w:p>
    <w:p w14:paraId="1B761D33" w14:textId="77777777" w:rsidR="007105E6" w:rsidRPr="0012797E" w:rsidRDefault="007105E6" w:rsidP="004B3237">
      <w:pPr>
        <w:spacing w:after="0" w:line="240" w:lineRule="auto"/>
        <w:rPr>
          <w:bCs w:val="0"/>
        </w:rPr>
      </w:pPr>
    </w:p>
    <w:p w14:paraId="377B5778" w14:textId="5850F55D" w:rsidR="000462BF" w:rsidRPr="0012797E" w:rsidRDefault="000462BF" w:rsidP="000462BF">
      <w:pPr>
        <w:spacing w:after="0" w:line="240" w:lineRule="auto"/>
        <w:ind w:left="703"/>
        <w:rPr>
          <w:bCs w:val="0"/>
          <w:u w:val="single"/>
        </w:rPr>
      </w:pPr>
      <w:r w:rsidRPr="0012797E">
        <w:rPr>
          <w:bCs w:val="0"/>
          <w:u w:val="single"/>
        </w:rPr>
        <w:t>4. člen: Vrednotenje merljivih kazalcev za področje</w:t>
      </w:r>
      <w:r w:rsidR="00D87FFC" w:rsidRPr="0012797E">
        <w:rPr>
          <w:bCs w:val="0"/>
          <w:u w:val="single"/>
        </w:rPr>
        <w:t xml:space="preserve"> dela kulturnih domov in centrov</w:t>
      </w:r>
    </w:p>
    <w:p w14:paraId="7DA4A6C1" w14:textId="77777777" w:rsidR="00040980" w:rsidRPr="0012797E" w:rsidRDefault="00040980" w:rsidP="00423880">
      <w:pPr>
        <w:spacing w:after="0" w:line="240" w:lineRule="auto"/>
        <w:rPr>
          <w:bCs w:val="0"/>
        </w:rPr>
      </w:pPr>
    </w:p>
    <w:p w14:paraId="56994904" w14:textId="77777777" w:rsidR="00D87FFC" w:rsidRPr="0012797E" w:rsidRDefault="00D87FFC" w:rsidP="00881993">
      <w:pPr>
        <w:spacing w:after="0" w:line="240" w:lineRule="auto"/>
        <w:ind w:left="703"/>
        <w:rPr>
          <w:bCs w:val="0"/>
        </w:rPr>
      </w:pPr>
    </w:p>
    <w:tbl>
      <w:tblPr>
        <w:tblW w:w="7938"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23"/>
        <w:gridCol w:w="907"/>
        <w:gridCol w:w="907"/>
        <w:gridCol w:w="1383"/>
        <w:gridCol w:w="1275"/>
        <w:gridCol w:w="1134"/>
        <w:gridCol w:w="709"/>
      </w:tblGrid>
      <w:tr w:rsidR="00EB4FEC" w:rsidRPr="0012797E" w14:paraId="135D073C" w14:textId="77777777" w:rsidTr="00FE1C2C">
        <w:trPr>
          <w:trHeight w:val="300"/>
        </w:trPr>
        <w:tc>
          <w:tcPr>
            <w:tcW w:w="1623" w:type="dxa"/>
            <w:noWrap/>
            <w:hideMark/>
          </w:tcPr>
          <w:p w14:paraId="6B411103" w14:textId="77777777" w:rsidR="00EB4FEC" w:rsidRPr="0012797E" w:rsidRDefault="00EB4FEC" w:rsidP="00D00F0C">
            <w:pPr>
              <w:spacing w:after="0" w:line="240" w:lineRule="auto"/>
              <w:rPr>
                <w:rFonts w:ascii="Calibri" w:hAnsi="Calibri" w:cs="Calibri"/>
                <w:b/>
                <w:color w:val="000000"/>
                <w:sz w:val="22"/>
                <w:szCs w:val="22"/>
              </w:rPr>
            </w:pPr>
            <w:r w:rsidRPr="0012797E">
              <w:rPr>
                <w:rFonts w:ascii="Calibri" w:hAnsi="Calibri" w:cs="Calibri"/>
                <w:b/>
                <w:color w:val="000000"/>
                <w:sz w:val="22"/>
                <w:szCs w:val="22"/>
              </w:rPr>
              <w:t>MERLJIVI KAZALCI</w:t>
            </w:r>
          </w:p>
        </w:tc>
        <w:tc>
          <w:tcPr>
            <w:tcW w:w="907" w:type="dxa"/>
            <w:noWrap/>
            <w:hideMark/>
          </w:tcPr>
          <w:p w14:paraId="3A36908F" w14:textId="55ED1A3C" w:rsidR="00EB4FEC" w:rsidRPr="0012797E" w:rsidRDefault="00EB4FEC" w:rsidP="00D00F0C">
            <w:pPr>
              <w:spacing w:after="0" w:line="240" w:lineRule="auto"/>
              <w:jc w:val="right"/>
              <w:rPr>
                <w:rFonts w:ascii="Calibri" w:hAnsi="Calibri" w:cs="Calibri"/>
                <w:b/>
                <w:color w:val="000000"/>
                <w:sz w:val="22"/>
                <w:szCs w:val="22"/>
              </w:rPr>
            </w:pPr>
            <w:r w:rsidRPr="0012797E">
              <w:rPr>
                <w:rFonts w:ascii="Calibri" w:hAnsi="Calibri" w:cs="Calibri"/>
                <w:b/>
                <w:color w:val="000000"/>
                <w:sz w:val="22"/>
                <w:szCs w:val="22"/>
              </w:rPr>
              <w:t>2023</w:t>
            </w:r>
          </w:p>
        </w:tc>
        <w:tc>
          <w:tcPr>
            <w:tcW w:w="907" w:type="dxa"/>
            <w:noWrap/>
            <w:hideMark/>
          </w:tcPr>
          <w:p w14:paraId="5A548A26" w14:textId="1D9B32E0" w:rsidR="00EB4FEC" w:rsidRPr="0012797E" w:rsidRDefault="00EB4FEC" w:rsidP="00D00F0C">
            <w:pPr>
              <w:spacing w:after="0" w:line="240" w:lineRule="auto"/>
              <w:jc w:val="right"/>
              <w:rPr>
                <w:rFonts w:ascii="Calibri" w:hAnsi="Calibri" w:cs="Calibri"/>
                <w:b/>
                <w:color w:val="000000"/>
                <w:sz w:val="22"/>
                <w:szCs w:val="22"/>
              </w:rPr>
            </w:pPr>
            <w:r w:rsidRPr="0012797E">
              <w:rPr>
                <w:rFonts w:ascii="Calibri" w:hAnsi="Calibri" w:cs="Calibri"/>
                <w:b/>
                <w:color w:val="000000"/>
                <w:sz w:val="22"/>
                <w:szCs w:val="22"/>
              </w:rPr>
              <w:t>2024</w:t>
            </w:r>
          </w:p>
        </w:tc>
        <w:tc>
          <w:tcPr>
            <w:tcW w:w="1383" w:type="dxa"/>
            <w:noWrap/>
            <w:hideMark/>
          </w:tcPr>
          <w:p w14:paraId="7844C997" w14:textId="7B6DC0A1" w:rsidR="00EB4FEC" w:rsidRPr="0012797E" w:rsidRDefault="00EB4FEC" w:rsidP="00D00F0C">
            <w:pPr>
              <w:spacing w:after="0" w:line="240" w:lineRule="auto"/>
              <w:jc w:val="right"/>
              <w:rPr>
                <w:rFonts w:ascii="Calibri" w:hAnsi="Calibri" w:cs="Calibri"/>
                <w:b/>
                <w:color w:val="000000"/>
                <w:sz w:val="22"/>
                <w:szCs w:val="22"/>
              </w:rPr>
            </w:pPr>
            <w:r w:rsidRPr="0012797E">
              <w:rPr>
                <w:rFonts w:ascii="Calibri" w:hAnsi="Calibri" w:cs="Calibri"/>
                <w:b/>
                <w:color w:val="000000"/>
                <w:sz w:val="22"/>
                <w:szCs w:val="22"/>
              </w:rPr>
              <w:t>2025</w:t>
            </w:r>
          </w:p>
        </w:tc>
        <w:tc>
          <w:tcPr>
            <w:tcW w:w="1275" w:type="dxa"/>
            <w:noWrap/>
            <w:hideMark/>
          </w:tcPr>
          <w:p w14:paraId="01F69461" w14:textId="77777777" w:rsidR="00EB4FEC" w:rsidRPr="0012797E" w:rsidRDefault="00EB4FEC" w:rsidP="00D00F0C">
            <w:pPr>
              <w:spacing w:after="0" w:line="240" w:lineRule="auto"/>
              <w:rPr>
                <w:rFonts w:ascii="Calibri" w:hAnsi="Calibri" w:cs="Calibri"/>
                <w:b/>
                <w:color w:val="000000"/>
                <w:sz w:val="22"/>
                <w:szCs w:val="22"/>
              </w:rPr>
            </w:pPr>
            <w:r w:rsidRPr="0012797E">
              <w:rPr>
                <w:rFonts w:ascii="Calibri" w:hAnsi="Calibri" w:cs="Calibri"/>
                <w:b/>
                <w:color w:val="000000"/>
                <w:sz w:val="22"/>
                <w:szCs w:val="22"/>
              </w:rPr>
              <w:t>TRILETNO POVPREČJE</w:t>
            </w:r>
          </w:p>
        </w:tc>
        <w:tc>
          <w:tcPr>
            <w:tcW w:w="1134" w:type="dxa"/>
            <w:noWrap/>
            <w:hideMark/>
          </w:tcPr>
          <w:p w14:paraId="6BA6FDB7" w14:textId="77777777" w:rsidR="00EB4FEC" w:rsidRPr="0012797E" w:rsidRDefault="00EB4FEC" w:rsidP="00D00F0C">
            <w:pPr>
              <w:spacing w:after="0" w:line="240" w:lineRule="auto"/>
              <w:jc w:val="right"/>
              <w:rPr>
                <w:rFonts w:ascii="Calibri" w:hAnsi="Calibri" w:cs="Calibri"/>
                <w:b/>
                <w:color w:val="000000"/>
                <w:sz w:val="22"/>
                <w:szCs w:val="22"/>
              </w:rPr>
            </w:pPr>
            <w:r w:rsidRPr="0012797E">
              <w:rPr>
                <w:rFonts w:ascii="Calibri" w:hAnsi="Calibri" w:cs="Calibri"/>
                <w:b/>
                <w:color w:val="000000"/>
                <w:sz w:val="22"/>
                <w:szCs w:val="22"/>
              </w:rPr>
              <w:t>2025</w:t>
            </w:r>
          </w:p>
        </w:tc>
        <w:tc>
          <w:tcPr>
            <w:tcW w:w="709" w:type="dxa"/>
            <w:noWrap/>
            <w:hideMark/>
          </w:tcPr>
          <w:p w14:paraId="0803C303" w14:textId="77777777" w:rsidR="00EB4FEC" w:rsidRPr="0012797E" w:rsidRDefault="00EB4FEC" w:rsidP="00D00F0C">
            <w:pPr>
              <w:spacing w:after="0" w:line="240" w:lineRule="auto"/>
              <w:rPr>
                <w:rFonts w:ascii="Calibri" w:hAnsi="Calibri" w:cs="Calibri"/>
                <w:b/>
                <w:color w:val="000000"/>
                <w:sz w:val="22"/>
                <w:szCs w:val="22"/>
              </w:rPr>
            </w:pPr>
            <w:r w:rsidRPr="0012797E">
              <w:rPr>
                <w:rFonts w:ascii="Calibri" w:hAnsi="Calibri" w:cs="Calibri"/>
                <w:b/>
                <w:color w:val="000000"/>
                <w:sz w:val="22"/>
                <w:szCs w:val="22"/>
              </w:rPr>
              <w:t>TOČKE</w:t>
            </w:r>
          </w:p>
        </w:tc>
      </w:tr>
      <w:tr w:rsidR="00EB4FEC" w:rsidRPr="0012797E" w14:paraId="1DBF6851" w14:textId="77777777" w:rsidTr="00FE1C2C">
        <w:trPr>
          <w:trHeight w:val="300"/>
        </w:trPr>
        <w:tc>
          <w:tcPr>
            <w:tcW w:w="1623" w:type="dxa"/>
            <w:noWrap/>
            <w:hideMark/>
          </w:tcPr>
          <w:p w14:paraId="72EB530A" w14:textId="77777777" w:rsidR="00EB4FEC" w:rsidRPr="0012797E" w:rsidRDefault="00EB4FEC" w:rsidP="00D00F0C">
            <w:pPr>
              <w:spacing w:after="0" w:line="240" w:lineRule="auto"/>
              <w:rPr>
                <w:rFonts w:ascii="Calibri" w:hAnsi="Calibri" w:cs="Calibri"/>
                <w:bCs w:val="0"/>
                <w:color w:val="000000"/>
                <w:sz w:val="22"/>
                <w:szCs w:val="22"/>
              </w:rPr>
            </w:pPr>
            <w:r w:rsidRPr="0012797E">
              <w:rPr>
                <w:rFonts w:ascii="Calibri" w:hAnsi="Calibri" w:cs="Calibri"/>
                <w:bCs w:val="0"/>
                <w:color w:val="000000"/>
                <w:sz w:val="22"/>
                <w:szCs w:val="22"/>
              </w:rPr>
              <w:t>1. Število prireditev   glede na triletno povprečje</w:t>
            </w:r>
          </w:p>
        </w:tc>
        <w:tc>
          <w:tcPr>
            <w:tcW w:w="907" w:type="dxa"/>
            <w:noWrap/>
            <w:vAlign w:val="center"/>
          </w:tcPr>
          <w:p w14:paraId="48DD97D0" w14:textId="3C5AD8DC" w:rsidR="00EB4FEC" w:rsidRPr="0012797E" w:rsidRDefault="00EB4FE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47</w:t>
            </w:r>
          </w:p>
        </w:tc>
        <w:tc>
          <w:tcPr>
            <w:tcW w:w="907" w:type="dxa"/>
            <w:noWrap/>
            <w:vAlign w:val="center"/>
          </w:tcPr>
          <w:p w14:paraId="7815DB74" w14:textId="65DFA128" w:rsidR="00EB4FEC" w:rsidRPr="0012797E" w:rsidRDefault="00EB4FE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97</w:t>
            </w:r>
          </w:p>
        </w:tc>
        <w:tc>
          <w:tcPr>
            <w:tcW w:w="1383" w:type="dxa"/>
            <w:noWrap/>
            <w:vAlign w:val="center"/>
          </w:tcPr>
          <w:p w14:paraId="7990E99F" w14:textId="68795DDA" w:rsidR="00EB4FEC" w:rsidRPr="0012797E" w:rsidRDefault="00EB4FE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685</w:t>
            </w:r>
          </w:p>
        </w:tc>
        <w:tc>
          <w:tcPr>
            <w:tcW w:w="1275" w:type="dxa"/>
            <w:noWrap/>
            <w:vAlign w:val="center"/>
          </w:tcPr>
          <w:p w14:paraId="475F7BF6" w14:textId="70A835A5" w:rsidR="00EB4FEC" w:rsidRPr="0012797E" w:rsidRDefault="00EB4FE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276</w:t>
            </w:r>
          </w:p>
        </w:tc>
        <w:tc>
          <w:tcPr>
            <w:tcW w:w="1134" w:type="dxa"/>
            <w:noWrap/>
            <w:vAlign w:val="center"/>
          </w:tcPr>
          <w:p w14:paraId="3523684E" w14:textId="7B0BC24F" w:rsidR="00EB4FEC" w:rsidRPr="0012797E" w:rsidRDefault="00EB4FEC" w:rsidP="00D00F0C">
            <w:pPr>
              <w:spacing w:after="0" w:line="240" w:lineRule="auto"/>
              <w:jc w:val="center"/>
              <w:rPr>
                <w:rFonts w:ascii="Calibri" w:hAnsi="Calibri" w:cs="Calibri"/>
                <w:bCs w:val="0"/>
                <w:sz w:val="22"/>
                <w:szCs w:val="22"/>
              </w:rPr>
            </w:pPr>
            <w:r w:rsidRPr="0012797E">
              <w:rPr>
                <w:rFonts w:ascii="Calibri" w:hAnsi="Calibri" w:cs="Calibri"/>
                <w:bCs w:val="0"/>
                <w:sz w:val="22"/>
                <w:szCs w:val="22"/>
              </w:rPr>
              <w:t>685</w:t>
            </w:r>
          </w:p>
        </w:tc>
        <w:tc>
          <w:tcPr>
            <w:tcW w:w="709" w:type="dxa"/>
            <w:noWrap/>
            <w:vAlign w:val="center"/>
          </w:tcPr>
          <w:p w14:paraId="0B53826E" w14:textId="18F84527" w:rsidR="00EB4FEC" w:rsidRPr="0012797E" w:rsidRDefault="006F68B5"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10</w:t>
            </w:r>
          </w:p>
        </w:tc>
      </w:tr>
      <w:tr w:rsidR="00EB4FEC" w:rsidRPr="0012797E" w14:paraId="506AA56F" w14:textId="77777777" w:rsidTr="00FE1C2C">
        <w:trPr>
          <w:trHeight w:val="300"/>
        </w:trPr>
        <w:tc>
          <w:tcPr>
            <w:tcW w:w="1623" w:type="dxa"/>
            <w:noWrap/>
            <w:hideMark/>
          </w:tcPr>
          <w:p w14:paraId="5311A14C" w14:textId="77777777" w:rsidR="00EB4FEC" w:rsidRPr="0012797E" w:rsidRDefault="00EB4FEC" w:rsidP="00D00F0C">
            <w:pPr>
              <w:spacing w:after="0" w:line="240" w:lineRule="auto"/>
              <w:rPr>
                <w:rFonts w:ascii="Calibri" w:hAnsi="Calibri" w:cs="Calibri"/>
                <w:bCs w:val="0"/>
                <w:color w:val="000000"/>
                <w:sz w:val="22"/>
                <w:szCs w:val="22"/>
              </w:rPr>
            </w:pPr>
            <w:r w:rsidRPr="0012797E">
              <w:rPr>
                <w:rFonts w:ascii="Calibri" w:hAnsi="Calibri" w:cs="Calibri"/>
                <w:bCs w:val="0"/>
                <w:color w:val="000000"/>
                <w:sz w:val="22"/>
                <w:szCs w:val="22"/>
              </w:rPr>
              <w:t>2. Število obiskovalcev glede na triletno povprečje</w:t>
            </w:r>
          </w:p>
        </w:tc>
        <w:tc>
          <w:tcPr>
            <w:tcW w:w="907" w:type="dxa"/>
            <w:noWrap/>
            <w:vAlign w:val="center"/>
          </w:tcPr>
          <w:p w14:paraId="6665D173" w14:textId="1FBB3D03" w:rsidR="00EB4FEC" w:rsidRPr="0012797E" w:rsidRDefault="006F68B5"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26.784</w:t>
            </w:r>
          </w:p>
        </w:tc>
        <w:tc>
          <w:tcPr>
            <w:tcW w:w="907" w:type="dxa"/>
            <w:noWrap/>
            <w:vAlign w:val="center"/>
          </w:tcPr>
          <w:p w14:paraId="6B2117BE" w14:textId="411816F5" w:rsidR="00EB4FEC" w:rsidRPr="0012797E" w:rsidRDefault="006F68B5"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29.850</w:t>
            </w:r>
          </w:p>
        </w:tc>
        <w:tc>
          <w:tcPr>
            <w:tcW w:w="1383" w:type="dxa"/>
            <w:noWrap/>
            <w:vAlign w:val="center"/>
          </w:tcPr>
          <w:p w14:paraId="6F98D499" w14:textId="4D7D38A7" w:rsidR="00EB4FEC" w:rsidRPr="0012797E" w:rsidRDefault="00BC748B"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1.007.526</w:t>
            </w:r>
          </w:p>
        </w:tc>
        <w:tc>
          <w:tcPr>
            <w:tcW w:w="1275" w:type="dxa"/>
            <w:noWrap/>
            <w:vAlign w:val="center"/>
          </w:tcPr>
          <w:p w14:paraId="5520E618" w14:textId="009BD571"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354.720</w:t>
            </w:r>
          </w:p>
        </w:tc>
        <w:tc>
          <w:tcPr>
            <w:tcW w:w="1134" w:type="dxa"/>
            <w:noWrap/>
            <w:vAlign w:val="center"/>
          </w:tcPr>
          <w:p w14:paraId="6A2811F0" w14:textId="5276C10B" w:rsidR="00EB4FEC" w:rsidRPr="0012797E" w:rsidRDefault="00023F6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1.</w:t>
            </w:r>
            <w:r w:rsidR="00381147" w:rsidRPr="0012797E">
              <w:rPr>
                <w:rFonts w:ascii="Calibri" w:hAnsi="Calibri" w:cs="Calibri"/>
                <w:bCs w:val="0"/>
                <w:color w:val="000000"/>
                <w:sz w:val="22"/>
                <w:szCs w:val="22"/>
              </w:rPr>
              <w:t>007.526</w:t>
            </w:r>
          </w:p>
        </w:tc>
        <w:tc>
          <w:tcPr>
            <w:tcW w:w="709" w:type="dxa"/>
            <w:noWrap/>
            <w:vAlign w:val="center"/>
          </w:tcPr>
          <w:p w14:paraId="5D2786C9" w14:textId="157D781D" w:rsidR="00EB4FEC" w:rsidRPr="0012797E" w:rsidRDefault="00BC748B" w:rsidP="00D00F0C">
            <w:pPr>
              <w:spacing w:after="0" w:line="240" w:lineRule="auto"/>
              <w:jc w:val="center"/>
              <w:rPr>
                <w:rFonts w:ascii="Calibri" w:hAnsi="Calibri" w:cs="Calibri"/>
                <w:bCs w:val="0"/>
                <w:color w:val="EE0000"/>
                <w:sz w:val="22"/>
                <w:szCs w:val="22"/>
              </w:rPr>
            </w:pPr>
            <w:r w:rsidRPr="0012797E">
              <w:rPr>
                <w:rFonts w:ascii="Calibri" w:hAnsi="Calibri" w:cs="Calibri"/>
                <w:bCs w:val="0"/>
                <w:sz w:val="22"/>
                <w:szCs w:val="22"/>
              </w:rPr>
              <w:t>10</w:t>
            </w:r>
          </w:p>
        </w:tc>
      </w:tr>
      <w:tr w:rsidR="00EB4FEC" w:rsidRPr="0012797E" w14:paraId="68684110" w14:textId="77777777" w:rsidTr="00FE1C2C">
        <w:trPr>
          <w:trHeight w:val="300"/>
        </w:trPr>
        <w:tc>
          <w:tcPr>
            <w:tcW w:w="1623" w:type="dxa"/>
            <w:noWrap/>
            <w:hideMark/>
          </w:tcPr>
          <w:p w14:paraId="26597A0E" w14:textId="77777777" w:rsidR="00EB4FEC" w:rsidRPr="0012797E" w:rsidRDefault="00EB4FEC" w:rsidP="00D00F0C">
            <w:pPr>
              <w:spacing w:after="0" w:line="240" w:lineRule="auto"/>
              <w:rPr>
                <w:rFonts w:ascii="Calibri" w:hAnsi="Calibri" w:cs="Calibri"/>
                <w:bCs w:val="0"/>
                <w:color w:val="000000"/>
                <w:sz w:val="22"/>
                <w:szCs w:val="22"/>
              </w:rPr>
            </w:pPr>
            <w:r w:rsidRPr="0012797E">
              <w:rPr>
                <w:rFonts w:ascii="Calibri" w:hAnsi="Calibri" w:cs="Calibri"/>
                <w:bCs w:val="0"/>
                <w:color w:val="000000"/>
                <w:sz w:val="22"/>
                <w:szCs w:val="22"/>
              </w:rPr>
              <w:t>3. Obratovanje dvoran</w:t>
            </w:r>
          </w:p>
        </w:tc>
        <w:tc>
          <w:tcPr>
            <w:tcW w:w="907" w:type="dxa"/>
            <w:noWrap/>
            <w:vAlign w:val="center"/>
          </w:tcPr>
          <w:p w14:paraId="51AC1FAF" w14:textId="3A3CE70D"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260</w:t>
            </w:r>
          </w:p>
        </w:tc>
        <w:tc>
          <w:tcPr>
            <w:tcW w:w="907" w:type="dxa"/>
            <w:noWrap/>
            <w:vAlign w:val="center"/>
          </w:tcPr>
          <w:p w14:paraId="53486A0B" w14:textId="1014728A"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260</w:t>
            </w:r>
          </w:p>
        </w:tc>
        <w:tc>
          <w:tcPr>
            <w:tcW w:w="1383" w:type="dxa"/>
            <w:noWrap/>
            <w:vAlign w:val="center"/>
          </w:tcPr>
          <w:p w14:paraId="1C19104C" w14:textId="555A1D81"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432</w:t>
            </w:r>
          </w:p>
        </w:tc>
        <w:tc>
          <w:tcPr>
            <w:tcW w:w="1275" w:type="dxa"/>
            <w:noWrap/>
            <w:vAlign w:val="center"/>
          </w:tcPr>
          <w:p w14:paraId="08930775" w14:textId="650299B2"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346</w:t>
            </w:r>
          </w:p>
        </w:tc>
        <w:tc>
          <w:tcPr>
            <w:tcW w:w="1134" w:type="dxa"/>
            <w:noWrap/>
            <w:vAlign w:val="center"/>
          </w:tcPr>
          <w:p w14:paraId="0B91D0CC" w14:textId="2CD0874D" w:rsidR="00EB4FEC" w:rsidRPr="0012797E" w:rsidRDefault="00546722" w:rsidP="00D00F0C">
            <w:pPr>
              <w:spacing w:after="0" w:line="240" w:lineRule="auto"/>
              <w:jc w:val="center"/>
              <w:rPr>
                <w:rFonts w:ascii="Calibri" w:hAnsi="Calibri" w:cs="Calibri"/>
                <w:bCs w:val="0"/>
                <w:sz w:val="22"/>
                <w:szCs w:val="22"/>
              </w:rPr>
            </w:pPr>
            <w:r w:rsidRPr="0012797E">
              <w:rPr>
                <w:rFonts w:ascii="Calibri" w:hAnsi="Calibri" w:cs="Calibri"/>
                <w:bCs w:val="0"/>
                <w:sz w:val="22"/>
                <w:szCs w:val="22"/>
              </w:rPr>
              <w:t>432</w:t>
            </w:r>
          </w:p>
        </w:tc>
        <w:tc>
          <w:tcPr>
            <w:tcW w:w="709" w:type="dxa"/>
            <w:noWrap/>
            <w:vAlign w:val="center"/>
          </w:tcPr>
          <w:p w14:paraId="557E46A0" w14:textId="6B6472A8" w:rsidR="00EB4FEC" w:rsidRPr="0012797E" w:rsidRDefault="00546722"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10</w:t>
            </w:r>
          </w:p>
        </w:tc>
      </w:tr>
      <w:tr w:rsidR="00EB4FEC" w:rsidRPr="0012797E" w14:paraId="7140E77A" w14:textId="77777777" w:rsidTr="00FE1C2C">
        <w:trPr>
          <w:trHeight w:val="300"/>
        </w:trPr>
        <w:tc>
          <w:tcPr>
            <w:tcW w:w="1623" w:type="dxa"/>
            <w:noWrap/>
          </w:tcPr>
          <w:p w14:paraId="4C424581" w14:textId="38A8A548" w:rsidR="00EB4FEC" w:rsidRPr="0012797E" w:rsidRDefault="00EB4FEC" w:rsidP="00D00F0C">
            <w:pPr>
              <w:spacing w:after="0" w:line="240" w:lineRule="auto"/>
              <w:rPr>
                <w:rFonts w:ascii="Calibri" w:hAnsi="Calibri" w:cs="Calibri"/>
                <w:b/>
                <w:color w:val="000000"/>
                <w:sz w:val="22"/>
                <w:szCs w:val="22"/>
              </w:rPr>
            </w:pPr>
            <w:r w:rsidRPr="0012797E">
              <w:rPr>
                <w:rFonts w:ascii="Calibri" w:hAnsi="Calibri" w:cs="Calibri"/>
                <w:b/>
                <w:color w:val="000000"/>
                <w:sz w:val="22"/>
                <w:szCs w:val="22"/>
              </w:rPr>
              <w:t>SKUPAJ</w:t>
            </w:r>
          </w:p>
        </w:tc>
        <w:tc>
          <w:tcPr>
            <w:tcW w:w="907" w:type="dxa"/>
            <w:noWrap/>
            <w:vAlign w:val="center"/>
          </w:tcPr>
          <w:p w14:paraId="25713C7B" w14:textId="77777777" w:rsidR="00EB4FEC" w:rsidRPr="0012797E" w:rsidRDefault="00EB4FEC" w:rsidP="00D00F0C">
            <w:pPr>
              <w:spacing w:after="0" w:line="240" w:lineRule="auto"/>
              <w:jc w:val="center"/>
              <w:rPr>
                <w:rFonts w:ascii="Calibri" w:hAnsi="Calibri" w:cs="Calibri"/>
                <w:bCs w:val="0"/>
                <w:color w:val="000000"/>
                <w:sz w:val="22"/>
                <w:szCs w:val="22"/>
              </w:rPr>
            </w:pPr>
          </w:p>
        </w:tc>
        <w:tc>
          <w:tcPr>
            <w:tcW w:w="907" w:type="dxa"/>
            <w:noWrap/>
            <w:vAlign w:val="center"/>
          </w:tcPr>
          <w:p w14:paraId="042A13A1" w14:textId="77777777" w:rsidR="00EB4FEC" w:rsidRPr="0012797E" w:rsidRDefault="00EB4FEC" w:rsidP="00D00F0C">
            <w:pPr>
              <w:spacing w:after="0" w:line="240" w:lineRule="auto"/>
              <w:jc w:val="center"/>
              <w:rPr>
                <w:rFonts w:ascii="Calibri" w:hAnsi="Calibri" w:cs="Calibri"/>
                <w:bCs w:val="0"/>
                <w:color w:val="000000"/>
                <w:sz w:val="22"/>
                <w:szCs w:val="22"/>
              </w:rPr>
            </w:pPr>
          </w:p>
        </w:tc>
        <w:tc>
          <w:tcPr>
            <w:tcW w:w="1383" w:type="dxa"/>
            <w:noWrap/>
            <w:vAlign w:val="center"/>
          </w:tcPr>
          <w:p w14:paraId="5D3FABE7" w14:textId="77777777" w:rsidR="00EB4FEC" w:rsidRPr="0012797E" w:rsidRDefault="00EB4FEC" w:rsidP="00D00F0C">
            <w:pPr>
              <w:spacing w:after="0" w:line="240" w:lineRule="auto"/>
              <w:jc w:val="center"/>
              <w:rPr>
                <w:rFonts w:ascii="Calibri" w:hAnsi="Calibri" w:cs="Calibri"/>
                <w:bCs w:val="0"/>
                <w:color w:val="000000"/>
                <w:sz w:val="22"/>
                <w:szCs w:val="22"/>
              </w:rPr>
            </w:pPr>
          </w:p>
        </w:tc>
        <w:tc>
          <w:tcPr>
            <w:tcW w:w="1275" w:type="dxa"/>
            <w:noWrap/>
            <w:vAlign w:val="center"/>
          </w:tcPr>
          <w:p w14:paraId="6EB2A165" w14:textId="77777777" w:rsidR="00EB4FEC" w:rsidRPr="0012797E" w:rsidRDefault="00EB4FEC" w:rsidP="00D00F0C">
            <w:pPr>
              <w:spacing w:after="0" w:line="240" w:lineRule="auto"/>
              <w:jc w:val="center"/>
              <w:rPr>
                <w:rFonts w:ascii="Calibri" w:hAnsi="Calibri" w:cs="Calibri"/>
                <w:bCs w:val="0"/>
                <w:color w:val="000000"/>
                <w:sz w:val="22"/>
                <w:szCs w:val="22"/>
              </w:rPr>
            </w:pPr>
          </w:p>
        </w:tc>
        <w:tc>
          <w:tcPr>
            <w:tcW w:w="1134" w:type="dxa"/>
            <w:noWrap/>
            <w:vAlign w:val="center"/>
          </w:tcPr>
          <w:p w14:paraId="55E68FC8" w14:textId="77777777" w:rsidR="00EB4FEC" w:rsidRPr="0012797E" w:rsidRDefault="00EB4FEC" w:rsidP="00D00F0C">
            <w:pPr>
              <w:spacing w:after="0" w:line="240" w:lineRule="auto"/>
              <w:jc w:val="center"/>
              <w:rPr>
                <w:rFonts w:ascii="Calibri" w:hAnsi="Calibri" w:cs="Calibri"/>
                <w:bCs w:val="0"/>
                <w:color w:val="000000"/>
                <w:sz w:val="22"/>
                <w:szCs w:val="22"/>
              </w:rPr>
            </w:pPr>
          </w:p>
        </w:tc>
        <w:tc>
          <w:tcPr>
            <w:tcW w:w="709" w:type="dxa"/>
            <w:noWrap/>
            <w:vAlign w:val="center"/>
          </w:tcPr>
          <w:p w14:paraId="33AC3A2F" w14:textId="3595698F" w:rsidR="00EB4FEC" w:rsidRPr="0012797E" w:rsidRDefault="00023F6C" w:rsidP="00D00F0C">
            <w:pPr>
              <w:spacing w:after="0" w:line="240" w:lineRule="auto"/>
              <w:jc w:val="center"/>
              <w:rPr>
                <w:rFonts w:ascii="Calibri" w:hAnsi="Calibri" w:cs="Calibri"/>
                <w:bCs w:val="0"/>
                <w:color w:val="000000"/>
                <w:sz w:val="22"/>
                <w:szCs w:val="22"/>
              </w:rPr>
            </w:pPr>
            <w:r w:rsidRPr="0012797E">
              <w:rPr>
                <w:rFonts w:ascii="Calibri" w:hAnsi="Calibri" w:cs="Calibri"/>
                <w:bCs w:val="0"/>
                <w:color w:val="000000"/>
                <w:sz w:val="22"/>
                <w:szCs w:val="22"/>
              </w:rPr>
              <w:t>30</w:t>
            </w:r>
          </w:p>
        </w:tc>
      </w:tr>
    </w:tbl>
    <w:p w14:paraId="0D4C526E" w14:textId="77777777" w:rsidR="00D87FFC" w:rsidRPr="0012797E" w:rsidRDefault="00D87FFC" w:rsidP="00881993">
      <w:pPr>
        <w:spacing w:after="0" w:line="240" w:lineRule="auto"/>
        <w:ind w:left="703"/>
        <w:rPr>
          <w:bCs w:val="0"/>
        </w:rPr>
      </w:pPr>
    </w:p>
    <w:p w14:paraId="41DAB822" w14:textId="77777777" w:rsidR="001661E8" w:rsidRPr="0012797E" w:rsidRDefault="001661E8" w:rsidP="00C97633">
      <w:pPr>
        <w:spacing w:after="0" w:line="240" w:lineRule="auto"/>
        <w:rPr>
          <w:bCs w:val="0"/>
        </w:rPr>
      </w:pPr>
    </w:p>
    <w:p w14:paraId="5B702C43" w14:textId="77777777" w:rsidR="000462BF" w:rsidRPr="0012797E" w:rsidRDefault="000462BF" w:rsidP="000462BF">
      <w:pPr>
        <w:spacing w:after="0" w:line="240" w:lineRule="auto"/>
        <w:ind w:left="703"/>
        <w:rPr>
          <w:bCs w:val="0"/>
          <w:u w:val="single"/>
        </w:rPr>
      </w:pPr>
      <w:r w:rsidRPr="0012797E">
        <w:rPr>
          <w:bCs w:val="0"/>
          <w:u w:val="single"/>
        </w:rPr>
        <w:t>5. člen: Vrednotenje deleža nejavnih prihodkov za javno službo v celotnem letnem prihodku</w:t>
      </w:r>
    </w:p>
    <w:p w14:paraId="3926C4C2" w14:textId="77777777" w:rsidR="000462BF" w:rsidRPr="0012797E" w:rsidRDefault="000462BF" w:rsidP="00881993">
      <w:pPr>
        <w:spacing w:after="0" w:line="240" w:lineRule="auto"/>
        <w:ind w:left="703"/>
        <w:rPr>
          <w:bCs w:val="0"/>
        </w:rPr>
      </w:pPr>
    </w:p>
    <w:p w14:paraId="30B6764D" w14:textId="77777777" w:rsidR="005D6E50" w:rsidRPr="0012797E" w:rsidRDefault="005D6E50" w:rsidP="00881993">
      <w:pPr>
        <w:spacing w:after="0" w:line="240" w:lineRule="auto"/>
        <w:ind w:left="703"/>
        <w:rPr>
          <w:bCs w:val="0"/>
        </w:rPr>
      </w:pPr>
    </w:p>
    <w:tbl>
      <w:tblPr>
        <w:tblW w:w="7938" w:type="dxa"/>
        <w:tblInd w:w="699" w:type="dxa"/>
        <w:tblCellMar>
          <w:left w:w="0" w:type="dxa"/>
          <w:right w:w="0" w:type="dxa"/>
        </w:tblCellMar>
        <w:tblLook w:val="04A0" w:firstRow="1" w:lastRow="0" w:firstColumn="1" w:lastColumn="0" w:noHBand="0" w:noVBand="1"/>
      </w:tblPr>
      <w:tblGrid>
        <w:gridCol w:w="3259"/>
        <w:gridCol w:w="2343"/>
        <w:gridCol w:w="1367"/>
        <w:gridCol w:w="969"/>
      </w:tblGrid>
      <w:tr w:rsidR="00634122" w:rsidRPr="0012797E" w14:paraId="177753C1" w14:textId="5C6DF102" w:rsidTr="0032449C">
        <w:trPr>
          <w:trHeight w:val="255"/>
        </w:trPr>
        <w:tc>
          <w:tcPr>
            <w:tcW w:w="3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6F4B24" w14:textId="77777777" w:rsidR="00634122" w:rsidRPr="0012797E" w:rsidRDefault="00634122" w:rsidP="00B2488F">
            <w:pPr>
              <w:spacing w:after="0" w:line="240" w:lineRule="auto"/>
              <w:ind w:left="703"/>
              <w:rPr>
                <w:b/>
              </w:rPr>
            </w:pPr>
            <w:r w:rsidRPr="0012797E">
              <w:rPr>
                <w:b/>
              </w:rPr>
              <w:t> </w:t>
            </w:r>
          </w:p>
        </w:tc>
        <w:tc>
          <w:tcPr>
            <w:tcW w:w="23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3A287BC" w14:textId="77777777" w:rsidR="00634122" w:rsidRPr="0012797E" w:rsidRDefault="00634122" w:rsidP="00B2488F">
            <w:pPr>
              <w:spacing w:after="0" w:line="240" w:lineRule="auto"/>
              <w:ind w:left="703"/>
              <w:rPr>
                <w:b/>
              </w:rPr>
            </w:pPr>
          </w:p>
          <w:p w14:paraId="4D3E011A" w14:textId="148BD7AB" w:rsidR="00634122" w:rsidRPr="0012797E" w:rsidRDefault="00634122" w:rsidP="00B2488F">
            <w:pPr>
              <w:spacing w:after="0" w:line="240" w:lineRule="auto"/>
              <w:ind w:left="703"/>
              <w:rPr>
                <w:b/>
              </w:rPr>
            </w:pPr>
            <w:r w:rsidRPr="0012797E">
              <w:rPr>
                <w:b/>
              </w:rPr>
              <w:t>2025</w:t>
            </w:r>
            <w:r w:rsidR="009E6E04" w:rsidRPr="0012797E">
              <w:rPr>
                <w:b/>
              </w:rPr>
              <w:t xml:space="preserve"> (EUR)</w:t>
            </w:r>
          </w:p>
        </w:tc>
        <w:tc>
          <w:tcPr>
            <w:tcW w:w="13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EBD1910" w14:textId="10C3FA56" w:rsidR="00634122" w:rsidRPr="0012797E" w:rsidRDefault="00634122" w:rsidP="00634122">
            <w:pPr>
              <w:spacing w:after="0" w:line="240" w:lineRule="auto"/>
              <w:jc w:val="center"/>
              <w:rPr>
                <w:b/>
              </w:rPr>
            </w:pPr>
            <w:r w:rsidRPr="0012797E">
              <w:rPr>
                <w:b/>
              </w:rPr>
              <w:t>DELEŽ</w:t>
            </w:r>
            <w:r w:rsidR="005B621D" w:rsidRPr="0012797E">
              <w:rPr>
                <w:b/>
              </w:rPr>
              <w:t xml:space="preserve"> %</w:t>
            </w:r>
          </w:p>
        </w:tc>
        <w:tc>
          <w:tcPr>
            <w:tcW w:w="969" w:type="dxa"/>
            <w:tcBorders>
              <w:top w:val="single" w:sz="8" w:space="0" w:color="auto"/>
              <w:left w:val="nil"/>
              <w:bottom w:val="single" w:sz="8" w:space="0" w:color="auto"/>
              <w:right w:val="single" w:sz="8" w:space="0" w:color="auto"/>
            </w:tcBorders>
          </w:tcPr>
          <w:p w14:paraId="32CAFFC1" w14:textId="77777777" w:rsidR="00634122" w:rsidRPr="0012797E" w:rsidRDefault="00634122" w:rsidP="00634122">
            <w:pPr>
              <w:spacing w:after="0" w:line="240" w:lineRule="auto"/>
              <w:ind w:left="703"/>
              <w:jc w:val="center"/>
              <w:rPr>
                <w:b/>
              </w:rPr>
            </w:pPr>
          </w:p>
          <w:p w14:paraId="00C3BD9C" w14:textId="12F54691" w:rsidR="00634122" w:rsidRPr="0012797E" w:rsidRDefault="00634122" w:rsidP="00634122">
            <w:pPr>
              <w:spacing w:after="0" w:line="240" w:lineRule="auto"/>
              <w:rPr>
                <w:b/>
              </w:rPr>
            </w:pPr>
            <w:r w:rsidRPr="0012797E">
              <w:rPr>
                <w:b/>
              </w:rPr>
              <w:t xml:space="preserve">     Točke</w:t>
            </w:r>
          </w:p>
        </w:tc>
      </w:tr>
      <w:tr w:rsidR="00634122" w:rsidRPr="0012797E" w14:paraId="350EDA93" w14:textId="44BE0C38" w:rsidTr="0032449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77B5986D" w14:textId="0EF026BB" w:rsidR="00634122" w:rsidRPr="0012797E" w:rsidRDefault="00634122" w:rsidP="00701059">
            <w:pPr>
              <w:spacing w:after="0" w:line="240" w:lineRule="auto"/>
              <w:rPr>
                <w:bCs w:val="0"/>
              </w:rPr>
            </w:pPr>
            <w:r w:rsidRPr="0012797E">
              <w:rPr>
                <w:bCs w:val="0"/>
              </w:rPr>
              <w:t xml:space="preserve">SKUPAJ PRIHODKI POSLOVANJA </w:t>
            </w:r>
          </w:p>
        </w:tc>
        <w:tc>
          <w:tcPr>
            <w:tcW w:w="234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CA5839D" w14:textId="52F1BA04" w:rsidR="00634122" w:rsidRPr="0012797E" w:rsidRDefault="009E6E04" w:rsidP="009E6E04">
            <w:pPr>
              <w:spacing w:after="0" w:line="240" w:lineRule="auto"/>
              <w:ind w:left="703"/>
              <w:jc w:val="center"/>
              <w:rPr>
                <w:bCs w:val="0"/>
              </w:rPr>
            </w:pPr>
            <w:r w:rsidRPr="0012797E">
              <w:rPr>
                <w:bCs w:val="0"/>
              </w:rPr>
              <w:t>10.308.050,08</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4B6D4CF" w14:textId="6DFE22E6" w:rsidR="00634122" w:rsidRPr="0012797E" w:rsidRDefault="009E6E04" w:rsidP="00976464">
            <w:pPr>
              <w:spacing w:after="0" w:line="240" w:lineRule="auto"/>
              <w:rPr>
                <w:bCs w:val="0"/>
              </w:rPr>
            </w:pPr>
            <w:r w:rsidRPr="0012797E">
              <w:rPr>
                <w:bCs w:val="0"/>
              </w:rPr>
              <w:t>100</w:t>
            </w:r>
            <w:r w:rsidR="00976464" w:rsidRPr="0012797E">
              <w:rPr>
                <w:bCs w:val="0"/>
              </w:rPr>
              <w:t xml:space="preserve"> %</w:t>
            </w:r>
          </w:p>
        </w:tc>
        <w:tc>
          <w:tcPr>
            <w:tcW w:w="969" w:type="dxa"/>
            <w:tcBorders>
              <w:top w:val="nil"/>
              <w:left w:val="nil"/>
              <w:bottom w:val="single" w:sz="8" w:space="0" w:color="auto"/>
              <w:right w:val="single" w:sz="8" w:space="0" w:color="auto"/>
            </w:tcBorders>
          </w:tcPr>
          <w:p w14:paraId="49E7868D" w14:textId="77777777" w:rsidR="00634122" w:rsidRPr="0012797E" w:rsidRDefault="00634122" w:rsidP="009E6E04">
            <w:pPr>
              <w:spacing w:after="0" w:line="240" w:lineRule="auto"/>
              <w:ind w:left="703"/>
              <w:jc w:val="center"/>
              <w:rPr>
                <w:bCs w:val="0"/>
              </w:rPr>
            </w:pPr>
          </w:p>
        </w:tc>
      </w:tr>
      <w:tr w:rsidR="00634122" w:rsidRPr="0012797E" w14:paraId="0AC882C6" w14:textId="20CAE165" w:rsidTr="0032449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5847414" w14:textId="77777777" w:rsidR="00634122" w:rsidRPr="0012797E" w:rsidRDefault="00634122" w:rsidP="00701059">
            <w:pPr>
              <w:spacing w:after="0" w:line="240" w:lineRule="auto"/>
              <w:rPr>
                <w:bCs w:val="0"/>
              </w:rPr>
            </w:pPr>
            <w:r w:rsidRPr="0012797E">
              <w:rPr>
                <w:bCs w:val="0"/>
              </w:rPr>
              <w:t>Prihodki ustanovitelja in ostali javni prihodki</w:t>
            </w:r>
          </w:p>
          <w:p w14:paraId="256613E3" w14:textId="77777777" w:rsidR="00634122" w:rsidRPr="0012797E" w:rsidRDefault="00634122" w:rsidP="00B2488F">
            <w:pPr>
              <w:spacing w:after="0" w:line="240" w:lineRule="auto"/>
              <w:ind w:left="703"/>
              <w:rPr>
                <w:bCs w:val="0"/>
              </w:rPr>
            </w:pPr>
          </w:p>
        </w:tc>
        <w:tc>
          <w:tcPr>
            <w:tcW w:w="234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8159F2A" w14:textId="33E01BBB" w:rsidR="00634122" w:rsidRPr="0012797E" w:rsidRDefault="009E6E04" w:rsidP="00701059">
            <w:pPr>
              <w:spacing w:after="0" w:line="240" w:lineRule="auto"/>
              <w:ind w:left="703"/>
              <w:rPr>
                <w:bCs w:val="0"/>
              </w:rPr>
            </w:pPr>
            <w:r w:rsidRPr="0012797E">
              <w:rPr>
                <w:bCs w:val="0"/>
              </w:rPr>
              <w:t>9.846.426,72</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087F4D5" w14:textId="5FE6B443" w:rsidR="00634122" w:rsidRPr="0012797E" w:rsidRDefault="009E6E04" w:rsidP="00701059">
            <w:pPr>
              <w:spacing w:after="0" w:line="240" w:lineRule="auto"/>
              <w:rPr>
                <w:bCs w:val="0"/>
              </w:rPr>
            </w:pPr>
            <w:r w:rsidRPr="0012797E">
              <w:rPr>
                <w:bCs w:val="0"/>
              </w:rPr>
              <w:t>96</w:t>
            </w:r>
            <w:r w:rsidR="00976464" w:rsidRPr="0012797E">
              <w:rPr>
                <w:bCs w:val="0"/>
              </w:rPr>
              <w:t xml:space="preserve"> </w:t>
            </w:r>
            <w:r w:rsidR="00701059" w:rsidRPr="0012797E">
              <w:rPr>
                <w:bCs w:val="0"/>
              </w:rPr>
              <w:t>%</w:t>
            </w:r>
          </w:p>
        </w:tc>
        <w:tc>
          <w:tcPr>
            <w:tcW w:w="969" w:type="dxa"/>
            <w:tcBorders>
              <w:top w:val="nil"/>
              <w:left w:val="nil"/>
              <w:bottom w:val="single" w:sz="8" w:space="0" w:color="auto"/>
              <w:right w:val="single" w:sz="8" w:space="0" w:color="auto"/>
            </w:tcBorders>
          </w:tcPr>
          <w:p w14:paraId="2235AD8B" w14:textId="77777777" w:rsidR="00634122" w:rsidRPr="0012797E" w:rsidRDefault="00634122" w:rsidP="009E6E04">
            <w:pPr>
              <w:spacing w:after="0" w:line="240" w:lineRule="auto"/>
              <w:ind w:left="703"/>
              <w:jc w:val="center"/>
              <w:rPr>
                <w:bCs w:val="0"/>
              </w:rPr>
            </w:pPr>
          </w:p>
        </w:tc>
      </w:tr>
      <w:tr w:rsidR="00634122" w:rsidRPr="0012797E" w14:paraId="4B9EC362" w14:textId="3591FAD1" w:rsidTr="0032449C">
        <w:trPr>
          <w:trHeight w:val="255"/>
        </w:trPr>
        <w:tc>
          <w:tcPr>
            <w:tcW w:w="3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708E8F" w14:textId="4364C4F0" w:rsidR="00634122" w:rsidRPr="0012797E" w:rsidRDefault="00701059" w:rsidP="00701059">
            <w:pPr>
              <w:spacing w:after="0" w:line="240" w:lineRule="auto"/>
              <w:rPr>
                <w:bCs w:val="0"/>
              </w:rPr>
            </w:pPr>
            <w:r w:rsidRPr="0012797E">
              <w:rPr>
                <w:bCs w:val="0"/>
              </w:rPr>
              <w:t>O</w:t>
            </w:r>
            <w:r w:rsidR="00634122" w:rsidRPr="0012797E">
              <w:rPr>
                <w:bCs w:val="0"/>
              </w:rPr>
              <w:t>stali nejavni prihodki:</w:t>
            </w:r>
          </w:p>
          <w:p w14:paraId="5C19DED6" w14:textId="77777777" w:rsidR="00634122" w:rsidRPr="0012797E" w:rsidRDefault="00634122" w:rsidP="00B2488F">
            <w:pPr>
              <w:spacing w:after="0" w:line="240" w:lineRule="auto"/>
              <w:ind w:left="703"/>
              <w:rPr>
                <w:bCs w:val="0"/>
              </w:rPr>
            </w:pPr>
          </w:p>
        </w:tc>
        <w:tc>
          <w:tcPr>
            <w:tcW w:w="234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869E3E" w14:textId="68AFBF1D" w:rsidR="00634122" w:rsidRPr="0012797E" w:rsidRDefault="009E6E04" w:rsidP="009E6E04">
            <w:pPr>
              <w:spacing w:after="0" w:line="240" w:lineRule="auto"/>
              <w:ind w:left="703"/>
              <w:jc w:val="center"/>
              <w:rPr>
                <w:bCs w:val="0"/>
              </w:rPr>
            </w:pPr>
            <w:r w:rsidRPr="0012797E">
              <w:rPr>
                <w:bCs w:val="0"/>
              </w:rPr>
              <w:t>461.623,36</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2719CF2" w14:textId="309E4C14" w:rsidR="00634122" w:rsidRPr="0012797E" w:rsidRDefault="009E6E04" w:rsidP="00701059">
            <w:pPr>
              <w:spacing w:after="0" w:line="240" w:lineRule="auto"/>
              <w:rPr>
                <w:bCs w:val="0"/>
              </w:rPr>
            </w:pPr>
            <w:r w:rsidRPr="0012797E">
              <w:rPr>
                <w:bCs w:val="0"/>
              </w:rPr>
              <w:t>4</w:t>
            </w:r>
            <w:r w:rsidR="00701059" w:rsidRPr="0012797E">
              <w:rPr>
                <w:bCs w:val="0"/>
              </w:rPr>
              <w:t>%</w:t>
            </w:r>
          </w:p>
        </w:tc>
        <w:tc>
          <w:tcPr>
            <w:tcW w:w="969" w:type="dxa"/>
            <w:tcBorders>
              <w:top w:val="nil"/>
              <w:left w:val="nil"/>
              <w:bottom w:val="single" w:sz="8" w:space="0" w:color="auto"/>
              <w:right w:val="single" w:sz="8" w:space="0" w:color="auto"/>
            </w:tcBorders>
          </w:tcPr>
          <w:p w14:paraId="0404B14F" w14:textId="77777777" w:rsidR="00701059" w:rsidRPr="0012797E" w:rsidRDefault="00701059" w:rsidP="009E6E04">
            <w:pPr>
              <w:spacing w:after="0" w:line="240" w:lineRule="auto"/>
              <w:jc w:val="center"/>
              <w:rPr>
                <w:bCs w:val="0"/>
              </w:rPr>
            </w:pPr>
          </w:p>
          <w:p w14:paraId="3C4FF210" w14:textId="43D957A8" w:rsidR="005B621D" w:rsidRPr="0012797E" w:rsidRDefault="009E6E04" w:rsidP="009E6E04">
            <w:pPr>
              <w:spacing w:after="0" w:line="240" w:lineRule="auto"/>
              <w:jc w:val="center"/>
              <w:rPr>
                <w:bCs w:val="0"/>
              </w:rPr>
            </w:pPr>
            <w:r w:rsidRPr="0012797E">
              <w:rPr>
                <w:bCs w:val="0"/>
              </w:rPr>
              <w:t>5</w:t>
            </w:r>
          </w:p>
        </w:tc>
      </w:tr>
    </w:tbl>
    <w:p w14:paraId="10F2308A" w14:textId="77777777" w:rsidR="005D6E50" w:rsidRPr="0012797E" w:rsidRDefault="005D6E50" w:rsidP="00881993">
      <w:pPr>
        <w:spacing w:after="0" w:line="240" w:lineRule="auto"/>
        <w:ind w:left="703"/>
        <w:rPr>
          <w:bCs w:val="0"/>
        </w:rPr>
      </w:pPr>
    </w:p>
    <w:p w14:paraId="55DD83DE" w14:textId="77777777" w:rsidR="005D6E50" w:rsidRPr="0012797E" w:rsidRDefault="005D6E50" w:rsidP="00881993">
      <w:pPr>
        <w:spacing w:after="0" w:line="240" w:lineRule="auto"/>
        <w:ind w:left="703"/>
        <w:rPr>
          <w:bCs w:val="0"/>
        </w:rPr>
      </w:pPr>
    </w:p>
    <w:p w14:paraId="09443C8E" w14:textId="1AE29940" w:rsidR="005D6E50" w:rsidRPr="0012797E" w:rsidRDefault="00D34DDF" w:rsidP="0012797E">
      <w:pPr>
        <w:spacing w:after="0" w:line="240" w:lineRule="auto"/>
        <w:ind w:left="703"/>
        <w:rPr>
          <w:bCs w:val="0"/>
        </w:rPr>
      </w:pPr>
      <w:r w:rsidRPr="0012797E">
        <w:rPr>
          <w:bCs w:val="0"/>
        </w:rPr>
        <w:t xml:space="preserve">V letu 2025 je delež nejavnih prihodkov za javno službo v celotnem letnem prihodkov zavoda znašal </w:t>
      </w:r>
      <w:r w:rsidR="00510D23" w:rsidRPr="0012797E">
        <w:rPr>
          <w:bCs w:val="0"/>
        </w:rPr>
        <w:t>461.623,36</w:t>
      </w:r>
      <w:r w:rsidRPr="0012797E">
        <w:rPr>
          <w:bCs w:val="0"/>
        </w:rPr>
        <w:t xml:space="preserve"> </w:t>
      </w:r>
      <w:r w:rsidR="00510D23" w:rsidRPr="0012797E">
        <w:rPr>
          <w:bCs w:val="0"/>
        </w:rPr>
        <w:t>EUR</w:t>
      </w:r>
      <w:r w:rsidRPr="0012797E">
        <w:rPr>
          <w:bCs w:val="0"/>
        </w:rPr>
        <w:t xml:space="preserve">, kar je </w:t>
      </w:r>
      <w:r w:rsidR="00510D23" w:rsidRPr="0012797E">
        <w:rPr>
          <w:bCs w:val="0"/>
        </w:rPr>
        <w:t>4</w:t>
      </w:r>
      <w:r w:rsidRPr="0012797E">
        <w:rPr>
          <w:bCs w:val="0"/>
        </w:rPr>
        <w:t xml:space="preserve"> % in prinaša </w:t>
      </w:r>
      <w:r w:rsidR="00510D23" w:rsidRPr="0012797E">
        <w:rPr>
          <w:bCs w:val="0"/>
        </w:rPr>
        <w:t>5</w:t>
      </w:r>
      <w:r w:rsidRPr="0012797E">
        <w:rPr>
          <w:bCs w:val="0"/>
        </w:rPr>
        <w:t xml:space="preserve"> odstotnih točk. </w:t>
      </w:r>
    </w:p>
    <w:p w14:paraId="6BA56CB3" w14:textId="77777777" w:rsidR="005D6E50" w:rsidRPr="0012797E" w:rsidRDefault="005D6E50" w:rsidP="00881993">
      <w:pPr>
        <w:spacing w:after="0" w:line="240" w:lineRule="auto"/>
        <w:ind w:left="703"/>
        <w:rPr>
          <w:bCs w:val="0"/>
        </w:rPr>
      </w:pPr>
    </w:p>
    <w:p w14:paraId="00DEA9E5" w14:textId="77777777" w:rsidR="00AC0839" w:rsidRPr="0012797E" w:rsidRDefault="00AC0839" w:rsidP="00AC0839">
      <w:pPr>
        <w:spacing w:after="0" w:line="240" w:lineRule="auto"/>
        <w:ind w:left="703"/>
        <w:rPr>
          <w:b/>
          <w:bCs w:val="0"/>
        </w:rPr>
      </w:pPr>
      <w:r w:rsidRPr="0012797E">
        <w:rPr>
          <w:b/>
          <w:bCs w:val="0"/>
        </w:rPr>
        <w:t>7. člen:  Vrednotenje izstopajočih dogodkov</w:t>
      </w:r>
    </w:p>
    <w:p w14:paraId="52FBB6B4" w14:textId="77777777" w:rsidR="007105E6" w:rsidRPr="0012797E" w:rsidRDefault="007105E6" w:rsidP="00510D23">
      <w:pPr>
        <w:spacing w:after="0" w:line="240" w:lineRule="auto"/>
        <w:rPr>
          <w:bCs w:val="0"/>
          <w:color w:val="000000" w:themeColor="text1"/>
        </w:rPr>
      </w:pPr>
    </w:p>
    <w:p w14:paraId="48D268FA" w14:textId="77777777" w:rsidR="001E1B7B" w:rsidRPr="0012797E" w:rsidRDefault="00510D23" w:rsidP="0012797E">
      <w:pPr>
        <w:spacing w:after="0" w:line="288" w:lineRule="auto"/>
        <w:ind w:left="703"/>
        <w:rPr>
          <w:bCs w:val="0"/>
          <w:color w:val="000000" w:themeColor="text1"/>
        </w:rPr>
      </w:pPr>
      <w:r w:rsidRPr="0012797E">
        <w:rPr>
          <w:bCs w:val="0"/>
          <w:color w:val="000000" w:themeColor="text1"/>
        </w:rPr>
        <w:t>Vodstvo javnega zavoda GO! 2025 je skozi celotno leto aktivno sodelovalo pri pripravah na obeležitev 40. obletnice pobude Evropska prestolnica kulture, njenem strokovnem ovrednotenju ter oblikovanju razvojnih smernic in Bele knjige o prihodnosti programa EPK. Obletnica je sovpadla z letom izvedbe projekta GO! 2025, kar predstavlja dodatno pomembno dimenzijo in odgovornost, ki ob začetnem načrtovanju projekta ni bila predvidena.</w:t>
      </w:r>
      <w:r w:rsidR="00EC6A36" w:rsidRPr="0012797E">
        <w:rPr>
          <w:bCs w:val="0"/>
          <w:color w:val="000000" w:themeColor="text1"/>
        </w:rPr>
        <w:t xml:space="preserve"> </w:t>
      </w:r>
      <w:r w:rsidRPr="0012797E">
        <w:rPr>
          <w:bCs w:val="0"/>
          <w:color w:val="000000" w:themeColor="text1"/>
        </w:rPr>
        <w:t>Vrhunec večmesečnega strokovnega sodelovanja je predstavljal mednarodni strokovni dogodek 40 Years of ECoC, ki je med 3. in 5. aprilom 2025 potekal v Chemnitzu v soorganizaciji mesta Chemnitz in javnega zavoda GO! 2025. Na dogodku so bili predstavljeni rezultati obsežne raziskave ob 40-letnici pobude Evropska prestolnica kulture ter Bela knjiga o razvoju in prihodnjih usmeritvah tega enega ključnih evropskih kulturnih programov.</w:t>
      </w:r>
    </w:p>
    <w:p w14:paraId="6263EF01" w14:textId="41074DB2" w:rsidR="00E926B7" w:rsidRPr="0012797E" w:rsidRDefault="00EC6A36" w:rsidP="0012797E">
      <w:pPr>
        <w:spacing w:after="0" w:line="288" w:lineRule="auto"/>
        <w:ind w:left="703"/>
        <w:rPr>
          <w:bCs w:val="0"/>
          <w:color w:val="000000" w:themeColor="text1"/>
        </w:rPr>
      </w:pPr>
      <w:r w:rsidRPr="0012797E">
        <w:rPr>
          <w:bCs w:val="0"/>
          <w:color w:val="000000" w:themeColor="text1"/>
        </w:rPr>
        <w:t xml:space="preserve">V so-organizaciji z občino Chemnitz in EPK Chemnitz 2025 </w:t>
      </w:r>
      <w:r w:rsidR="00C1256D" w:rsidRPr="0012797E">
        <w:rPr>
          <w:bCs w:val="0"/>
          <w:color w:val="000000" w:themeColor="text1"/>
        </w:rPr>
        <w:t xml:space="preserve">je zavod </w:t>
      </w:r>
      <w:r w:rsidRPr="0012797E">
        <w:rPr>
          <w:bCs w:val="0"/>
          <w:color w:val="000000" w:themeColor="text1"/>
        </w:rPr>
        <w:t xml:space="preserve">pripravil ter izvedel javni dogodek v Evropskem parlamentu v Bruslju. Namen dogodka je bil predstavitev obeh Evropskih prestolnic kulture, Nova </w:t>
      </w:r>
      <w:r w:rsidR="00FD1619" w:rsidRPr="0012797E">
        <w:rPr>
          <w:bCs w:val="0"/>
          <w:color w:val="000000" w:themeColor="text1"/>
        </w:rPr>
        <w:t>G</w:t>
      </w:r>
      <w:r w:rsidRPr="0012797E">
        <w:rPr>
          <w:bCs w:val="0"/>
          <w:color w:val="000000" w:themeColor="text1"/>
        </w:rPr>
        <w:t>orica-Gorizia 2025 in Chemnitz 2025</w:t>
      </w:r>
      <w:r w:rsidR="00601BC7" w:rsidRPr="0012797E">
        <w:rPr>
          <w:bCs w:val="0"/>
          <w:color w:val="000000" w:themeColor="text1"/>
        </w:rPr>
        <w:t xml:space="preserve">. </w:t>
      </w:r>
      <w:r w:rsidRPr="0012797E">
        <w:rPr>
          <w:bCs w:val="0"/>
          <w:color w:val="000000" w:themeColor="text1"/>
        </w:rPr>
        <w:t>Dogodek je pustil pomemben pečat v centru odločanja o zadevah Evropske Unije in v širši mednarodni ter tudi domači javnosti.</w:t>
      </w:r>
      <w:r w:rsidR="00E926B7" w:rsidRPr="0012797E">
        <w:t xml:space="preserve"> </w:t>
      </w:r>
    </w:p>
    <w:p w14:paraId="3CFDF7D8" w14:textId="2D2998A3" w:rsidR="00EC6A36" w:rsidRPr="0012797E" w:rsidRDefault="00E926B7" w:rsidP="0012797E">
      <w:pPr>
        <w:spacing w:after="0" w:line="288" w:lineRule="auto"/>
        <w:ind w:left="703"/>
        <w:rPr>
          <w:bCs w:val="0"/>
          <w:color w:val="000000" w:themeColor="text1"/>
        </w:rPr>
      </w:pPr>
      <w:r w:rsidRPr="0012797E">
        <w:rPr>
          <w:bCs w:val="0"/>
          <w:color w:val="000000" w:themeColor="text1"/>
        </w:rPr>
        <w:t xml:space="preserve">V medijih in družbi so najbolj izstopali </w:t>
      </w:r>
      <w:r w:rsidR="00606191" w:rsidRPr="0012797E">
        <w:rPr>
          <w:bCs w:val="0"/>
          <w:color w:val="000000" w:themeColor="text1"/>
        </w:rPr>
        <w:t xml:space="preserve">številni </w:t>
      </w:r>
      <w:r w:rsidRPr="0012797E">
        <w:rPr>
          <w:bCs w:val="0"/>
          <w:color w:val="000000" w:themeColor="text1"/>
        </w:rPr>
        <w:t>kulturni dogodki</w:t>
      </w:r>
      <w:r w:rsidR="00606191" w:rsidRPr="0012797E">
        <w:rPr>
          <w:bCs w:val="0"/>
          <w:color w:val="000000" w:themeColor="text1"/>
        </w:rPr>
        <w:t>,</w:t>
      </w:r>
      <w:r w:rsidRPr="0012797E">
        <w:rPr>
          <w:bCs w:val="0"/>
          <w:color w:val="000000" w:themeColor="text1"/>
        </w:rPr>
        <w:t xml:space="preserve"> ki so bili daljši in obsežnejši kot </w:t>
      </w:r>
      <w:r w:rsidR="00606191" w:rsidRPr="0012797E">
        <w:rPr>
          <w:bCs w:val="0"/>
          <w:color w:val="000000" w:themeColor="text1"/>
        </w:rPr>
        <w:t>so bili načr</w:t>
      </w:r>
      <w:r w:rsidR="00987C4B" w:rsidRPr="0012797E">
        <w:rPr>
          <w:bCs w:val="0"/>
          <w:color w:val="000000" w:themeColor="text1"/>
        </w:rPr>
        <w:t>t</w:t>
      </w:r>
      <w:r w:rsidR="00606191" w:rsidRPr="0012797E">
        <w:rPr>
          <w:bCs w:val="0"/>
          <w:color w:val="000000" w:themeColor="text1"/>
        </w:rPr>
        <w:t>ovani</w:t>
      </w:r>
      <w:r w:rsidRPr="0012797E">
        <w:rPr>
          <w:bCs w:val="0"/>
          <w:color w:val="000000" w:themeColor="text1"/>
        </w:rPr>
        <w:t xml:space="preserve"> ter so vključevali dodatno med-organizacijsko in čezmejno sodelovanje, tudi mednarodno</w:t>
      </w:r>
      <w:r w:rsidR="0098127B" w:rsidRPr="0012797E">
        <w:rPr>
          <w:bCs w:val="0"/>
          <w:color w:val="000000" w:themeColor="text1"/>
        </w:rPr>
        <w:t>.</w:t>
      </w:r>
    </w:p>
    <w:p w14:paraId="6DF5BABD" w14:textId="77777777" w:rsidR="00EC6A36" w:rsidRPr="0012797E" w:rsidRDefault="00EC6A36" w:rsidP="0012797E">
      <w:pPr>
        <w:spacing w:after="0" w:line="288" w:lineRule="auto"/>
        <w:rPr>
          <w:bCs w:val="0"/>
          <w:color w:val="000000" w:themeColor="text1"/>
        </w:rPr>
      </w:pPr>
    </w:p>
    <w:p w14:paraId="1D9CE6F8" w14:textId="29EC6BF1" w:rsidR="007105E6" w:rsidRPr="0012797E" w:rsidRDefault="00B35CD3" w:rsidP="0012797E">
      <w:pPr>
        <w:spacing w:after="0" w:line="288" w:lineRule="auto"/>
        <w:ind w:left="703"/>
        <w:rPr>
          <w:bCs w:val="0"/>
          <w:color w:val="000000" w:themeColor="text1"/>
        </w:rPr>
      </w:pPr>
      <w:r w:rsidRPr="0012797E">
        <w:rPr>
          <w:bCs w:val="0"/>
          <w:color w:val="000000" w:themeColor="text1"/>
        </w:rPr>
        <w:t>Glede</w:t>
      </w:r>
      <w:r w:rsidR="000F6552" w:rsidRPr="0012797E">
        <w:rPr>
          <w:bCs w:val="0"/>
          <w:color w:val="000000" w:themeColor="text1"/>
        </w:rPr>
        <w:t xml:space="preserve"> </w:t>
      </w:r>
      <w:r w:rsidRPr="0012797E">
        <w:rPr>
          <w:bCs w:val="0"/>
          <w:color w:val="000000" w:themeColor="text1"/>
        </w:rPr>
        <w:t xml:space="preserve">na pomen projektov </w:t>
      </w:r>
      <w:r w:rsidR="000F6552" w:rsidRPr="0012797E">
        <w:rPr>
          <w:bCs w:val="0"/>
          <w:color w:val="000000" w:themeColor="text1"/>
        </w:rPr>
        <w:t>in dodatno delo na izstopajočih dogodk</w:t>
      </w:r>
      <w:r w:rsidR="00CA05EF" w:rsidRPr="0012797E">
        <w:rPr>
          <w:bCs w:val="0"/>
          <w:color w:val="000000" w:themeColor="text1"/>
        </w:rPr>
        <w:t>ih</w:t>
      </w:r>
      <w:r w:rsidR="000F6552" w:rsidRPr="0012797E">
        <w:rPr>
          <w:bCs w:val="0"/>
          <w:color w:val="000000" w:themeColor="text1"/>
        </w:rPr>
        <w:t xml:space="preserve"> se </w:t>
      </w:r>
      <w:r w:rsidR="00CA05EF" w:rsidRPr="0012797E">
        <w:rPr>
          <w:bCs w:val="0"/>
          <w:color w:val="000000" w:themeColor="text1"/>
        </w:rPr>
        <w:t>to merilo</w:t>
      </w:r>
      <w:r w:rsidR="00321713" w:rsidRPr="0012797E">
        <w:rPr>
          <w:bCs w:val="0"/>
          <w:color w:val="000000" w:themeColor="text1"/>
        </w:rPr>
        <w:t xml:space="preserve"> </w:t>
      </w:r>
      <w:r w:rsidR="000F6552" w:rsidRPr="0012797E">
        <w:rPr>
          <w:bCs w:val="0"/>
          <w:color w:val="000000" w:themeColor="text1"/>
        </w:rPr>
        <w:t xml:space="preserve">ovrednoti z </w:t>
      </w:r>
      <w:r w:rsidR="007105E6" w:rsidRPr="0012797E">
        <w:rPr>
          <w:bCs w:val="0"/>
          <w:color w:val="000000" w:themeColor="text1"/>
        </w:rPr>
        <w:t xml:space="preserve">10 odstotnimi točkami. </w:t>
      </w:r>
    </w:p>
    <w:p w14:paraId="1877DF0C" w14:textId="77777777" w:rsidR="005D6E50" w:rsidRPr="0012797E" w:rsidRDefault="005D6E50" w:rsidP="0012797E">
      <w:pPr>
        <w:spacing w:after="0" w:line="288" w:lineRule="auto"/>
        <w:rPr>
          <w:bCs w:val="0"/>
        </w:rPr>
      </w:pPr>
    </w:p>
    <w:p w14:paraId="2D8E0E92" w14:textId="2E80896B" w:rsidR="00AC0839" w:rsidRPr="0012797E" w:rsidRDefault="00D657A6" w:rsidP="0012797E">
      <w:pPr>
        <w:pStyle w:val="gradivo"/>
        <w:spacing w:before="240" w:after="240" w:line="288" w:lineRule="auto"/>
      </w:pPr>
      <w:r w:rsidRPr="0012797E">
        <w:t>Redna delovna uspešnost</w:t>
      </w:r>
      <w:r w:rsidR="0098127B" w:rsidRPr="0012797E">
        <w:t xml:space="preserve"> </w:t>
      </w:r>
      <w:r w:rsidR="00321713" w:rsidRPr="0012797E">
        <w:t>direktorice</w:t>
      </w:r>
      <w:r w:rsidRPr="0012797E">
        <w:t xml:space="preserve"> je na podlagi meril iz Pravilnika, ob upoštevanju letnega poročila javnega zavoda za leto </w:t>
      </w:r>
      <w:r w:rsidR="006A5700" w:rsidRPr="0012797E">
        <w:t>2025</w:t>
      </w:r>
      <w:r w:rsidRPr="0012797E">
        <w:t xml:space="preserve">, ovrednotena v skupni višini </w:t>
      </w:r>
      <w:r w:rsidR="00BE0302" w:rsidRPr="0012797E">
        <w:t>9</w:t>
      </w:r>
      <w:r w:rsidR="0098127B" w:rsidRPr="0012797E">
        <w:t>5</w:t>
      </w:r>
      <w:r w:rsidRPr="0012797E">
        <w:t xml:space="preserve">%. </w:t>
      </w:r>
    </w:p>
    <w:p w14:paraId="1EEEC413" w14:textId="0F02973D" w:rsidR="00CB0799" w:rsidRPr="0012797E" w:rsidRDefault="00D657A6" w:rsidP="0012797E">
      <w:pPr>
        <w:pStyle w:val="gradivo"/>
        <w:spacing w:after="240" w:line="288" w:lineRule="auto"/>
        <w:rPr>
          <w:color w:val="000000" w:themeColor="text1"/>
        </w:rPr>
      </w:pPr>
      <w:r w:rsidRPr="0012797E">
        <w:t xml:space="preserve">Za </w:t>
      </w:r>
      <w:r w:rsidR="00D34DDF" w:rsidRPr="0012797E">
        <w:t>direktorico</w:t>
      </w:r>
      <w:r w:rsidRPr="0012797E">
        <w:t xml:space="preserve"> je predlagana redna delovna uspešnost v višini 5% sredstev za </w:t>
      </w:r>
      <w:r w:rsidRPr="0012797E">
        <w:rPr>
          <w:color w:val="000000" w:themeColor="text1"/>
        </w:rPr>
        <w:t xml:space="preserve">osnovno plačo direktorja v obdobju od 1. </w:t>
      </w:r>
      <w:r w:rsidR="00BB0E0F" w:rsidRPr="0012797E">
        <w:rPr>
          <w:color w:val="000000" w:themeColor="text1"/>
        </w:rPr>
        <w:t>1. 2025</w:t>
      </w:r>
      <w:r w:rsidRPr="0012797E">
        <w:rPr>
          <w:color w:val="000000" w:themeColor="text1"/>
        </w:rPr>
        <w:t xml:space="preserve"> do 3</w:t>
      </w:r>
      <w:r w:rsidR="008C15FE" w:rsidRPr="0012797E">
        <w:rPr>
          <w:color w:val="000000" w:themeColor="text1"/>
        </w:rPr>
        <w:t>1</w:t>
      </w:r>
      <w:r w:rsidR="00536DAB" w:rsidRPr="0012797E">
        <w:rPr>
          <w:color w:val="000000" w:themeColor="text1"/>
        </w:rPr>
        <w:t>.</w:t>
      </w:r>
      <w:r w:rsidR="00BB0E0F" w:rsidRPr="0012797E">
        <w:rPr>
          <w:color w:val="000000" w:themeColor="text1"/>
        </w:rPr>
        <w:t xml:space="preserve"> </w:t>
      </w:r>
      <w:r w:rsidR="008C15FE" w:rsidRPr="0012797E">
        <w:rPr>
          <w:color w:val="000000" w:themeColor="text1"/>
        </w:rPr>
        <w:t>12</w:t>
      </w:r>
      <w:r w:rsidR="00BB0E0F" w:rsidRPr="0012797E">
        <w:rPr>
          <w:color w:val="000000" w:themeColor="text1"/>
        </w:rPr>
        <w:t>.</w:t>
      </w:r>
      <w:r w:rsidRPr="0012797E">
        <w:rPr>
          <w:color w:val="000000" w:themeColor="text1"/>
        </w:rPr>
        <w:t xml:space="preserve"> 20</w:t>
      </w:r>
      <w:r w:rsidR="006A5700" w:rsidRPr="0012797E">
        <w:rPr>
          <w:color w:val="000000" w:themeColor="text1"/>
        </w:rPr>
        <w:t>25</w:t>
      </w:r>
      <w:r w:rsidRPr="0012797E">
        <w:rPr>
          <w:color w:val="000000" w:themeColor="text1"/>
        </w:rPr>
        <w:t xml:space="preserve"> v višini </w:t>
      </w:r>
      <w:r w:rsidR="008C15FE" w:rsidRPr="0012797E">
        <w:rPr>
          <w:color w:val="000000" w:themeColor="text1"/>
        </w:rPr>
        <w:t>2.447</w:t>
      </w:r>
      <w:r w:rsidR="004F071B" w:rsidRPr="0012797E">
        <w:rPr>
          <w:color w:val="000000" w:themeColor="text1"/>
        </w:rPr>
        <w:t>,74</w:t>
      </w:r>
      <w:r w:rsidRPr="0012797E">
        <w:rPr>
          <w:color w:val="000000" w:themeColor="text1"/>
        </w:rPr>
        <w:t xml:space="preserve"> EUR bruto. </w:t>
      </w:r>
    </w:p>
    <w:p w14:paraId="0DA0794A" w14:textId="018C8FA4" w:rsidR="00CB0799" w:rsidRPr="0012797E" w:rsidRDefault="00CB0799" w:rsidP="0012797E">
      <w:pPr>
        <w:pStyle w:val="gradivo"/>
        <w:spacing w:after="240" w:line="288" w:lineRule="auto"/>
        <w:rPr>
          <w:color w:val="000000" w:themeColor="text1"/>
        </w:rPr>
      </w:pPr>
      <w:r w:rsidRPr="0012797E">
        <w:rPr>
          <w:color w:val="000000" w:themeColor="text1"/>
        </w:rPr>
        <w:t>Izračun:</w:t>
      </w:r>
    </w:p>
    <w:p w14:paraId="11F5F3D8" w14:textId="77777777" w:rsidR="004F071B" w:rsidRPr="0012797E" w:rsidRDefault="004F071B" w:rsidP="0012797E">
      <w:pPr>
        <w:pStyle w:val="gradivo"/>
        <w:spacing w:after="240" w:line="288" w:lineRule="auto"/>
        <w:rPr>
          <w:color w:val="000000" w:themeColor="text1"/>
        </w:rPr>
      </w:pPr>
      <w:r w:rsidRPr="0012797E">
        <w:rPr>
          <w:color w:val="000000" w:themeColor="text1"/>
        </w:rPr>
        <w:t>4.054,56 EUR x 9 mesecev = 36.491,04 EUR (januar – september 2025)</w:t>
      </w:r>
    </w:p>
    <w:p w14:paraId="23987246" w14:textId="77777777" w:rsidR="004F071B" w:rsidRPr="0012797E" w:rsidRDefault="004F071B" w:rsidP="0012797E">
      <w:pPr>
        <w:pStyle w:val="gradivo"/>
        <w:spacing w:after="240" w:line="288" w:lineRule="auto"/>
        <w:rPr>
          <w:color w:val="000000" w:themeColor="text1"/>
        </w:rPr>
      </w:pPr>
      <w:r w:rsidRPr="0012797E">
        <w:rPr>
          <w:color w:val="000000" w:themeColor="text1"/>
        </w:rPr>
        <w:t>4.154,56 EUR x 3 mesecev = 12.463,68 EUR (oktober – december 2025)</w:t>
      </w:r>
    </w:p>
    <w:p w14:paraId="2A64A1E0" w14:textId="77777777" w:rsidR="004F071B" w:rsidRPr="0012797E" w:rsidRDefault="004F071B" w:rsidP="0012797E">
      <w:pPr>
        <w:pStyle w:val="gradivo"/>
        <w:spacing w:after="240" w:line="288" w:lineRule="auto"/>
        <w:rPr>
          <w:color w:val="000000" w:themeColor="text1"/>
        </w:rPr>
      </w:pPr>
      <w:r w:rsidRPr="0012797E">
        <w:rPr>
          <w:color w:val="000000" w:themeColor="text1"/>
        </w:rPr>
        <w:t>Skupaj = 48.954,72 EUR</w:t>
      </w:r>
    </w:p>
    <w:p w14:paraId="6AF6694B" w14:textId="0AFD0F16" w:rsidR="007D7DC2" w:rsidRPr="0012797E" w:rsidRDefault="004F071B" w:rsidP="0012797E">
      <w:pPr>
        <w:pStyle w:val="gradivo"/>
        <w:spacing w:after="240" w:line="288" w:lineRule="auto"/>
        <w:rPr>
          <w:color w:val="000000" w:themeColor="text1"/>
        </w:rPr>
      </w:pPr>
      <w:r w:rsidRPr="0012797E">
        <w:rPr>
          <w:color w:val="000000" w:themeColor="text1"/>
        </w:rPr>
        <w:t>48.954,72 EUR x 5 % = 2.447,74 EUR bruto</w:t>
      </w:r>
    </w:p>
    <w:p w14:paraId="4D44B15E" w14:textId="6FA28AB4" w:rsidR="004B3237" w:rsidRPr="0012797E" w:rsidRDefault="00D657A6" w:rsidP="0012797E">
      <w:pPr>
        <w:pStyle w:val="gradivo"/>
        <w:spacing w:after="240" w:line="288" w:lineRule="auto"/>
      </w:pPr>
      <w:r w:rsidRPr="0012797E">
        <w:rPr>
          <w:color w:val="000000" w:themeColor="text1"/>
        </w:rPr>
        <w:t xml:space="preserve">Sprejem predlaganega sklepa ne pomeni dodatnih finančnih </w:t>
      </w:r>
      <w:r w:rsidRPr="0012797E">
        <w:t>obveznosti za proračun Mestne občine Nova Gorica</w:t>
      </w:r>
      <w:r w:rsidR="0024547C" w:rsidRPr="0012797E">
        <w:t xml:space="preserve"> saj so</w:t>
      </w:r>
      <w:r w:rsidRPr="0012797E">
        <w:t xml:space="preserve"> sredstva </w:t>
      </w:r>
      <w:r w:rsidR="005B18E1" w:rsidRPr="0012797E">
        <w:t xml:space="preserve">so </w:t>
      </w:r>
      <w:r w:rsidRPr="0012797E">
        <w:t>vključena v Program del</w:t>
      </w:r>
      <w:r w:rsidR="009202FC" w:rsidRPr="0012797E">
        <w:t>a</w:t>
      </w:r>
      <w:r w:rsidRPr="0012797E">
        <w:t xml:space="preserve"> </w:t>
      </w:r>
      <w:r w:rsidRPr="0012797E">
        <w:lastRenderedPageBreak/>
        <w:t xml:space="preserve">in </w:t>
      </w:r>
      <w:r w:rsidR="00346DE4" w:rsidRPr="0012797E">
        <w:t>F</w:t>
      </w:r>
      <w:r w:rsidRPr="0012797E">
        <w:t xml:space="preserve">inančni načrt </w:t>
      </w:r>
      <w:r w:rsidR="00346DE4" w:rsidRPr="0012797E">
        <w:t xml:space="preserve">in program dela </w:t>
      </w:r>
      <w:r w:rsidR="004F071B" w:rsidRPr="0012797E">
        <w:t>javnega zav</w:t>
      </w:r>
      <w:r w:rsidR="004C4A8A" w:rsidRPr="0012797E">
        <w:t>o</w:t>
      </w:r>
      <w:r w:rsidR="004F071B" w:rsidRPr="0012797E">
        <w:t>da GO! 2025 – Evropska prestolnica kulture – Nova Gorica</w:t>
      </w:r>
      <w:r w:rsidR="00150931" w:rsidRPr="0012797E">
        <w:t xml:space="preserve"> </w:t>
      </w:r>
      <w:r w:rsidRPr="0012797E">
        <w:t>za leto 20</w:t>
      </w:r>
      <w:r w:rsidR="00920B34" w:rsidRPr="0012797E">
        <w:t>26</w:t>
      </w:r>
      <w:r w:rsidRPr="0012797E">
        <w:t>.</w:t>
      </w:r>
    </w:p>
    <w:p w14:paraId="5C1D0EFF" w14:textId="2145B8E0" w:rsidR="00E30199" w:rsidRPr="0012797E" w:rsidRDefault="00346DE4" w:rsidP="0012797E">
      <w:pPr>
        <w:pStyle w:val="Podpisoseba"/>
        <w:spacing w:before="0" w:line="288" w:lineRule="auto"/>
        <w:ind w:left="709"/>
        <w:rPr>
          <w:b/>
          <w:color w:val="auto"/>
        </w:rPr>
      </w:pPr>
      <w:r w:rsidRPr="0012797E">
        <w:rPr>
          <w:b/>
          <w:color w:val="auto"/>
        </w:rPr>
        <w:t>Mestnemu svetu Mestne občine Nova Gorica predlagamo, da obravnava predloženo gradivo in sprejme predlagani sklep.</w:t>
      </w:r>
    </w:p>
    <w:p w14:paraId="17465817" w14:textId="68CB58DD" w:rsidR="00A03315" w:rsidRPr="0012797E" w:rsidRDefault="00A03315" w:rsidP="00AD370A">
      <w:pPr>
        <w:pStyle w:val="Podpisoseba"/>
        <w:spacing w:before="0" w:after="0" w:line="288" w:lineRule="auto"/>
        <w:ind w:left="709"/>
        <w:rPr>
          <w:bCs w:val="0"/>
        </w:rPr>
      </w:pPr>
      <w:r w:rsidRPr="0012797E">
        <w:rPr>
          <w:bCs w:val="0"/>
        </w:rPr>
        <w:t>Pripravil</w:t>
      </w:r>
      <w:r w:rsidR="00346DE4" w:rsidRPr="0012797E">
        <w:rPr>
          <w:bCs w:val="0"/>
        </w:rPr>
        <w: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12797E" w14:paraId="5EDE9153" w14:textId="77777777" w:rsidTr="00C818D4">
        <w:tc>
          <w:tcPr>
            <w:tcW w:w="4956" w:type="dxa"/>
          </w:tcPr>
          <w:p w14:paraId="00AE3031" w14:textId="77777777" w:rsidR="00A03315" w:rsidRPr="0012797E" w:rsidRDefault="00A03315" w:rsidP="0067333B">
            <w:pPr>
              <w:pStyle w:val="Podpisoseba"/>
              <w:spacing w:before="0" w:after="0" w:line="288" w:lineRule="auto"/>
              <w:rPr>
                <w:b/>
                <w:color w:val="FFFFFF" w:themeColor="background1"/>
              </w:rPr>
            </w:pPr>
            <w:r w:rsidRPr="0012797E">
              <w:rPr>
                <w:b/>
                <w:color w:val="FFFFFF" w:themeColor="background1"/>
              </w:rPr>
              <w:t>Levi podpisnik</w:t>
            </w:r>
          </w:p>
        </w:tc>
        <w:tc>
          <w:tcPr>
            <w:tcW w:w="3549" w:type="dxa"/>
          </w:tcPr>
          <w:p w14:paraId="357B865E" w14:textId="77777777" w:rsidR="00A03315" w:rsidRPr="0012797E" w:rsidRDefault="00A03315" w:rsidP="0067333B">
            <w:pPr>
              <w:pStyle w:val="Podpisoseba"/>
              <w:spacing w:before="0" w:after="0" w:line="288" w:lineRule="auto"/>
              <w:rPr>
                <w:b/>
                <w:color w:val="FFFFFF" w:themeColor="background1"/>
              </w:rPr>
            </w:pPr>
            <w:r w:rsidRPr="0012797E">
              <w:rPr>
                <w:b/>
                <w:color w:val="FFFFFF" w:themeColor="background1"/>
              </w:rPr>
              <w:t>Desnik podpisnik</w:t>
            </w:r>
          </w:p>
        </w:tc>
      </w:tr>
      <w:tr w:rsidR="00896E13" w:rsidRPr="0012797E" w14:paraId="276DE439" w14:textId="77777777" w:rsidTr="00C818D4">
        <w:tc>
          <w:tcPr>
            <w:tcW w:w="4956" w:type="dxa"/>
          </w:tcPr>
          <w:p w14:paraId="01B9F1B4" w14:textId="4290F77F" w:rsidR="00896E13" w:rsidRPr="0012797E" w:rsidRDefault="00346DE4" w:rsidP="00896E13">
            <w:pPr>
              <w:pStyle w:val="Podpisoseba"/>
              <w:spacing w:before="0" w:after="0" w:line="288" w:lineRule="auto"/>
              <w:rPr>
                <w:b/>
              </w:rPr>
            </w:pPr>
            <w:r w:rsidRPr="0012797E">
              <w:rPr>
                <w:b/>
              </w:rPr>
              <w:t>Majda Petejan</w:t>
            </w:r>
          </w:p>
          <w:p w14:paraId="146DE288" w14:textId="4E73A584" w:rsidR="00896E13" w:rsidRPr="0012797E" w:rsidRDefault="00896E13" w:rsidP="00896E13">
            <w:pPr>
              <w:pStyle w:val="Podpisoseba"/>
              <w:spacing w:before="0" w:after="0" w:line="288" w:lineRule="auto"/>
              <w:rPr>
                <w:b/>
                <w:color w:val="FFFFFF" w:themeColor="background1"/>
              </w:rPr>
            </w:pPr>
            <w:r w:rsidRPr="0012797E">
              <w:rPr>
                <w:bCs w:val="0"/>
              </w:rPr>
              <w:t>višja svetov</w:t>
            </w:r>
            <w:r w:rsidR="00346DE4" w:rsidRPr="0012797E">
              <w:rPr>
                <w:bCs w:val="0"/>
              </w:rPr>
              <w:t>a</w:t>
            </w:r>
            <w:r w:rsidRPr="0012797E">
              <w:rPr>
                <w:bCs w:val="0"/>
              </w:rPr>
              <w:t>lka za družbene dejavnosti</w:t>
            </w:r>
          </w:p>
        </w:tc>
        <w:tc>
          <w:tcPr>
            <w:tcW w:w="3549" w:type="dxa"/>
          </w:tcPr>
          <w:p w14:paraId="4CAECF76" w14:textId="3CD3C292" w:rsidR="00896E13" w:rsidRPr="0012797E" w:rsidRDefault="00896E13" w:rsidP="00896E13">
            <w:pPr>
              <w:pStyle w:val="Podpisoseba"/>
              <w:spacing w:before="0" w:after="0" w:line="288" w:lineRule="auto"/>
              <w:rPr>
                <w:b/>
              </w:rPr>
            </w:pPr>
            <w:r w:rsidRPr="0012797E">
              <w:rPr>
                <w:b/>
              </w:rPr>
              <w:t>Marinka Saksida</w:t>
            </w:r>
          </w:p>
          <w:p w14:paraId="56982FC8" w14:textId="0BDEAC27" w:rsidR="00896E13" w:rsidRPr="0012797E" w:rsidRDefault="00404B35" w:rsidP="00896E13">
            <w:pPr>
              <w:pStyle w:val="Podpisoseba"/>
              <w:spacing w:before="0" w:after="0" w:line="288" w:lineRule="auto"/>
              <w:rPr>
                <w:b/>
                <w:color w:val="FFFFFF" w:themeColor="background1"/>
              </w:rPr>
            </w:pPr>
            <w:r w:rsidRPr="0012797E">
              <w:rPr>
                <w:bCs w:val="0"/>
              </w:rPr>
              <w:t>v</w:t>
            </w:r>
            <w:r w:rsidR="00896E13" w:rsidRPr="0012797E">
              <w:rPr>
                <w:bCs w:val="0"/>
              </w:rPr>
              <w:t xml:space="preserve">odja </w:t>
            </w:r>
            <w:r w:rsidRPr="0012797E">
              <w:rPr>
                <w:bCs w:val="0"/>
              </w:rPr>
              <w:t>O</w:t>
            </w:r>
            <w:r w:rsidR="00896E13" w:rsidRPr="0012797E">
              <w:rPr>
                <w:bCs w:val="0"/>
              </w:rPr>
              <w:t>ddelka za dru</w:t>
            </w:r>
            <w:r w:rsidR="008D632B" w:rsidRPr="0012797E">
              <w:rPr>
                <w:bCs w:val="0"/>
              </w:rPr>
              <w:t>žbene dejavnosti</w:t>
            </w:r>
          </w:p>
        </w:tc>
      </w:tr>
    </w:tbl>
    <w:p w14:paraId="59250243" w14:textId="33017D1F" w:rsidR="000634A1" w:rsidRPr="0012797E" w:rsidRDefault="000634A1" w:rsidP="002554A6">
      <w:pPr>
        <w:pStyle w:val="gradivo"/>
        <w:spacing w:line="288" w:lineRule="auto"/>
        <w:ind w:left="0"/>
      </w:pPr>
    </w:p>
    <w:p w14:paraId="1A18E478" w14:textId="77777777" w:rsidR="00872909" w:rsidRPr="0012797E" w:rsidRDefault="00872909" w:rsidP="002554A6">
      <w:pPr>
        <w:pStyle w:val="gradivo"/>
        <w:spacing w:line="288" w:lineRule="auto"/>
        <w:ind w:left="0"/>
      </w:pPr>
    </w:p>
    <w:p w14:paraId="7CBD9ED4" w14:textId="12BD904D" w:rsidR="00872909" w:rsidRPr="00C839C9" w:rsidRDefault="00872909" w:rsidP="002554A6">
      <w:pPr>
        <w:pStyle w:val="gradivo"/>
        <w:spacing w:line="288" w:lineRule="auto"/>
        <w:ind w:left="0"/>
      </w:pPr>
      <w:r w:rsidRPr="0012797E">
        <w:t xml:space="preserve">           Priloga: </w:t>
      </w:r>
      <w:r w:rsidR="000711FA" w:rsidRPr="0012797E">
        <w:t>U</w:t>
      </w:r>
      <w:r w:rsidRPr="0012797E">
        <w:t>temeljitev meril</w:t>
      </w:r>
    </w:p>
    <w:sectPr w:rsidR="00872909"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368E" w14:textId="77777777" w:rsidR="0057153F" w:rsidRPr="0012797E" w:rsidRDefault="0057153F" w:rsidP="00352A82">
      <w:r w:rsidRPr="0012797E">
        <w:separator/>
      </w:r>
    </w:p>
  </w:endnote>
  <w:endnote w:type="continuationSeparator" w:id="0">
    <w:p w14:paraId="6BD6E79C" w14:textId="77777777" w:rsidR="0057153F" w:rsidRPr="0012797E" w:rsidRDefault="0057153F" w:rsidP="00352A82">
      <w:r w:rsidRPr="00127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12797E"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12797E" w:rsidRDefault="00E217AD" w:rsidP="00352A82">
    <w:pPr>
      <w:pStyle w:val="MONGnoga"/>
    </w:pPr>
    <w:r w:rsidRPr="0012797E">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12797E" w:rsidRDefault="00E217AD" w:rsidP="00352A82">
    <w:pPr>
      <w:pStyle w:val="MONGnoga"/>
    </w:pPr>
    <w:r w:rsidRPr="0012797E">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12797E">
      <w:t xml:space="preserve">E: </w:t>
    </w:r>
    <w:r w:rsidRPr="0012797E">
      <w:rPr>
        <w:u w:val="single"/>
      </w:rPr>
      <w:t>mestna.obcina@nova-gorica.si</w:t>
    </w:r>
    <w:r w:rsidR="00366240" w:rsidRPr="0012797E">
      <w:t>,</w:t>
    </w:r>
    <w:r w:rsidR="002B08B0" w:rsidRPr="0012797E">
      <w:t xml:space="preserve"> T: +386 (0)5 335 01 </w:t>
    </w:r>
    <w:r w:rsidRPr="0012797E">
      <w:t>1</w:t>
    </w:r>
    <w:r w:rsidR="002B08B0" w:rsidRPr="0012797E">
      <w:t>1,</w:t>
    </w:r>
    <w:r w:rsidR="00192B9A" w:rsidRPr="0012797E">
      <w:t xml:space="preserve"> </w:t>
    </w:r>
    <w:r w:rsidR="00192B9A" w:rsidRPr="0012797E">
      <w:rPr>
        <w:u w:val="single"/>
      </w:rPr>
      <w:t>www.nova-gorica.si</w:t>
    </w:r>
  </w:p>
  <w:p w14:paraId="272550D5" w14:textId="268C651F" w:rsidR="00734A18" w:rsidRPr="0012797E" w:rsidRDefault="00734A18" w:rsidP="00352A82">
    <w:pPr>
      <w:pStyle w:val="MONGnoga"/>
    </w:pPr>
    <w:r w:rsidRPr="0012797E">
      <w:t>ID za DDV: SI53055730, matična številka: 5881773</w:t>
    </w:r>
    <w:r w:rsidR="00CC3F17" w:rsidRPr="0012797E">
      <w:tab/>
    </w:r>
  </w:p>
  <w:p w14:paraId="3D03C244" w14:textId="44ECADA2" w:rsidR="00083CA2" w:rsidRPr="0012797E"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1B41" w14:textId="77777777" w:rsidR="0057153F" w:rsidRPr="0012797E" w:rsidRDefault="0057153F" w:rsidP="00352A82">
      <w:r w:rsidRPr="0012797E">
        <w:separator/>
      </w:r>
    </w:p>
  </w:footnote>
  <w:footnote w:type="continuationSeparator" w:id="0">
    <w:p w14:paraId="1E2D599C" w14:textId="77777777" w:rsidR="0057153F" w:rsidRPr="0012797E" w:rsidRDefault="0057153F" w:rsidP="00352A82">
      <w:r w:rsidRPr="00127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12797E"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12797E" w:rsidRDefault="00E217AD" w:rsidP="00352A82">
    <w:r w:rsidRPr="0012797E">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12797E" w:rsidRDefault="001C491B" w:rsidP="00352A82">
    <w:r w:rsidRPr="0012797E">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5681" w:hanging="360"/>
      </w:pPr>
      <w:rPr>
        <w:rFonts w:ascii="Symbol" w:hAnsi="Symbol" w:hint="default"/>
      </w:rPr>
    </w:lvl>
    <w:lvl w:ilvl="1" w:tplc="04240003" w:tentative="1">
      <w:start w:val="1"/>
      <w:numFmt w:val="bullet"/>
      <w:lvlText w:val="o"/>
      <w:lvlJc w:val="left"/>
      <w:pPr>
        <w:ind w:left="6401" w:hanging="360"/>
      </w:pPr>
      <w:rPr>
        <w:rFonts w:ascii="Courier New" w:hAnsi="Courier New" w:cs="Courier New" w:hint="default"/>
      </w:rPr>
    </w:lvl>
    <w:lvl w:ilvl="2" w:tplc="04240005" w:tentative="1">
      <w:start w:val="1"/>
      <w:numFmt w:val="bullet"/>
      <w:lvlText w:val=""/>
      <w:lvlJc w:val="left"/>
      <w:pPr>
        <w:ind w:left="7121" w:hanging="360"/>
      </w:pPr>
      <w:rPr>
        <w:rFonts w:ascii="Wingdings" w:hAnsi="Wingdings" w:hint="default"/>
      </w:rPr>
    </w:lvl>
    <w:lvl w:ilvl="3" w:tplc="04240001" w:tentative="1">
      <w:start w:val="1"/>
      <w:numFmt w:val="bullet"/>
      <w:lvlText w:val=""/>
      <w:lvlJc w:val="left"/>
      <w:pPr>
        <w:ind w:left="7841" w:hanging="360"/>
      </w:pPr>
      <w:rPr>
        <w:rFonts w:ascii="Symbol" w:hAnsi="Symbol" w:hint="default"/>
      </w:rPr>
    </w:lvl>
    <w:lvl w:ilvl="4" w:tplc="04240003" w:tentative="1">
      <w:start w:val="1"/>
      <w:numFmt w:val="bullet"/>
      <w:lvlText w:val="o"/>
      <w:lvlJc w:val="left"/>
      <w:pPr>
        <w:ind w:left="8561" w:hanging="360"/>
      </w:pPr>
      <w:rPr>
        <w:rFonts w:ascii="Courier New" w:hAnsi="Courier New" w:cs="Courier New" w:hint="default"/>
      </w:rPr>
    </w:lvl>
    <w:lvl w:ilvl="5" w:tplc="04240005" w:tentative="1">
      <w:start w:val="1"/>
      <w:numFmt w:val="bullet"/>
      <w:lvlText w:val=""/>
      <w:lvlJc w:val="left"/>
      <w:pPr>
        <w:ind w:left="9281" w:hanging="360"/>
      </w:pPr>
      <w:rPr>
        <w:rFonts w:ascii="Wingdings" w:hAnsi="Wingdings" w:hint="default"/>
      </w:rPr>
    </w:lvl>
    <w:lvl w:ilvl="6" w:tplc="04240001" w:tentative="1">
      <w:start w:val="1"/>
      <w:numFmt w:val="bullet"/>
      <w:lvlText w:val=""/>
      <w:lvlJc w:val="left"/>
      <w:pPr>
        <w:ind w:left="10001" w:hanging="360"/>
      </w:pPr>
      <w:rPr>
        <w:rFonts w:ascii="Symbol" w:hAnsi="Symbol" w:hint="default"/>
      </w:rPr>
    </w:lvl>
    <w:lvl w:ilvl="7" w:tplc="04240003" w:tentative="1">
      <w:start w:val="1"/>
      <w:numFmt w:val="bullet"/>
      <w:lvlText w:val="o"/>
      <w:lvlJc w:val="left"/>
      <w:pPr>
        <w:ind w:left="10721" w:hanging="360"/>
      </w:pPr>
      <w:rPr>
        <w:rFonts w:ascii="Courier New" w:hAnsi="Courier New" w:cs="Courier New" w:hint="default"/>
      </w:rPr>
    </w:lvl>
    <w:lvl w:ilvl="8" w:tplc="04240005" w:tentative="1">
      <w:start w:val="1"/>
      <w:numFmt w:val="bullet"/>
      <w:lvlText w:val=""/>
      <w:lvlJc w:val="left"/>
      <w:pPr>
        <w:ind w:left="11441"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787A35"/>
    <w:multiLevelType w:val="hybridMultilevel"/>
    <w:tmpl w:val="1986B39E"/>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4"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1"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2"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6"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7"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E76E59"/>
    <w:multiLevelType w:val="hybridMultilevel"/>
    <w:tmpl w:val="2ADE10E0"/>
    <w:lvl w:ilvl="0" w:tplc="FA9CD518">
      <w:start w:val="7"/>
      <w:numFmt w:val="bullet"/>
      <w:lvlText w:val="-"/>
      <w:lvlJc w:val="left"/>
      <w:pPr>
        <w:ind w:left="1063" w:hanging="360"/>
      </w:pPr>
      <w:rPr>
        <w:rFonts w:ascii="Calibri" w:eastAsia="Times New Roman" w:hAnsi="Calibri" w:cs="Calibri" w:hint="default"/>
        <w:sz w:val="24"/>
      </w:rPr>
    </w:lvl>
    <w:lvl w:ilvl="1" w:tplc="04240003" w:tentative="1">
      <w:start w:val="1"/>
      <w:numFmt w:val="bullet"/>
      <w:lvlText w:val="o"/>
      <w:lvlJc w:val="left"/>
      <w:pPr>
        <w:ind w:left="1783" w:hanging="360"/>
      </w:pPr>
      <w:rPr>
        <w:rFonts w:ascii="Courier New" w:hAnsi="Courier New" w:cs="Courier New" w:hint="default"/>
      </w:rPr>
    </w:lvl>
    <w:lvl w:ilvl="2" w:tplc="04240005" w:tentative="1">
      <w:start w:val="1"/>
      <w:numFmt w:val="bullet"/>
      <w:lvlText w:val=""/>
      <w:lvlJc w:val="left"/>
      <w:pPr>
        <w:ind w:left="2503" w:hanging="360"/>
      </w:pPr>
      <w:rPr>
        <w:rFonts w:ascii="Wingdings" w:hAnsi="Wingdings" w:hint="default"/>
      </w:rPr>
    </w:lvl>
    <w:lvl w:ilvl="3" w:tplc="04240001" w:tentative="1">
      <w:start w:val="1"/>
      <w:numFmt w:val="bullet"/>
      <w:lvlText w:val=""/>
      <w:lvlJc w:val="left"/>
      <w:pPr>
        <w:ind w:left="3223" w:hanging="360"/>
      </w:pPr>
      <w:rPr>
        <w:rFonts w:ascii="Symbol" w:hAnsi="Symbol" w:hint="default"/>
      </w:rPr>
    </w:lvl>
    <w:lvl w:ilvl="4" w:tplc="04240003" w:tentative="1">
      <w:start w:val="1"/>
      <w:numFmt w:val="bullet"/>
      <w:lvlText w:val="o"/>
      <w:lvlJc w:val="left"/>
      <w:pPr>
        <w:ind w:left="3943" w:hanging="360"/>
      </w:pPr>
      <w:rPr>
        <w:rFonts w:ascii="Courier New" w:hAnsi="Courier New" w:cs="Courier New" w:hint="default"/>
      </w:rPr>
    </w:lvl>
    <w:lvl w:ilvl="5" w:tplc="04240005" w:tentative="1">
      <w:start w:val="1"/>
      <w:numFmt w:val="bullet"/>
      <w:lvlText w:val=""/>
      <w:lvlJc w:val="left"/>
      <w:pPr>
        <w:ind w:left="4663" w:hanging="360"/>
      </w:pPr>
      <w:rPr>
        <w:rFonts w:ascii="Wingdings" w:hAnsi="Wingdings" w:hint="default"/>
      </w:rPr>
    </w:lvl>
    <w:lvl w:ilvl="6" w:tplc="04240001" w:tentative="1">
      <w:start w:val="1"/>
      <w:numFmt w:val="bullet"/>
      <w:lvlText w:val=""/>
      <w:lvlJc w:val="left"/>
      <w:pPr>
        <w:ind w:left="5383" w:hanging="360"/>
      </w:pPr>
      <w:rPr>
        <w:rFonts w:ascii="Symbol" w:hAnsi="Symbol" w:hint="default"/>
      </w:rPr>
    </w:lvl>
    <w:lvl w:ilvl="7" w:tplc="04240003" w:tentative="1">
      <w:start w:val="1"/>
      <w:numFmt w:val="bullet"/>
      <w:lvlText w:val="o"/>
      <w:lvlJc w:val="left"/>
      <w:pPr>
        <w:ind w:left="6103" w:hanging="360"/>
      </w:pPr>
      <w:rPr>
        <w:rFonts w:ascii="Courier New" w:hAnsi="Courier New" w:cs="Courier New" w:hint="default"/>
      </w:rPr>
    </w:lvl>
    <w:lvl w:ilvl="8" w:tplc="04240005" w:tentative="1">
      <w:start w:val="1"/>
      <w:numFmt w:val="bullet"/>
      <w:lvlText w:val=""/>
      <w:lvlJc w:val="left"/>
      <w:pPr>
        <w:ind w:left="6823" w:hanging="360"/>
      </w:pPr>
      <w:rPr>
        <w:rFonts w:ascii="Wingdings" w:hAnsi="Wingdings" w:hint="default"/>
      </w:rPr>
    </w:lvl>
  </w:abstractNum>
  <w:abstractNum w:abstractNumId="1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4AAA1A27"/>
    <w:multiLevelType w:val="hybridMultilevel"/>
    <w:tmpl w:val="E88E4C4C"/>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3"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4" w15:restartNumberingAfterBreak="0">
    <w:nsid w:val="4E880039"/>
    <w:multiLevelType w:val="multilevel"/>
    <w:tmpl w:val="640EE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7"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8"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9"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0"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1"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5"/>
  </w:num>
  <w:num w:numId="2" w16cid:durableId="1164929981">
    <w:abstractNumId w:val="32"/>
  </w:num>
  <w:num w:numId="3" w16cid:durableId="1314213452">
    <w:abstractNumId w:val="0"/>
  </w:num>
  <w:num w:numId="4" w16cid:durableId="629288842">
    <w:abstractNumId w:val="13"/>
  </w:num>
  <w:num w:numId="5" w16cid:durableId="738939049">
    <w:abstractNumId w:val="31"/>
  </w:num>
  <w:num w:numId="6" w16cid:durableId="1657220828">
    <w:abstractNumId w:val="36"/>
  </w:num>
  <w:num w:numId="7" w16cid:durableId="1256210005">
    <w:abstractNumId w:val="6"/>
  </w:num>
  <w:num w:numId="8" w16cid:durableId="620721476">
    <w:abstractNumId w:val="7"/>
  </w:num>
  <w:num w:numId="9" w16cid:durableId="1223718357">
    <w:abstractNumId w:val="19"/>
  </w:num>
  <w:num w:numId="10" w16cid:durableId="767116328">
    <w:abstractNumId w:val="30"/>
  </w:num>
  <w:num w:numId="11" w16cid:durableId="226842814">
    <w:abstractNumId w:val="42"/>
  </w:num>
  <w:num w:numId="12" w16cid:durableId="61607787">
    <w:abstractNumId w:val="8"/>
  </w:num>
  <w:num w:numId="13" w16cid:durableId="1549103988">
    <w:abstractNumId w:val="2"/>
  </w:num>
  <w:num w:numId="14" w16cid:durableId="1064452994">
    <w:abstractNumId w:val="15"/>
  </w:num>
  <w:num w:numId="15" w16cid:durableId="832991807">
    <w:abstractNumId w:val="27"/>
  </w:num>
  <w:num w:numId="16" w16cid:durableId="1768885214">
    <w:abstractNumId w:val="5"/>
  </w:num>
  <w:num w:numId="17" w16cid:durableId="1796944186">
    <w:abstractNumId w:val="29"/>
  </w:num>
  <w:num w:numId="18" w16cid:durableId="1084255915">
    <w:abstractNumId w:val="37"/>
  </w:num>
  <w:num w:numId="19" w16cid:durableId="310984553">
    <w:abstractNumId w:val="39"/>
  </w:num>
  <w:num w:numId="20" w16cid:durableId="1251548933">
    <w:abstractNumId w:val="40"/>
  </w:num>
  <w:num w:numId="21" w16cid:durableId="2833123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10"/>
  </w:num>
  <w:num w:numId="23" w16cid:durableId="643631576">
    <w:abstractNumId w:val="41"/>
  </w:num>
  <w:num w:numId="24" w16cid:durableId="1231229036">
    <w:abstractNumId w:val="38"/>
  </w:num>
  <w:num w:numId="25" w16cid:durableId="298456368">
    <w:abstractNumId w:val="21"/>
  </w:num>
  <w:num w:numId="26" w16cid:durableId="693924750">
    <w:abstractNumId w:val="23"/>
  </w:num>
  <w:num w:numId="27" w16cid:durableId="498468364">
    <w:abstractNumId w:val="26"/>
  </w:num>
  <w:num w:numId="28" w16cid:durableId="988244880">
    <w:abstractNumId w:val="11"/>
  </w:num>
  <w:num w:numId="29" w16cid:durableId="1879317757">
    <w:abstractNumId w:val="17"/>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9"/>
  </w:num>
  <w:num w:numId="33" w16cid:durableId="1764062018">
    <w:abstractNumId w:val="4"/>
  </w:num>
  <w:num w:numId="34" w16cid:durableId="988243515">
    <w:abstractNumId w:val="16"/>
  </w:num>
  <w:num w:numId="35" w16cid:durableId="752240874">
    <w:abstractNumId w:val="12"/>
  </w:num>
  <w:num w:numId="36" w16cid:durableId="1796941653">
    <w:abstractNumId w:val="33"/>
  </w:num>
  <w:num w:numId="37" w16cid:durableId="1954705750">
    <w:abstractNumId w:val="35"/>
  </w:num>
  <w:num w:numId="38" w16cid:durableId="2041933827">
    <w:abstractNumId w:val="14"/>
  </w:num>
  <w:num w:numId="39" w16cid:durableId="440104217">
    <w:abstractNumId w:val="28"/>
  </w:num>
  <w:num w:numId="40" w16cid:durableId="550845694">
    <w:abstractNumId w:val="34"/>
  </w:num>
  <w:num w:numId="41" w16cid:durableId="1751002471">
    <w:abstractNumId w:val="18"/>
  </w:num>
  <w:num w:numId="42" w16cid:durableId="98332244">
    <w:abstractNumId w:val="22"/>
  </w:num>
  <w:num w:numId="43" w16cid:durableId="1562592777">
    <w:abstractNumId w:val="24"/>
  </w:num>
  <w:num w:numId="44" w16cid:durableId="27101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1C4E"/>
    <w:rsid w:val="00013E0A"/>
    <w:rsid w:val="00017524"/>
    <w:rsid w:val="000175BE"/>
    <w:rsid w:val="00020171"/>
    <w:rsid w:val="000213F7"/>
    <w:rsid w:val="00023F6C"/>
    <w:rsid w:val="000276AB"/>
    <w:rsid w:val="00040980"/>
    <w:rsid w:val="00045741"/>
    <w:rsid w:val="000462BF"/>
    <w:rsid w:val="0004654B"/>
    <w:rsid w:val="00046863"/>
    <w:rsid w:val="00051DA7"/>
    <w:rsid w:val="0005678C"/>
    <w:rsid w:val="00056990"/>
    <w:rsid w:val="000634A1"/>
    <w:rsid w:val="0006647C"/>
    <w:rsid w:val="000711FA"/>
    <w:rsid w:val="00071F51"/>
    <w:rsid w:val="00072AF6"/>
    <w:rsid w:val="00076AD1"/>
    <w:rsid w:val="000807CE"/>
    <w:rsid w:val="00083CA2"/>
    <w:rsid w:val="00084F6E"/>
    <w:rsid w:val="00090CA2"/>
    <w:rsid w:val="00091428"/>
    <w:rsid w:val="000919B8"/>
    <w:rsid w:val="00095ED3"/>
    <w:rsid w:val="000A0BCF"/>
    <w:rsid w:val="000A2238"/>
    <w:rsid w:val="000A4074"/>
    <w:rsid w:val="000A5F4C"/>
    <w:rsid w:val="000B6477"/>
    <w:rsid w:val="000B6D42"/>
    <w:rsid w:val="000C2CD5"/>
    <w:rsid w:val="000C5173"/>
    <w:rsid w:val="000D6C77"/>
    <w:rsid w:val="000E002C"/>
    <w:rsid w:val="000E1CA2"/>
    <w:rsid w:val="000E423D"/>
    <w:rsid w:val="000E5815"/>
    <w:rsid w:val="000E5D12"/>
    <w:rsid w:val="000E71BA"/>
    <w:rsid w:val="000F098A"/>
    <w:rsid w:val="000F5AFF"/>
    <w:rsid w:val="000F6552"/>
    <w:rsid w:val="00101B99"/>
    <w:rsid w:val="00101D92"/>
    <w:rsid w:val="001027FF"/>
    <w:rsid w:val="00105A0B"/>
    <w:rsid w:val="00110838"/>
    <w:rsid w:val="001137D1"/>
    <w:rsid w:val="001166E7"/>
    <w:rsid w:val="00117189"/>
    <w:rsid w:val="001237B4"/>
    <w:rsid w:val="0012797E"/>
    <w:rsid w:val="00130F23"/>
    <w:rsid w:val="001372F0"/>
    <w:rsid w:val="00140DAE"/>
    <w:rsid w:val="00141968"/>
    <w:rsid w:val="0014575C"/>
    <w:rsid w:val="00145A3D"/>
    <w:rsid w:val="00146B4F"/>
    <w:rsid w:val="00150931"/>
    <w:rsid w:val="00152470"/>
    <w:rsid w:val="00154462"/>
    <w:rsid w:val="001564DB"/>
    <w:rsid w:val="001661E8"/>
    <w:rsid w:val="00166EE1"/>
    <w:rsid w:val="00167093"/>
    <w:rsid w:val="00167B44"/>
    <w:rsid w:val="001732D3"/>
    <w:rsid w:val="00174188"/>
    <w:rsid w:val="0017443D"/>
    <w:rsid w:val="00177D82"/>
    <w:rsid w:val="001816D6"/>
    <w:rsid w:val="00181D8A"/>
    <w:rsid w:val="00183B09"/>
    <w:rsid w:val="0018522E"/>
    <w:rsid w:val="001859EB"/>
    <w:rsid w:val="001860F2"/>
    <w:rsid w:val="00192B9A"/>
    <w:rsid w:val="00192E1F"/>
    <w:rsid w:val="00193746"/>
    <w:rsid w:val="0019737C"/>
    <w:rsid w:val="0019796A"/>
    <w:rsid w:val="001A3C46"/>
    <w:rsid w:val="001A765A"/>
    <w:rsid w:val="001B15A3"/>
    <w:rsid w:val="001B2389"/>
    <w:rsid w:val="001B5742"/>
    <w:rsid w:val="001B6377"/>
    <w:rsid w:val="001B7895"/>
    <w:rsid w:val="001C491B"/>
    <w:rsid w:val="001C53D0"/>
    <w:rsid w:val="001C6438"/>
    <w:rsid w:val="001D2A3B"/>
    <w:rsid w:val="001D680A"/>
    <w:rsid w:val="001D7013"/>
    <w:rsid w:val="001D78E5"/>
    <w:rsid w:val="001E1B7B"/>
    <w:rsid w:val="002110AD"/>
    <w:rsid w:val="00215670"/>
    <w:rsid w:val="0022510F"/>
    <w:rsid w:val="00226E0E"/>
    <w:rsid w:val="00236835"/>
    <w:rsid w:val="00240CAA"/>
    <w:rsid w:val="00244E46"/>
    <w:rsid w:val="0024547C"/>
    <w:rsid w:val="00253884"/>
    <w:rsid w:val="002554A6"/>
    <w:rsid w:val="00255987"/>
    <w:rsid w:val="002568C0"/>
    <w:rsid w:val="00260C45"/>
    <w:rsid w:val="00274E9C"/>
    <w:rsid w:val="0028430E"/>
    <w:rsid w:val="0028622D"/>
    <w:rsid w:val="002965AC"/>
    <w:rsid w:val="00297ABD"/>
    <w:rsid w:val="002A023B"/>
    <w:rsid w:val="002A18CF"/>
    <w:rsid w:val="002B08B0"/>
    <w:rsid w:val="002B26A6"/>
    <w:rsid w:val="002B34A1"/>
    <w:rsid w:val="002B67CD"/>
    <w:rsid w:val="002B7A15"/>
    <w:rsid w:val="002C32A0"/>
    <w:rsid w:val="002C37DF"/>
    <w:rsid w:val="002C6F5A"/>
    <w:rsid w:val="002C7954"/>
    <w:rsid w:val="002D4C76"/>
    <w:rsid w:val="002E5FEC"/>
    <w:rsid w:val="002F2161"/>
    <w:rsid w:val="002F3955"/>
    <w:rsid w:val="002F496C"/>
    <w:rsid w:val="002F7FBD"/>
    <w:rsid w:val="00300300"/>
    <w:rsid w:val="003051FF"/>
    <w:rsid w:val="00313500"/>
    <w:rsid w:val="00315299"/>
    <w:rsid w:val="00321713"/>
    <w:rsid w:val="0032449C"/>
    <w:rsid w:val="00325664"/>
    <w:rsid w:val="00326097"/>
    <w:rsid w:val="00333347"/>
    <w:rsid w:val="00333C61"/>
    <w:rsid w:val="003436F9"/>
    <w:rsid w:val="00346D79"/>
    <w:rsid w:val="00346DE4"/>
    <w:rsid w:val="003510BF"/>
    <w:rsid w:val="00352A82"/>
    <w:rsid w:val="003549B0"/>
    <w:rsid w:val="00355F3A"/>
    <w:rsid w:val="003569FB"/>
    <w:rsid w:val="00366240"/>
    <w:rsid w:val="00381147"/>
    <w:rsid w:val="003815F8"/>
    <w:rsid w:val="003909AB"/>
    <w:rsid w:val="003924F9"/>
    <w:rsid w:val="0039457F"/>
    <w:rsid w:val="003A0AE4"/>
    <w:rsid w:val="003A140B"/>
    <w:rsid w:val="003A35BE"/>
    <w:rsid w:val="003B0ADC"/>
    <w:rsid w:val="003B11F7"/>
    <w:rsid w:val="003B2F28"/>
    <w:rsid w:val="003B37E6"/>
    <w:rsid w:val="003B6C28"/>
    <w:rsid w:val="003B751F"/>
    <w:rsid w:val="003C21AC"/>
    <w:rsid w:val="003C53EB"/>
    <w:rsid w:val="003C75BA"/>
    <w:rsid w:val="003C768A"/>
    <w:rsid w:val="003D2C1B"/>
    <w:rsid w:val="003E3BBC"/>
    <w:rsid w:val="003E52B5"/>
    <w:rsid w:val="003F3284"/>
    <w:rsid w:val="003F4081"/>
    <w:rsid w:val="003F573F"/>
    <w:rsid w:val="003F5E67"/>
    <w:rsid w:val="004012B1"/>
    <w:rsid w:val="00404B35"/>
    <w:rsid w:val="00406A3D"/>
    <w:rsid w:val="00407B78"/>
    <w:rsid w:val="00410583"/>
    <w:rsid w:val="00411039"/>
    <w:rsid w:val="00411526"/>
    <w:rsid w:val="004129EE"/>
    <w:rsid w:val="004144F1"/>
    <w:rsid w:val="004167B1"/>
    <w:rsid w:val="00417CFD"/>
    <w:rsid w:val="004233C4"/>
    <w:rsid w:val="00423880"/>
    <w:rsid w:val="00426336"/>
    <w:rsid w:val="00433093"/>
    <w:rsid w:val="00433AC0"/>
    <w:rsid w:val="00434FB4"/>
    <w:rsid w:val="00435075"/>
    <w:rsid w:val="00440A0B"/>
    <w:rsid w:val="00440D1D"/>
    <w:rsid w:val="00443FCF"/>
    <w:rsid w:val="00445A64"/>
    <w:rsid w:val="00446EAC"/>
    <w:rsid w:val="0045587F"/>
    <w:rsid w:val="00456B77"/>
    <w:rsid w:val="0046105D"/>
    <w:rsid w:val="00461B39"/>
    <w:rsid w:val="00463FA4"/>
    <w:rsid w:val="00466CAD"/>
    <w:rsid w:val="0046762E"/>
    <w:rsid w:val="0047047C"/>
    <w:rsid w:val="0047265E"/>
    <w:rsid w:val="004730F0"/>
    <w:rsid w:val="00473CB6"/>
    <w:rsid w:val="00482EAA"/>
    <w:rsid w:val="00483702"/>
    <w:rsid w:val="00486063"/>
    <w:rsid w:val="004938ED"/>
    <w:rsid w:val="004953C5"/>
    <w:rsid w:val="004A59BD"/>
    <w:rsid w:val="004B12F0"/>
    <w:rsid w:val="004B205F"/>
    <w:rsid w:val="004B3237"/>
    <w:rsid w:val="004B3AB6"/>
    <w:rsid w:val="004B5C13"/>
    <w:rsid w:val="004B7040"/>
    <w:rsid w:val="004C38F2"/>
    <w:rsid w:val="004C4A8A"/>
    <w:rsid w:val="004C71D2"/>
    <w:rsid w:val="004E146A"/>
    <w:rsid w:val="004E1561"/>
    <w:rsid w:val="004E225D"/>
    <w:rsid w:val="004E242E"/>
    <w:rsid w:val="004E5745"/>
    <w:rsid w:val="004F0539"/>
    <w:rsid w:val="004F071B"/>
    <w:rsid w:val="004F4F1C"/>
    <w:rsid w:val="004F589D"/>
    <w:rsid w:val="00501C9C"/>
    <w:rsid w:val="00502488"/>
    <w:rsid w:val="00504543"/>
    <w:rsid w:val="005055BF"/>
    <w:rsid w:val="00505AE5"/>
    <w:rsid w:val="0050629F"/>
    <w:rsid w:val="00510D23"/>
    <w:rsid w:val="00516249"/>
    <w:rsid w:val="00520B14"/>
    <w:rsid w:val="00520B3D"/>
    <w:rsid w:val="005210F0"/>
    <w:rsid w:val="00524EB1"/>
    <w:rsid w:val="005259E0"/>
    <w:rsid w:val="00527C17"/>
    <w:rsid w:val="005330B2"/>
    <w:rsid w:val="0053351D"/>
    <w:rsid w:val="00536DAB"/>
    <w:rsid w:val="00543298"/>
    <w:rsid w:val="00546321"/>
    <w:rsid w:val="00546722"/>
    <w:rsid w:val="00554C57"/>
    <w:rsid w:val="00555712"/>
    <w:rsid w:val="00556F2C"/>
    <w:rsid w:val="005676B6"/>
    <w:rsid w:val="0057151D"/>
    <w:rsid w:val="0057153F"/>
    <w:rsid w:val="005813E7"/>
    <w:rsid w:val="00581BE7"/>
    <w:rsid w:val="00582012"/>
    <w:rsid w:val="00582B8A"/>
    <w:rsid w:val="0058505D"/>
    <w:rsid w:val="005A07BC"/>
    <w:rsid w:val="005A6198"/>
    <w:rsid w:val="005B18E1"/>
    <w:rsid w:val="005B4C09"/>
    <w:rsid w:val="005B52A3"/>
    <w:rsid w:val="005B57EA"/>
    <w:rsid w:val="005B621D"/>
    <w:rsid w:val="005C4CFE"/>
    <w:rsid w:val="005C6EAA"/>
    <w:rsid w:val="005C7E72"/>
    <w:rsid w:val="005D4792"/>
    <w:rsid w:val="005D6E50"/>
    <w:rsid w:val="005E19A1"/>
    <w:rsid w:val="005F1D0C"/>
    <w:rsid w:val="005F4B59"/>
    <w:rsid w:val="005F6242"/>
    <w:rsid w:val="00601BC7"/>
    <w:rsid w:val="00606191"/>
    <w:rsid w:val="00611051"/>
    <w:rsid w:val="006111BA"/>
    <w:rsid w:val="00611A07"/>
    <w:rsid w:val="006140C9"/>
    <w:rsid w:val="006146F4"/>
    <w:rsid w:val="00617764"/>
    <w:rsid w:val="00621F93"/>
    <w:rsid w:val="006225AC"/>
    <w:rsid w:val="0062335B"/>
    <w:rsid w:val="0062448C"/>
    <w:rsid w:val="00626FF6"/>
    <w:rsid w:val="006270F5"/>
    <w:rsid w:val="00634122"/>
    <w:rsid w:val="00636F53"/>
    <w:rsid w:val="006437E7"/>
    <w:rsid w:val="0064644F"/>
    <w:rsid w:val="00646897"/>
    <w:rsid w:val="00660689"/>
    <w:rsid w:val="0066085E"/>
    <w:rsid w:val="006620F0"/>
    <w:rsid w:val="00665932"/>
    <w:rsid w:val="0066644E"/>
    <w:rsid w:val="00671F9A"/>
    <w:rsid w:val="00672EB0"/>
    <w:rsid w:val="0067333B"/>
    <w:rsid w:val="00676585"/>
    <w:rsid w:val="006766E8"/>
    <w:rsid w:val="0068629A"/>
    <w:rsid w:val="00686F68"/>
    <w:rsid w:val="006938D1"/>
    <w:rsid w:val="006A1F8B"/>
    <w:rsid w:val="006A4C19"/>
    <w:rsid w:val="006A5700"/>
    <w:rsid w:val="006A6CEF"/>
    <w:rsid w:val="006A707A"/>
    <w:rsid w:val="006A7961"/>
    <w:rsid w:val="006B73B6"/>
    <w:rsid w:val="006B73DA"/>
    <w:rsid w:val="006C2091"/>
    <w:rsid w:val="006C2D0B"/>
    <w:rsid w:val="006C65A7"/>
    <w:rsid w:val="006D10CF"/>
    <w:rsid w:val="006D6D24"/>
    <w:rsid w:val="006E72E7"/>
    <w:rsid w:val="006F02F4"/>
    <w:rsid w:val="006F2014"/>
    <w:rsid w:val="006F5EDB"/>
    <w:rsid w:val="006F68B5"/>
    <w:rsid w:val="00701059"/>
    <w:rsid w:val="007035CD"/>
    <w:rsid w:val="00705B26"/>
    <w:rsid w:val="007066B2"/>
    <w:rsid w:val="007066B5"/>
    <w:rsid w:val="007103C4"/>
    <w:rsid w:val="007105E6"/>
    <w:rsid w:val="00714788"/>
    <w:rsid w:val="00717CFF"/>
    <w:rsid w:val="00722DC8"/>
    <w:rsid w:val="00722FAC"/>
    <w:rsid w:val="00726AA2"/>
    <w:rsid w:val="00726C80"/>
    <w:rsid w:val="00731380"/>
    <w:rsid w:val="00731A4D"/>
    <w:rsid w:val="00734A18"/>
    <w:rsid w:val="007351FE"/>
    <w:rsid w:val="00737E47"/>
    <w:rsid w:val="00741864"/>
    <w:rsid w:val="00744ADA"/>
    <w:rsid w:val="00745705"/>
    <w:rsid w:val="007626F1"/>
    <w:rsid w:val="00763BF1"/>
    <w:rsid w:val="00763E78"/>
    <w:rsid w:val="00764002"/>
    <w:rsid w:val="0077360D"/>
    <w:rsid w:val="00774DD1"/>
    <w:rsid w:val="00776553"/>
    <w:rsid w:val="00782408"/>
    <w:rsid w:val="0079172C"/>
    <w:rsid w:val="00791DB2"/>
    <w:rsid w:val="00793022"/>
    <w:rsid w:val="00796028"/>
    <w:rsid w:val="007A5D3E"/>
    <w:rsid w:val="007A6C1C"/>
    <w:rsid w:val="007A6C58"/>
    <w:rsid w:val="007B1E06"/>
    <w:rsid w:val="007B2931"/>
    <w:rsid w:val="007B53BF"/>
    <w:rsid w:val="007B699E"/>
    <w:rsid w:val="007C0671"/>
    <w:rsid w:val="007C2368"/>
    <w:rsid w:val="007D11B6"/>
    <w:rsid w:val="007D3091"/>
    <w:rsid w:val="007D4BAA"/>
    <w:rsid w:val="007D5884"/>
    <w:rsid w:val="007D6E28"/>
    <w:rsid w:val="007D72C1"/>
    <w:rsid w:val="007D7DC2"/>
    <w:rsid w:val="007E102C"/>
    <w:rsid w:val="007E7808"/>
    <w:rsid w:val="007F146E"/>
    <w:rsid w:val="007F3F5B"/>
    <w:rsid w:val="007F652E"/>
    <w:rsid w:val="00803E52"/>
    <w:rsid w:val="008071CB"/>
    <w:rsid w:val="00807BC4"/>
    <w:rsid w:val="00810854"/>
    <w:rsid w:val="008113E5"/>
    <w:rsid w:val="00811B8D"/>
    <w:rsid w:val="00826181"/>
    <w:rsid w:val="00841F4F"/>
    <w:rsid w:val="008511C5"/>
    <w:rsid w:val="00854D05"/>
    <w:rsid w:val="0086095B"/>
    <w:rsid w:val="00872909"/>
    <w:rsid w:val="00873CAB"/>
    <w:rsid w:val="00873FAB"/>
    <w:rsid w:val="00874D6E"/>
    <w:rsid w:val="00875815"/>
    <w:rsid w:val="008759F5"/>
    <w:rsid w:val="0087709E"/>
    <w:rsid w:val="008802E3"/>
    <w:rsid w:val="00881993"/>
    <w:rsid w:val="008821D4"/>
    <w:rsid w:val="00884344"/>
    <w:rsid w:val="008846D0"/>
    <w:rsid w:val="00886FB8"/>
    <w:rsid w:val="008926D1"/>
    <w:rsid w:val="00894E70"/>
    <w:rsid w:val="00896E13"/>
    <w:rsid w:val="008A764C"/>
    <w:rsid w:val="008B109A"/>
    <w:rsid w:val="008B15D1"/>
    <w:rsid w:val="008B49B6"/>
    <w:rsid w:val="008C0F4A"/>
    <w:rsid w:val="008C15FE"/>
    <w:rsid w:val="008D09D3"/>
    <w:rsid w:val="008D243F"/>
    <w:rsid w:val="008D3091"/>
    <w:rsid w:val="008D632B"/>
    <w:rsid w:val="008E0A5C"/>
    <w:rsid w:val="008E380F"/>
    <w:rsid w:val="008E5D98"/>
    <w:rsid w:val="008F1A48"/>
    <w:rsid w:val="008F21D2"/>
    <w:rsid w:val="008F55B6"/>
    <w:rsid w:val="008F5DCA"/>
    <w:rsid w:val="009012C6"/>
    <w:rsid w:val="00903778"/>
    <w:rsid w:val="009060A3"/>
    <w:rsid w:val="00906441"/>
    <w:rsid w:val="009111E4"/>
    <w:rsid w:val="00914F37"/>
    <w:rsid w:val="00915132"/>
    <w:rsid w:val="00917365"/>
    <w:rsid w:val="009202FC"/>
    <w:rsid w:val="00920B34"/>
    <w:rsid w:val="00923057"/>
    <w:rsid w:val="009237BC"/>
    <w:rsid w:val="00923A6E"/>
    <w:rsid w:val="009245A1"/>
    <w:rsid w:val="00930053"/>
    <w:rsid w:val="00933216"/>
    <w:rsid w:val="00934588"/>
    <w:rsid w:val="00935597"/>
    <w:rsid w:val="00936141"/>
    <w:rsid w:val="00942630"/>
    <w:rsid w:val="00944A32"/>
    <w:rsid w:val="00947C1A"/>
    <w:rsid w:val="00962E4E"/>
    <w:rsid w:val="0096445C"/>
    <w:rsid w:val="00964520"/>
    <w:rsid w:val="00971000"/>
    <w:rsid w:val="00974B3F"/>
    <w:rsid w:val="00974D64"/>
    <w:rsid w:val="00976464"/>
    <w:rsid w:val="0098127B"/>
    <w:rsid w:val="00982CF5"/>
    <w:rsid w:val="00987C4B"/>
    <w:rsid w:val="009904F4"/>
    <w:rsid w:val="00990BC8"/>
    <w:rsid w:val="00991126"/>
    <w:rsid w:val="009A68CA"/>
    <w:rsid w:val="009A6D5E"/>
    <w:rsid w:val="009B0D8B"/>
    <w:rsid w:val="009B227A"/>
    <w:rsid w:val="009B4164"/>
    <w:rsid w:val="009B5275"/>
    <w:rsid w:val="009C33E1"/>
    <w:rsid w:val="009C3C0E"/>
    <w:rsid w:val="009D32A7"/>
    <w:rsid w:val="009D6B90"/>
    <w:rsid w:val="009E0B12"/>
    <w:rsid w:val="009E201F"/>
    <w:rsid w:val="009E50FA"/>
    <w:rsid w:val="009E62E8"/>
    <w:rsid w:val="009E6E04"/>
    <w:rsid w:val="009E6FC9"/>
    <w:rsid w:val="009E796F"/>
    <w:rsid w:val="009F0DBB"/>
    <w:rsid w:val="009F260B"/>
    <w:rsid w:val="009F26FE"/>
    <w:rsid w:val="009F3944"/>
    <w:rsid w:val="00A02A24"/>
    <w:rsid w:val="00A03315"/>
    <w:rsid w:val="00A140F1"/>
    <w:rsid w:val="00A156FD"/>
    <w:rsid w:val="00A26C39"/>
    <w:rsid w:val="00A334D8"/>
    <w:rsid w:val="00A45BF4"/>
    <w:rsid w:val="00A47AAC"/>
    <w:rsid w:val="00A54CC3"/>
    <w:rsid w:val="00A639D8"/>
    <w:rsid w:val="00A6520F"/>
    <w:rsid w:val="00A65680"/>
    <w:rsid w:val="00A718FD"/>
    <w:rsid w:val="00A7398A"/>
    <w:rsid w:val="00A82871"/>
    <w:rsid w:val="00A84B0C"/>
    <w:rsid w:val="00A9127C"/>
    <w:rsid w:val="00A9136F"/>
    <w:rsid w:val="00A95A58"/>
    <w:rsid w:val="00A966E6"/>
    <w:rsid w:val="00AA095A"/>
    <w:rsid w:val="00AA4BFD"/>
    <w:rsid w:val="00AA67DA"/>
    <w:rsid w:val="00AA6AA3"/>
    <w:rsid w:val="00AB0C48"/>
    <w:rsid w:val="00AB3DB9"/>
    <w:rsid w:val="00AB6455"/>
    <w:rsid w:val="00AB71B6"/>
    <w:rsid w:val="00AC06FB"/>
    <w:rsid w:val="00AC0839"/>
    <w:rsid w:val="00AC730B"/>
    <w:rsid w:val="00AD1A24"/>
    <w:rsid w:val="00AD370A"/>
    <w:rsid w:val="00AD51C9"/>
    <w:rsid w:val="00AD5E9F"/>
    <w:rsid w:val="00AD69D9"/>
    <w:rsid w:val="00AD71DB"/>
    <w:rsid w:val="00AE137C"/>
    <w:rsid w:val="00AE1A14"/>
    <w:rsid w:val="00AE1C08"/>
    <w:rsid w:val="00AE7B58"/>
    <w:rsid w:val="00AF1966"/>
    <w:rsid w:val="00AF675B"/>
    <w:rsid w:val="00B0059D"/>
    <w:rsid w:val="00B02757"/>
    <w:rsid w:val="00B07696"/>
    <w:rsid w:val="00B07FBF"/>
    <w:rsid w:val="00B16931"/>
    <w:rsid w:val="00B178EE"/>
    <w:rsid w:val="00B17923"/>
    <w:rsid w:val="00B2488F"/>
    <w:rsid w:val="00B3526D"/>
    <w:rsid w:val="00B35CD3"/>
    <w:rsid w:val="00B40258"/>
    <w:rsid w:val="00B45A7F"/>
    <w:rsid w:val="00B4635C"/>
    <w:rsid w:val="00B46CD5"/>
    <w:rsid w:val="00B50B4B"/>
    <w:rsid w:val="00B51CF5"/>
    <w:rsid w:val="00B5683A"/>
    <w:rsid w:val="00B628B4"/>
    <w:rsid w:val="00B70FA8"/>
    <w:rsid w:val="00B71946"/>
    <w:rsid w:val="00B72E68"/>
    <w:rsid w:val="00B73445"/>
    <w:rsid w:val="00B73873"/>
    <w:rsid w:val="00B770A5"/>
    <w:rsid w:val="00B81BC3"/>
    <w:rsid w:val="00B84FD2"/>
    <w:rsid w:val="00B854F7"/>
    <w:rsid w:val="00B92C18"/>
    <w:rsid w:val="00B938D0"/>
    <w:rsid w:val="00BA4890"/>
    <w:rsid w:val="00BB0E0F"/>
    <w:rsid w:val="00BB0FDD"/>
    <w:rsid w:val="00BB1DD2"/>
    <w:rsid w:val="00BB2010"/>
    <w:rsid w:val="00BC3565"/>
    <w:rsid w:val="00BC4B4B"/>
    <w:rsid w:val="00BC748B"/>
    <w:rsid w:val="00BC7F2F"/>
    <w:rsid w:val="00BD22F2"/>
    <w:rsid w:val="00BD689A"/>
    <w:rsid w:val="00BE0302"/>
    <w:rsid w:val="00BE213A"/>
    <w:rsid w:val="00BE4BF5"/>
    <w:rsid w:val="00BE5B70"/>
    <w:rsid w:val="00BF4DBA"/>
    <w:rsid w:val="00C0250E"/>
    <w:rsid w:val="00C03EC2"/>
    <w:rsid w:val="00C05540"/>
    <w:rsid w:val="00C06C11"/>
    <w:rsid w:val="00C10614"/>
    <w:rsid w:val="00C1256D"/>
    <w:rsid w:val="00C156D8"/>
    <w:rsid w:val="00C17067"/>
    <w:rsid w:val="00C22554"/>
    <w:rsid w:val="00C24EB0"/>
    <w:rsid w:val="00C2523F"/>
    <w:rsid w:val="00C404BA"/>
    <w:rsid w:val="00C50EB4"/>
    <w:rsid w:val="00C56046"/>
    <w:rsid w:val="00C60953"/>
    <w:rsid w:val="00C62378"/>
    <w:rsid w:val="00C63702"/>
    <w:rsid w:val="00C67D5C"/>
    <w:rsid w:val="00C7627D"/>
    <w:rsid w:val="00C775A5"/>
    <w:rsid w:val="00C839C9"/>
    <w:rsid w:val="00C850EF"/>
    <w:rsid w:val="00C878BA"/>
    <w:rsid w:val="00C973E8"/>
    <w:rsid w:val="00C97633"/>
    <w:rsid w:val="00CA013F"/>
    <w:rsid w:val="00CA05EF"/>
    <w:rsid w:val="00CA2FFD"/>
    <w:rsid w:val="00CA74F1"/>
    <w:rsid w:val="00CB0799"/>
    <w:rsid w:val="00CB20E3"/>
    <w:rsid w:val="00CB262A"/>
    <w:rsid w:val="00CB7D3B"/>
    <w:rsid w:val="00CC34E7"/>
    <w:rsid w:val="00CC3F17"/>
    <w:rsid w:val="00CD0869"/>
    <w:rsid w:val="00CD37C5"/>
    <w:rsid w:val="00CD7C1A"/>
    <w:rsid w:val="00CE3647"/>
    <w:rsid w:val="00CE66C8"/>
    <w:rsid w:val="00CE7D9C"/>
    <w:rsid w:val="00CF0B4F"/>
    <w:rsid w:val="00CF1A27"/>
    <w:rsid w:val="00CF3DA4"/>
    <w:rsid w:val="00D00F0C"/>
    <w:rsid w:val="00D01FF4"/>
    <w:rsid w:val="00D04E47"/>
    <w:rsid w:val="00D16741"/>
    <w:rsid w:val="00D173A1"/>
    <w:rsid w:val="00D218AD"/>
    <w:rsid w:val="00D228F1"/>
    <w:rsid w:val="00D22CD1"/>
    <w:rsid w:val="00D34DDF"/>
    <w:rsid w:val="00D35DD7"/>
    <w:rsid w:val="00D4080B"/>
    <w:rsid w:val="00D436AC"/>
    <w:rsid w:val="00D43E05"/>
    <w:rsid w:val="00D472DF"/>
    <w:rsid w:val="00D47D80"/>
    <w:rsid w:val="00D51EE1"/>
    <w:rsid w:val="00D54665"/>
    <w:rsid w:val="00D54FA4"/>
    <w:rsid w:val="00D57075"/>
    <w:rsid w:val="00D607AB"/>
    <w:rsid w:val="00D620C1"/>
    <w:rsid w:val="00D657A6"/>
    <w:rsid w:val="00D66357"/>
    <w:rsid w:val="00D704B2"/>
    <w:rsid w:val="00D73A1E"/>
    <w:rsid w:val="00D7686B"/>
    <w:rsid w:val="00D800DE"/>
    <w:rsid w:val="00D81991"/>
    <w:rsid w:val="00D85356"/>
    <w:rsid w:val="00D85EE0"/>
    <w:rsid w:val="00D87FFC"/>
    <w:rsid w:val="00D936CD"/>
    <w:rsid w:val="00D94EE5"/>
    <w:rsid w:val="00DA007E"/>
    <w:rsid w:val="00DA01E4"/>
    <w:rsid w:val="00DA50A3"/>
    <w:rsid w:val="00DA69BC"/>
    <w:rsid w:val="00DA6DB5"/>
    <w:rsid w:val="00DB1A16"/>
    <w:rsid w:val="00DB4E08"/>
    <w:rsid w:val="00DC0961"/>
    <w:rsid w:val="00DC153F"/>
    <w:rsid w:val="00DD0AA1"/>
    <w:rsid w:val="00DD45E8"/>
    <w:rsid w:val="00DE068C"/>
    <w:rsid w:val="00DE3FE1"/>
    <w:rsid w:val="00DE5C13"/>
    <w:rsid w:val="00DE7B81"/>
    <w:rsid w:val="00E00EDC"/>
    <w:rsid w:val="00E217AD"/>
    <w:rsid w:val="00E30199"/>
    <w:rsid w:val="00E32116"/>
    <w:rsid w:val="00E344DE"/>
    <w:rsid w:val="00E3725C"/>
    <w:rsid w:val="00E513FD"/>
    <w:rsid w:val="00E549E5"/>
    <w:rsid w:val="00E558BF"/>
    <w:rsid w:val="00E57102"/>
    <w:rsid w:val="00E61184"/>
    <w:rsid w:val="00E639CC"/>
    <w:rsid w:val="00E660AE"/>
    <w:rsid w:val="00E67824"/>
    <w:rsid w:val="00E722C2"/>
    <w:rsid w:val="00E72903"/>
    <w:rsid w:val="00E7447A"/>
    <w:rsid w:val="00E76843"/>
    <w:rsid w:val="00E86A55"/>
    <w:rsid w:val="00E86FFD"/>
    <w:rsid w:val="00E876FD"/>
    <w:rsid w:val="00E914C5"/>
    <w:rsid w:val="00E926B7"/>
    <w:rsid w:val="00E93751"/>
    <w:rsid w:val="00EA1947"/>
    <w:rsid w:val="00EB0449"/>
    <w:rsid w:val="00EB1800"/>
    <w:rsid w:val="00EB200F"/>
    <w:rsid w:val="00EB4FEC"/>
    <w:rsid w:val="00EB5713"/>
    <w:rsid w:val="00EC2220"/>
    <w:rsid w:val="00EC463D"/>
    <w:rsid w:val="00EC6A36"/>
    <w:rsid w:val="00EC6EFE"/>
    <w:rsid w:val="00EC71C5"/>
    <w:rsid w:val="00ED41ED"/>
    <w:rsid w:val="00ED7977"/>
    <w:rsid w:val="00EE1F2F"/>
    <w:rsid w:val="00EE5DDF"/>
    <w:rsid w:val="00EE6405"/>
    <w:rsid w:val="00F01133"/>
    <w:rsid w:val="00F0388F"/>
    <w:rsid w:val="00F06354"/>
    <w:rsid w:val="00F12361"/>
    <w:rsid w:val="00F13C6E"/>
    <w:rsid w:val="00F1418C"/>
    <w:rsid w:val="00F1637F"/>
    <w:rsid w:val="00F23FB8"/>
    <w:rsid w:val="00F24C66"/>
    <w:rsid w:val="00F26014"/>
    <w:rsid w:val="00F27B9D"/>
    <w:rsid w:val="00F27F42"/>
    <w:rsid w:val="00F40810"/>
    <w:rsid w:val="00F4231E"/>
    <w:rsid w:val="00F454C1"/>
    <w:rsid w:val="00F4763E"/>
    <w:rsid w:val="00F52854"/>
    <w:rsid w:val="00F52864"/>
    <w:rsid w:val="00F52A4C"/>
    <w:rsid w:val="00F661C5"/>
    <w:rsid w:val="00F665FC"/>
    <w:rsid w:val="00F67284"/>
    <w:rsid w:val="00F72397"/>
    <w:rsid w:val="00F7303F"/>
    <w:rsid w:val="00F770B1"/>
    <w:rsid w:val="00F80099"/>
    <w:rsid w:val="00F803E6"/>
    <w:rsid w:val="00F811AF"/>
    <w:rsid w:val="00F82FE1"/>
    <w:rsid w:val="00F8495C"/>
    <w:rsid w:val="00F85BAC"/>
    <w:rsid w:val="00F921AF"/>
    <w:rsid w:val="00F92898"/>
    <w:rsid w:val="00FA0E09"/>
    <w:rsid w:val="00FA2844"/>
    <w:rsid w:val="00FA3465"/>
    <w:rsid w:val="00FA5CD8"/>
    <w:rsid w:val="00FA7156"/>
    <w:rsid w:val="00FB2A38"/>
    <w:rsid w:val="00FB31B4"/>
    <w:rsid w:val="00FB5AF8"/>
    <w:rsid w:val="00FB7287"/>
    <w:rsid w:val="00FC3620"/>
    <w:rsid w:val="00FC4BA2"/>
    <w:rsid w:val="00FD1619"/>
    <w:rsid w:val="00FD1CE5"/>
    <w:rsid w:val="00FD67AB"/>
    <w:rsid w:val="00FE1C2C"/>
    <w:rsid w:val="00FE6192"/>
    <w:rsid w:val="00FF1407"/>
    <w:rsid w:val="00FF14CE"/>
    <w:rsid w:val="00FF1CBA"/>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8E0A5C"/>
    <w:rPr>
      <w:sz w:val="16"/>
      <w:szCs w:val="16"/>
    </w:rPr>
  </w:style>
  <w:style w:type="paragraph" w:styleId="Pripombabesedilo">
    <w:name w:val="annotation text"/>
    <w:basedOn w:val="Navaden"/>
    <w:link w:val="PripombabesediloZnak"/>
    <w:uiPriority w:val="99"/>
    <w:semiHidden/>
    <w:unhideWhenUsed/>
    <w:rsid w:val="008E0A5C"/>
    <w:pPr>
      <w:spacing w:line="240" w:lineRule="auto"/>
    </w:pPr>
  </w:style>
  <w:style w:type="character" w:customStyle="1" w:styleId="PripombabesediloZnak">
    <w:name w:val="Pripomba – besedilo Znak"/>
    <w:basedOn w:val="Privzetapisavaodstavka"/>
    <w:link w:val="Pripombabesedilo"/>
    <w:uiPriority w:val="99"/>
    <w:semiHidden/>
    <w:rsid w:val="008E0A5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E0A5C"/>
    <w:rPr>
      <w:b/>
    </w:rPr>
  </w:style>
  <w:style w:type="character" w:customStyle="1" w:styleId="ZadevapripombeZnak">
    <w:name w:val="Zadeva pripombe Znak"/>
    <w:basedOn w:val="PripombabesediloZnak"/>
    <w:link w:val="Zadevapripombe"/>
    <w:uiPriority w:val="99"/>
    <w:semiHidden/>
    <w:rsid w:val="008E0A5C"/>
    <w:rPr>
      <w:rFonts w:ascii="Verdana" w:eastAsia="Times New Roman" w:hAnsi="Verdana" w:cs="Arial"/>
      <w:b/>
      <w:bCs/>
      <w:noProof/>
      <w:sz w:val="20"/>
      <w:szCs w:val="20"/>
      <w:lang w:eastAsia="sl-SI"/>
    </w:rPr>
  </w:style>
  <w:style w:type="paragraph" w:styleId="Revizija">
    <w:name w:val="Revision"/>
    <w:hidden/>
    <w:uiPriority w:val="99"/>
    <w:semiHidden/>
    <w:rsid w:val="008E0A5C"/>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10-01-0520" TargetMode="External"/><Relationship Id="rId26" Type="http://schemas.openxmlformats.org/officeDocument/2006/relationships/hyperlink" Target="https://www.uradni-list.si/glasilo-uradni-list-rs/vsebina/2014-01-0961" TargetMode="External"/><Relationship Id="rId39" Type="http://schemas.openxmlformats.org/officeDocument/2006/relationships/theme" Target="theme/theme1.xml"/><Relationship Id="rId21" Type="http://schemas.openxmlformats.org/officeDocument/2006/relationships/hyperlink" Target="https://www.uradni-list.si/glasilo-uradni-list-rs/vsebina/2010-01-5583" TargetMode="External"/><Relationship Id="rId34" Type="http://schemas.openxmlformats.org/officeDocument/2006/relationships/hyperlink" Target="https://www.uradni-list.si/glasilo-uradni-list-rs/vsebina/2022-01-340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09-01-4891" TargetMode="External"/><Relationship Id="rId25" Type="http://schemas.openxmlformats.org/officeDocument/2006/relationships/hyperlink" Target="https://www.uradni-list.si/glasilo-uradni-list-rs/vsebina/2013-01-1753" TargetMode="External"/><Relationship Id="rId33" Type="http://schemas.openxmlformats.org/officeDocument/2006/relationships/hyperlink" Target="https://www.uradni-list.si/glasilo-uradni-list-rs/vsebina/2021-01-415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0-01-4554" TargetMode="External"/><Relationship Id="rId29" Type="http://schemas.openxmlformats.org/officeDocument/2006/relationships/hyperlink" Target="https://www.uradni-list.si/glasilo-uradni-list-rs/vsebina/2015-01-32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12-01-1700" TargetMode="External"/><Relationship Id="rId32" Type="http://schemas.openxmlformats.org/officeDocument/2006/relationships/hyperlink" Target="https://www.uradni-list.si/glasilo-uradni-list-rs/vsebina/2018-01-4122" TargetMode="External"/><Relationship Id="rId37" Type="http://schemas.openxmlformats.org/officeDocument/2006/relationships/hyperlink" Target="https://www.uradni-list.si/glasilo-uradni-list-rs/vsebina/2024-01-286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12-01-1121" TargetMode="External"/><Relationship Id="rId28" Type="http://schemas.openxmlformats.org/officeDocument/2006/relationships/hyperlink" Target="https://www.uradni-list.si/glasilo-uradni-list-rs/vsebina/2014-01-3949" TargetMode="External"/><Relationship Id="rId36" Type="http://schemas.openxmlformats.org/officeDocument/2006/relationships/hyperlink" Target="https://www.uradni-list.si/glasilo-uradni-list-rs/vsebina/2024-01-1657" TargetMode="External"/><Relationship Id="rId10" Type="http://schemas.openxmlformats.org/officeDocument/2006/relationships/endnotes" Target="endnotes.xml"/><Relationship Id="rId19" Type="http://schemas.openxmlformats.org/officeDocument/2006/relationships/hyperlink" Target="https://www.uradni-list.si/glasilo-uradni-list-rs/vsebina/2010-01-3273" TargetMode="External"/><Relationship Id="rId31" Type="http://schemas.openxmlformats.org/officeDocument/2006/relationships/hyperlink" Target="https://www.uradni-list.si/glasilo-uradni-list-rs/vsebina/2017-01-31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11-01-1743" TargetMode="External"/><Relationship Id="rId27" Type="http://schemas.openxmlformats.org/officeDocument/2006/relationships/hyperlink" Target="https://www.uradni-list.si/glasilo-uradni-list-rs/vsebina/2014-01-2074" TargetMode="External"/><Relationship Id="rId30" Type="http://schemas.openxmlformats.org/officeDocument/2006/relationships/hyperlink" Target="https://www.uradni-list.si/glasilo-uradni-list-rs/vsebina/2017-01-1206" TargetMode="External"/><Relationship Id="rId35" Type="http://schemas.openxmlformats.org/officeDocument/2006/relationships/hyperlink" Target="https://www.uradni-list.si/glasilo-uradni-list-rs/vsebina/2024-01-129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4.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2668</Words>
  <Characters>15211</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2026-06-04T14:58:00Z</dcterms:created>
  <dcterms:modified xsi:type="dcterms:W3CDTF">2026-06-04T16:08:00Z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