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0647B0FB" w:rsidR="0066085E" w:rsidRDefault="00BD0787" w:rsidP="0066085E">
      <w:pPr>
        <w:pStyle w:val="Nazivenote"/>
        <w:rPr>
          <w:b w:val="0"/>
          <w:bCs/>
        </w:rPr>
      </w:pPr>
      <w:r>
        <mc:AlternateContent>
          <mc:Choice Requires="wps">
            <w:drawing>
              <wp:anchor distT="45720" distB="45720" distL="114300" distR="114300" simplePos="0" relativeHeight="251661312" behindDoc="1" locked="0" layoutInCell="1" allowOverlap="1" wp14:anchorId="18D38E96" wp14:editId="2F96DDBA">
                <wp:simplePos x="0" y="0"/>
                <wp:positionH relativeFrom="column">
                  <wp:posOffset>4737735</wp:posOffset>
                </wp:positionH>
                <wp:positionV relativeFrom="paragraph">
                  <wp:posOffset>15240</wp:posOffset>
                </wp:positionV>
                <wp:extent cx="847725" cy="685800"/>
                <wp:effectExtent l="0" t="0" r="9525" b="0"/>
                <wp:wrapTight wrapText="bothSides">
                  <wp:wrapPolygon edited="0">
                    <wp:start x="0" y="0"/>
                    <wp:lineTo x="0" y="21000"/>
                    <wp:lineTo x="21357" y="21000"/>
                    <wp:lineTo x="21357"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685800"/>
                        </a:xfrm>
                        <a:prstGeom prst="rect">
                          <a:avLst/>
                        </a:prstGeom>
                        <a:solidFill>
                          <a:srgbClr val="FFFFFF"/>
                        </a:solidFill>
                        <a:ln w="9525">
                          <a:noFill/>
                          <a:miter lim="800000"/>
                          <a:headEnd/>
                          <a:tailEnd/>
                        </a:ln>
                      </wps:spPr>
                      <wps:txbx>
                        <w:txbxContent>
                          <w:p w14:paraId="79C32D9A" w14:textId="0573133E" w:rsidR="00445A64" w:rsidRPr="000E5815" w:rsidRDefault="00BD0787" w:rsidP="00445A64">
                            <w:pPr>
                              <w:pStyle w:val="tevilka"/>
                              <w:rPr>
                                <w:sz w:val="80"/>
                                <w:szCs w:val="80"/>
                              </w:rPr>
                            </w:pPr>
                            <w:r>
                              <w:rPr>
                                <w:sz w:val="80"/>
                                <w:szCs w:val="80"/>
                              </w:rPr>
                              <w:t>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3.05pt;margin-top:1.2pt;width:66.75pt;height:54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" stroked="f">
                <v:textbox>
                  <w:txbxContent>
                    <w:p w14:paraId="79C32D9A" w14:textId="0573133E" w:rsidR="00445A64" w:rsidRPr="000E5815" w:rsidRDefault="00BD0787" w:rsidP="00445A64">
                      <w:pPr>
                        <w:pStyle w:val="tevilka"/>
                        <w:rPr>
                          <w:sz w:val="80"/>
                          <w:szCs w:val="80"/>
                        </w:rPr>
                      </w:pPr>
                      <w:r>
                        <w:rPr>
                          <w:sz w:val="80"/>
                          <w:szCs w:val="80"/>
                        </w:rPr>
                        <w:t>18</w:t>
                      </w:r>
                    </w:p>
                  </w:txbxContent>
                </v:textbox>
                <w10:wrap type="tight"/>
              </v:shape>
            </w:pict>
          </mc:Fallback>
        </mc:AlternateContent>
      </w:r>
      <w:r w:rsidR="009060A3">
        <mc:AlternateContent>
          <mc:Choice Requires="wps">
            <w:drawing>
              <wp:anchor distT="0" distB="0" distL="114300" distR="114300" simplePos="0" relativeHeight="251659264" behindDoc="0" locked="0" layoutInCell="1" allowOverlap="1" wp14:anchorId="4A5FC2D6" wp14:editId="538D207C">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C7293" id="Pravokotnik 18" o:spid="_x0000_s1026" alt="&quot;&quot;" style="position:absolute;margin-left:442pt;margin-top:85pt;width:1in;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8F5DCA">
        <w:t>Župan</w:t>
      </w:r>
      <w:r w:rsidR="00A7398A">
        <w:t xml:space="preserve"> </w:t>
      </w:r>
      <w:r w:rsidR="00722FAC">
        <w:br/>
      </w:r>
      <w:r w:rsidR="002B08B0" w:rsidRPr="008802E3">
        <w:rPr>
          <w:b w:val="0"/>
          <w:bCs/>
        </w:rPr>
        <w:t>Trg Edvarda Kardelja 1, 5000 Nova Gorica</w:t>
      </w:r>
    </w:p>
    <w:p w14:paraId="77EDCABD" w14:textId="77777777" w:rsidR="0066085E" w:rsidRPr="0066085E" w:rsidRDefault="0066085E" w:rsidP="0066085E">
      <w:pPr>
        <w:pStyle w:val="Nazivenote"/>
      </w:pPr>
    </w:p>
    <w:p w14:paraId="7731015D" w14:textId="5F9F8031" w:rsidR="000807CE" w:rsidRPr="00BE5B70" w:rsidRDefault="0066085E" w:rsidP="002F5A1D">
      <w:pPr>
        <w:pStyle w:val="stevilkadokumenta"/>
        <w:rPr>
          <w:rStyle w:val="ZvezaZnak"/>
          <w:bCs/>
          <w:sz w:val="20"/>
          <w:u w:val="none"/>
        </w:rPr>
      </w:pPr>
      <w:r w:rsidRPr="001916F3">
        <w:rPr>
          <w:rStyle w:val="ZvezaZnak"/>
          <w:bCs/>
          <w:sz w:val="20"/>
          <w:u w:val="none"/>
        </w:rPr>
        <w:t xml:space="preserve">Številka: </w:t>
      </w:r>
      <w:r w:rsidR="009A6118">
        <w:rPr>
          <w:rStyle w:val="ZvezaZnak"/>
          <w:bCs/>
          <w:sz w:val="20"/>
          <w:u w:val="none"/>
        </w:rPr>
        <w:t>041-0004/2026-1</w:t>
      </w:r>
      <w:r w:rsidR="00352A82" w:rsidRPr="001916F3">
        <w:rPr>
          <w:rStyle w:val="ZvezaZnak"/>
          <w:bCs/>
          <w:sz w:val="20"/>
          <w:u w:val="none"/>
        </w:rPr>
        <w:br/>
      </w:r>
      <w:r w:rsidRPr="001916F3">
        <w:t xml:space="preserve">Nova Gorica, dne </w:t>
      </w:r>
      <w:r w:rsidR="009A7263">
        <w:t>22</w:t>
      </w:r>
      <w:r w:rsidRPr="001916F3">
        <w:t xml:space="preserve">. </w:t>
      </w:r>
      <w:r w:rsidR="00E531D5">
        <w:t>maja</w:t>
      </w:r>
      <w:r w:rsidRPr="001916F3">
        <w:t xml:space="preserve"> 202</w:t>
      </w:r>
      <w:r w:rsidR="00E96A70" w:rsidRPr="001916F3">
        <w:t>6</w:t>
      </w:r>
    </w:p>
    <w:p w14:paraId="2D9E2EAD" w14:textId="28716D67" w:rsidR="000807CE" w:rsidRPr="009B227A" w:rsidRDefault="000807CE" w:rsidP="009B227A">
      <w:pPr>
        <w:pStyle w:val="gradivo"/>
        <w:spacing w:before="480" w:after="480"/>
        <w:rPr>
          <w:b/>
          <w:bCs w:val="0"/>
        </w:rPr>
      </w:pPr>
      <w:r w:rsidRPr="009B227A">
        <w:rPr>
          <w:b/>
          <w:bCs w:val="0"/>
        </w:rPr>
        <w:t>MESTNI SVET MESTNE OBČINE NOVA GORICA</w:t>
      </w:r>
    </w:p>
    <w:p w14:paraId="42663E32" w14:textId="598C01A2" w:rsidR="008802E3" w:rsidRDefault="0066085E" w:rsidP="00FB7287">
      <w:pPr>
        <w:ind w:left="4395" w:hanging="3686"/>
      </w:pPr>
      <w:r w:rsidRPr="00FB7287">
        <w:rPr>
          <w:b/>
          <w:bCs w:val="0"/>
        </w:rPr>
        <w:t>ZADEVA</w:t>
      </w:r>
      <w:r>
        <w:t>:</w:t>
      </w:r>
      <w:r>
        <w:tab/>
      </w:r>
      <w:r w:rsidRPr="0066085E">
        <w:t>PREDLOG ZA OBRAVNAVO NA SEJI MESTNEGA</w:t>
      </w:r>
      <w:r>
        <w:t xml:space="preserve"> </w:t>
      </w:r>
      <w:r w:rsidRPr="0066085E">
        <w:t>SVETA MESTNE OBČINE NOVA GORICA</w:t>
      </w:r>
    </w:p>
    <w:p w14:paraId="36A83F32" w14:textId="2FE98E0D" w:rsidR="00F1080C" w:rsidRPr="00F1080C" w:rsidRDefault="0066085E" w:rsidP="00F1080C">
      <w:pPr>
        <w:pStyle w:val="Naslov1"/>
        <w:spacing w:before="240"/>
        <w:ind w:left="4395" w:hanging="3686"/>
      </w:pPr>
      <w:r w:rsidRPr="00A9136F">
        <w:rPr>
          <w:sz w:val="20"/>
          <w:szCs w:val="20"/>
        </w:rPr>
        <w:t>NASLOV:</w:t>
      </w:r>
      <w:r>
        <w:tab/>
      </w:r>
      <w:r w:rsidR="004E57C5" w:rsidRPr="00F2203E">
        <w:rPr>
          <w:rStyle w:val="gradivoZnak"/>
          <w:rFonts w:eastAsiaTheme="majorEastAsia"/>
        </w:rPr>
        <w:t>Predlog</w:t>
      </w:r>
      <w:r w:rsidR="004E57C5">
        <w:t xml:space="preserve"> </w:t>
      </w:r>
      <w:r w:rsidR="00C7668D" w:rsidRPr="00C7668D">
        <w:rPr>
          <w:sz w:val="20"/>
          <w:szCs w:val="20"/>
        </w:rPr>
        <w:t xml:space="preserve">Sklepa o </w:t>
      </w:r>
      <w:r w:rsidR="005B467C">
        <w:rPr>
          <w:sz w:val="20"/>
          <w:szCs w:val="20"/>
        </w:rPr>
        <w:t xml:space="preserve">delnem </w:t>
      </w:r>
      <w:r w:rsidR="005927D7">
        <w:rPr>
          <w:sz w:val="20"/>
          <w:szCs w:val="20"/>
        </w:rPr>
        <w:t>povračilu stroškov za organiziranje in financiranje volilne kampanje za lokalne volitve 2026</w:t>
      </w:r>
      <w:r w:rsidR="00E72ABD" w:rsidRPr="00307779">
        <w:rPr>
          <w:sz w:val="20"/>
          <w:szCs w:val="20"/>
        </w:rPr>
        <w:t xml:space="preserve"> </w:t>
      </w:r>
    </w:p>
    <w:p w14:paraId="4EB48263" w14:textId="6F8D44D1" w:rsidR="0066085E" w:rsidRDefault="0066085E" w:rsidP="00F1080C">
      <w:pPr>
        <w:pStyle w:val="Naslov1"/>
        <w:spacing w:before="240" w:after="240"/>
        <w:ind w:left="4395" w:hanging="3686"/>
      </w:pPr>
      <w:r w:rsidRPr="00C61BBC">
        <w:rPr>
          <w:bCs w:val="0"/>
          <w:color w:val="auto"/>
          <w:sz w:val="20"/>
          <w:szCs w:val="20"/>
        </w:rPr>
        <w:t>GRADIVO PRIPRAVIL</w:t>
      </w:r>
      <w:r w:rsidRPr="00C61BBC">
        <w:rPr>
          <w:color w:val="auto"/>
          <w:sz w:val="20"/>
          <w:szCs w:val="20"/>
        </w:rPr>
        <w:t>:</w:t>
      </w:r>
      <w:r>
        <w:tab/>
      </w:r>
      <w:r w:rsidRPr="00C61BBC">
        <w:rPr>
          <w:rFonts w:eastAsia="Times New Roman"/>
          <w:b w:val="0"/>
          <w:bCs w:val="0"/>
          <w:color w:val="auto"/>
          <w:sz w:val="20"/>
          <w:szCs w:val="20"/>
        </w:rPr>
        <w:t xml:space="preserve">Mestna občina Nova Gorica, </w:t>
      </w:r>
      <w:r w:rsidR="003E2C39" w:rsidRPr="00C61BBC">
        <w:rPr>
          <w:rFonts w:eastAsia="Times New Roman"/>
          <w:b w:val="0"/>
          <w:bCs w:val="0"/>
          <w:color w:val="auto"/>
          <w:sz w:val="20"/>
          <w:szCs w:val="20"/>
        </w:rPr>
        <w:t>Urad direktorja</w:t>
      </w:r>
      <w:r w:rsidR="0018319A" w:rsidRPr="00C61BBC">
        <w:rPr>
          <w:rFonts w:eastAsia="Times New Roman"/>
          <w:b w:val="0"/>
          <w:bCs w:val="0"/>
          <w:color w:val="auto"/>
          <w:sz w:val="20"/>
          <w:szCs w:val="20"/>
        </w:rPr>
        <w:t>, Služba za mestni svet in krajevne skupnosti</w:t>
      </w:r>
    </w:p>
    <w:p w14:paraId="2589E91B" w14:textId="7AB42519" w:rsidR="0066085E" w:rsidRDefault="0066085E" w:rsidP="00FB7287">
      <w:pPr>
        <w:ind w:left="4395" w:hanging="3686"/>
      </w:pPr>
      <w:r w:rsidRPr="00FB7287">
        <w:rPr>
          <w:b/>
          <w:bCs w:val="0"/>
        </w:rPr>
        <w:t>IZDELOVALEC GRADIVA:</w:t>
      </w:r>
      <w:r w:rsidR="00FB7287">
        <w:tab/>
      </w:r>
      <w:r w:rsidR="00577356">
        <w:t>/</w:t>
      </w:r>
    </w:p>
    <w:p w14:paraId="11F58982" w14:textId="18EAEECC" w:rsidR="0066085E" w:rsidRPr="00FB7287" w:rsidRDefault="0066085E" w:rsidP="00BE69F5">
      <w:pPr>
        <w:ind w:left="4395" w:hanging="3686"/>
        <w:jc w:val="left"/>
        <w:rPr>
          <w:b/>
          <w:bCs w:val="0"/>
        </w:rPr>
      </w:pPr>
      <w:r w:rsidRPr="00FB7287">
        <w:rPr>
          <w:b/>
          <w:bCs w:val="0"/>
        </w:rPr>
        <w:t>POROČEVALEC:</w:t>
      </w:r>
      <w:r w:rsidR="00FB7287" w:rsidRPr="00FB7287">
        <w:t xml:space="preserve"> </w:t>
      </w:r>
      <w:r w:rsidR="00FB7287">
        <w:tab/>
      </w:r>
      <w:r w:rsidR="00C8745A">
        <w:t>Aleš Markočič, direktor občinske uprave</w:t>
      </w:r>
    </w:p>
    <w:p w14:paraId="75A8D632" w14:textId="3A931BF5" w:rsidR="0066085E" w:rsidRDefault="0066085E" w:rsidP="00FB7287">
      <w:pPr>
        <w:ind w:left="4395" w:hanging="3686"/>
      </w:pPr>
      <w:r w:rsidRPr="00FB7287">
        <w:rPr>
          <w:b/>
          <w:bCs w:val="0"/>
        </w:rPr>
        <w:t xml:space="preserve">PRISTOJNO DELOVNO </w:t>
      </w:r>
      <w:r w:rsidR="002133CB">
        <w:rPr>
          <w:b/>
          <w:bCs w:val="0"/>
        </w:rPr>
        <w:t>TELO</w:t>
      </w:r>
      <w:r>
        <w:t xml:space="preserve">: </w:t>
      </w:r>
      <w:r>
        <w:tab/>
      </w:r>
      <w:r w:rsidR="00880392">
        <w:t>Odbor za kulturo, šolstvo in šport, Odbor za prostor, Odbor za gospodarstvo, Odbor za krajevne skupnosti</w:t>
      </w:r>
      <w:r w:rsidR="00370E77">
        <w:t>, Odbor za socialno varstvo in zdravstvo</w:t>
      </w:r>
    </w:p>
    <w:p w14:paraId="4C9319DA" w14:textId="7B5A35DC" w:rsidR="0066085E" w:rsidRPr="00FB7287" w:rsidRDefault="0066085E" w:rsidP="00352A82">
      <w:pPr>
        <w:rPr>
          <w:b/>
          <w:bCs w:val="0"/>
        </w:rPr>
      </w:pPr>
      <w:r w:rsidRPr="00FB7287">
        <w:rPr>
          <w:b/>
          <w:bCs w:val="0"/>
        </w:rPr>
        <w:t xml:space="preserve">PREDLOG SKLEPA: </w:t>
      </w:r>
    </w:p>
    <w:p w14:paraId="7AA05322" w14:textId="176D3533" w:rsidR="000E5815" w:rsidRPr="00FB7287" w:rsidRDefault="00FB7287" w:rsidP="002F5A1D">
      <w:pPr>
        <w:jc w:val="left"/>
      </w:pPr>
      <w:r w:rsidRPr="0008026B">
        <w:t>Mestni svet Mestne občine Nova Gorica sprejme Sklep</w:t>
      </w:r>
      <w:r w:rsidR="00225D8C">
        <w:t xml:space="preserve"> </w:t>
      </w:r>
      <w:bookmarkStart w:id="0" w:name="_Hlk195615944"/>
      <w:r w:rsidR="005927D7" w:rsidRPr="00C7668D">
        <w:t xml:space="preserve">o </w:t>
      </w:r>
      <w:r w:rsidR="005927D7">
        <w:t>delnem povračilu stroškov za organiziranje in financiranje volilne kampanje za lokalne volitve 2026.</w:t>
      </w: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00FB7287">
        <w:tc>
          <w:tcPr>
            <w:tcW w:w="3549" w:type="dxa"/>
          </w:tcPr>
          <w:p w14:paraId="1D1D813B" w14:textId="77777777" w:rsidR="00FB7287" w:rsidRPr="00E639CC" w:rsidRDefault="00FB7287" w:rsidP="00C818D4">
            <w:pPr>
              <w:pStyle w:val="Podpisoseba"/>
              <w:spacing w:before="0" w:after="0"/>
              <w:rPr>
                <w:b/>
                <w:color w:val="FFFFFF" w:themeColor="background1"/>
              </w:rPr>
            </w:pPr>
            <w:r w:rsidRPr="00E639CC">
              <w:rPr>
                <w:b/>
                <w:color w:val="FFFFFF" w:themeColor="background1"/>
              </w:rPr>
              <w:t>Desnik podpisnik</w:t>
            </w:r>
          </w:p>
        </w:tc>
      </w:tr>
      <w:tr w:rsidR="00FB7287" w14:paraId="6D021AA2" w14:textId="77777777" w:rsidTr="00FB7287">
        <w:tc>
          <w:tcPr>
            <w:tcW w:w="3549" w:type="dxa"/>
          </w:tcPr>
          <w:p w14:paraId="7F514CF4" w14:textId="77777777" w:rsidR="00FB7287" w:rsidRPr="00E639CC" w:rsidRDefault="00FB7287" w:rsidP="00C818D4">
            <w:pPr>
              <w:pStyle w:val="Podpisoseba"/>
              <w:spacing w:before="0" w:after="0"/>
              <w:rPr>
                <w:bCs w:val="0"/>
              </w:rPr>
            </w:pPr>
            <w:r w:rsidRPr="00E639CC">
              <w:rPr>
                <w:b/>
              </w:rPr>
              <w:t>Samo Turel</w:t>
            </w:r>
          </w:p>
        </w:tc>
      </w:tr>
      <w:tr w:rsidR="00FB7287" w14:paraId="1EDB9A6B" w14:textId="77777777" w:rsidTr="00FB7287">
        <w:trPr>
          <w:trHeight w:val="530"/>
        </w:trPr>
        <w:tc>
          <w:tcPr>
            <w:tcW w:w="3549" w:type="dxa"/>
          </w:tcPr>
          <w:p w14:paraId="07F6B71D" w14:textId="2576E0ED" w:rsidR="00FB7287" w:rsidRPr="00E639CC" w:rsidRDefault="0078100D" w:rsidP="00C818D4">
            <w:pPr>
              <w:pStyle w:val="Podpisoseba"/>
              <w:spacing w:before="0" w:after="0"/>
              <w:rPr>
                <w:bCs w:val="0"/>
              </w:rPr>
            </w:pPr>
            <w:r>
              <w:t>Ž</w:t>
            </w:r>
            <w:r w:rsidR="00FB7287" w:rsidRPr="00E639CC">
              <w:t>upan</w:t>
            </w:r>
          </w:p>
        </w:tc>
      </w:tr>
      <w:bookmarkEnd w:id="0"/>
    </w:tbl>
    <w:p w14:paraId="2ED67373" w14:textId="77777777" w:rsidR="00C961AE" w:rsidRDefault="00C961AE" w:rsidP="002F5A1D">
      <w:pPr>
        <w:ind w:left="0"/>
        <w:rPr>
          <w:rStyle w:val="ZvezaZnak"/>
          <w:bCs/>
          <w:sz w:val="20"/>
          <w:u w:val="none"/>
        </w:rPr>
      </w:pPr>
    </w:p>
    <w:p w14:paraId="1FA22126" w14:textId="77777777" w:rsidR="00D34ADD" w:rsidRPr="00BE5B70" w:rsidRDefault="00D34ADD" w:rsidP="002F5A1D">
      <w:pPr>
        <w:ind w:left="0"/>
        <w:rPr>
          <w:rStyle w:val="ZvezaZnak"/>
          <w:bCs/>
          <w:sz w:val="20"/>
          <w:u w:val="none"/>
        </w:rPr>
      </w:pPr>
    </w:p>
    <w:p w14:paraId="1C6841A1" w14:textId="0A7158D1" w:rsidR="0005678C" w:rsidRPr="00774DD1" w:rsidRDefault="0066085E" w:rsidP="00774DD1">
      <w:pPr>
        <w:pStyle w:val="gradivo"/>
      </w:pPr>
      <w:r w:rsidRPr="00774DD1">
        <w:t>Gradivo</w:t>
      </w:r>
      <w:r w:rsidR="00F12361" w:rsidRPr="00774DD1">
        <w:t>:</w:t>
      </w:r>
    </w:p>
    <w:p w14:paraId="08ABD712" w14:textId="623F287D" w:rsidR="00774DD1" w:rsidRDefault="0066085E" w:rsidP="00774DD1">
      <w:pPr>
        <w:pStyle w:val="gradivo"/>
        <w:numPr>
          <w:ilvl w:val="0"/>
          <w:numId w:val="10"/>
        </w:numPr>
      </w:pPr>
      <w:r w:rsidRPr="00774DD1">
        <w:t>Gradivo</w:t>
      </w:r>
      <w:r w:rsidR="00F12361" w:rsidRPr="00774DD1">
        <w:t xml:space="preserve"> 1: </w:t>
      </w:r>
      <w:r w:rsidRPr="00774DD1">
        <w:t>predlog sklepa</w:t>
      </w:r>
      <w:r w:rsidR="005927D7">
        <w:t xml:space="preserve"> </w:t>
      </w:r>
    </w:p>
    <w:p w14:paraId="6AE58581" w14:textId="42B14957" w:rsidR="00345A59" w:rsidRDefault="00345A59" w:rsidP="00774DD1">
      <w:pPr>
        <w:pStyle w:val="gradivo"/>
        <w:numPr>
          <w:ilvl w:val="0"/>
          <w:numId w:val="10"/>
        </w:numPr>
      </w:pPr>
      <w:r>
        <w:t>Gradivo 2: obrazložitev</w:t>
      </w:r>
    </w:p>
    <w:p w14:paraId="29F8F0D4" w14:textId="6AE4AFF5" w:rsidR="001C491B" w:rsidRPr="001C491B" w:rsidRDefault="005927D7" w:rsidP="002F5A1D">
      <w:pPr>
        <w:ind w:left="0"/>
        <w:sectPr w:rsidR="001C491B" w:rsidRPr="001C491B" w:rsidSect="00E217AD">
          <w:headerReference w:type="default" r:id="rId11"/>
          <w:footerReference w:type="default" r:id="rId12"/>
          <w:headerReference w:type="first" r:id="rId13"/>
          <w:footerReference w:type="first" r:id="rId14"/>
          <w:pgSz w:w="11906" w:h="16838"/>
          <w:pgMar w:top="1418" w:right="1418" w:bottom="1418" w:left="1418" w:header="1304" w:footer="454" w:gutter="0"/>
          <w:cols w:space="708"/>
          <w:titlePg/>
          <w:docGrid w:linePitch="360"/>
        </w:sectPr>
      </w:pPr>
      <w:r>
        <w:t xml:space="preserve"> </w:t>
      </w:r>
    </w:p>
    <w:p w14:paraId="68735223" w14:textId="544422C2" w:rsidR="0066085E" w:rsidRPr="00355F3A" w:rsidRDefault="000E5815" w:rsidP="00355F3A">
      <w:pPr>
        <w:pStyle w:val="Nazivenote"/>
        <w:rPr>
          <w:b w:val="0"/>
          <w:bCs/>
        </w:rPr>
      </w:pPr>
      <w:r w:rsidRPr="000E5815">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0E5815">
        <mc:AlternateContent>
          <mc:Choice Requires="wps">
            <w:drawing>
              <wp:anchor distT="0" distB="0" distL="114300" distR="114300" simplePos="0" relativeHeight="251663360" behindDoc="0" locked="0" layoutInCell="1" allowOverlap="1" wp14:anchorId="1F923174" wp14:editId="5DA75253">
                <wp:simplePos x="0" y="0"/>
                <wp:positionH relativeFrom="page">
                  <wp:posOffset>5080000</wp:posOffset>
                </wp:positionH>
                <wp:positionV relativeFrom="page">
                  <wp:posOffset>965200</wp:posOffset>
                </wp:positionV>
                <wp:extent cx="1663700" cy="914400"/>
                <wp:effectExtent l="0" t="0" r="12700" b="19050"/>
                <wp:wrapNone/>
                <wp:docPr id="21" name="Pravokotnik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3C87A" id="Pravokotnik 21" o:spid="_x0000_s1026" alt="&quot;&quot;"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t xml:space="preserve">Mestni </w:t>
      </w:r>
      <w:r w:rsidR="00964AD4">
        <w:t>s</w:t>
      </w:r>
      <w:r w:rsidR="00731380">
        <w:t>vet</w:t>
      </w:r>
      <w:r w:rsidR="00731380">
        <w:br/>
      </w:r>
      <w:r w:rsidR="00731380" w:rsidRPr="008802E3">
        <w:rPr>
          <w:b w:val="0"/>
          <w:bCs/>
        </w:rPr>
        <w:t>Trg Edvarda Kardelja 1, 5000 Nova Gorica</w:t>
      </w:r>
    </w:p>
    <w:p w14:paraId="4DA58669" w14:textId="77777777" w:rsidR="000E5815" w:rsidRDefault="000E5815" w:rsidP="00BE5B70"/>
    <w:p w14:paraId="58D8DDBC" w14:textId="77777777" w:rsidR="000E5815" w:rsidRDefault="000E5815" w:rsidP="00BE5B70"/>
    <w:p w14:paraId="07678B35" w14:textId="5B3290D3" w:rsidR="00F56CB1" w:rsidRDefault="00F56CB1" w:rsidP="00F56CB1">
      <w:pPr>
        <w:jc w:val="left"/>
      </w:pPr>
      <w:r w:rsidRPr="00A372F8">
        <w:t>Na</w:t>
      </w:r>
      <w:r>
        <w:t xml:space="preserve"> podlagi 28. člena Zakona o volilni in referen</w:t>
      </w:r>
      <w:r w:rsidRPr="00523CED">
        <w:t xml:space="preserve">dumski kampanji </w:t>
      </w:r>
      <w:r w:rsidRPr="00B96927">
        <w:t>(Uradni list RS, št. </w:t>
      </w:r>
      <w:hyperlink r:id="rId15" w:tgtFrame="_blank" w:tooltip="Zakon o volilni in referendumski kampanji (ZVRK)" w:history="1">
        <w:r w:rsidRPr="00B96927">
          <w:t>41/07</w:t>
        </w:r>
      </w:hyperlink>
      <w:r w:rsidRPr="00B96927">
        <w:t>, </w:t>
      </w:r>
      <w:hyperlink r:id="rId16" w:tgtFrame="_blank" w:tooltip="Zakon o spremembah in dopolnitvah Zakona o političnih strankah" w:history="1">
        <w:r w:rsidRPr="00B96927">
          <w:t>103/07</w:t>
        </w:r>
      </w:hyperlink>
      <w:r w:rsidRPr="00B96927">
        <w:t> – ZPolS-D, </w:t>
      </w:r>
      <w:hyperlink r:id="rId17" w:tgtFrame="_blank" w:tooltip="Zakon o spremembah in dopolnitvah Zakona o volilni in referendumski kampanji" w:history="1">
        <w:r w:rsidRPr="00B96927">
          <w:t>11/11</w:t>
        </w:r>
      </w:hyperlink>
      <w:r w:rsidRPr="00B96927">
        <w:t>, </w:t>
      </w:r>
      <w:hyperlink r:id="rId18" w:tgtFrame="_blank" w:tooltip="Odločba o ugotovitvi, da je drugi odstavek 5. člena Zakona o volilni in referendumski kampanji v neskladju z Ustavo in razveljavitvi sodbe Okrajnega sodišča v Ljubljani" w:history="1">
        <w:r w:rsidRPr="00B96927">
          <w:t>28/11</w:t>
        </w:r>
      </w:hyperlink>
      <w:r w:rsidRPr="00B96927">
        <w:t> – odl. US in </w:t>
      </w:r>
      <w:hyperlink r:id="rId19" w:tgtFrame="_blank" w:tooltip="Zakon o spremembah in dopolnitvah Zakona o volilni in referendumski kampanji" w:history="1">
        <w:r w:rsidRPr="00B96927">
          <w:t>98/13</w:t>
        </w:r>
      </w:hyperlink>
      <w:r w:rsidRPr="00B96927">
        <w:t>)</w:t>
      </w:r>
      <w:r w:rsidDel="00523CED">
        <w:t xml:space="preserve"> </w:t>
      </w:r>
      <w:r>
        <w:t xml:space="preserve">ter 19. člena Statuta Mestne občine Nova Gorica (Uradni list RS, št. 13/12, 18/17 in 18/19) je Mestni svet Mestne občine Nova Gorica na seji dne________________sprejel </w:t>
      </w:r>
    </w:p>
    <w:p w14:paraId="754DDE3A" w14:textId="77777777" w:rsidR="00E70CE1" w:rsidRDefault="00E70CE1" w:rsidP="00F56CB1">
      <w:pPr>
        <w:jc w:val="left"/>
      </w:pPr>
    </w:p>
    <w:p w14:paraId="500C863B" w14:textId="3772592F" w:rsidR="000E5815" w:rsidRDefault="00882ACC" w:rsidP="00E70CE1">
      <w:pPr>
        <w:pStyle w:val="Naslov1"/>
        <w:spacing w:before="0" w:after="0" w:line="288" w:lineRule="auto"/>
        <w:jc w:val="center"/>
      </w:pPr>
      <w:r>
        <w:t>SKLEP</w:t>
      </w:r>
    </w:p>
    <w:p w14:paraId="38AD458C" w14:textId="77777777" w:rsidR="00E70CE1" w:rsidRPr="00B96927" w:rsidRDefault="00E70CE1" w:rsidP="00E70CE1">
      <w:pPr>
        <w:pStyle w:val="Naslov1"/>
        <w:spacing w:before="0" w:after="0" w:line="288" w:lineRule="auto"/>
        <w:jc w:val="center"/>
      </w:pPr>
      <w:r w:rsidRPr="00B96927">
        <w:t>o delnem povračilu stroškov za organiziranje</w:t>
      </w:r>
    </w:p>
    <w:p w14:paraId="6A51DEF4" w14:textId="2769E254" w:rsidR="00E70CE1" w:rsidRPr="00B96927" w:rsidRDefault="00E70CE1" w:rsidP="00E70CE1">
      <w:pPr>
        <w:pStyle w:val="Naslov1"/>
        <w:spacing w:before="0" w:after="0" w:line="288" w:lineRule="auto"/>
        <w:jc w:val="center"/>
      </w:pPr>
      <w:r w:rsidRPr="00B96927">
        <w:t>in financiranje volilne kampanje za lokalne volitve 202</w:t>
      </w:r>
      <w:r>
        <w:t>6</w:t>
      </w:r>
    </w:p>
    <w:p w14:paraId="5C91A7C7" w14:textId="77777777" w:rsidR="00E70CE1" w:rsidRPr="00E70CE1" w:rsidRDefault="00E70CE1" w:rsidP="00351965">
      <w:pPr>
        <w:spacing w:after="0"/>
      </w:pPr>
    </w:p>
    <w:p w14:paraId="00FF9492" w14:textId="680DF9B1" w:rsidR="00351965" w:rsidRPr="00351965" w:rsidRDefault="005D2677" w:rsidP="005D2677">
      <w:pPr>
        <w:pStyle w:val="Odstavekseznama"/>
        <w:numPr>
          <w:ilvl w:val="0"/>
          <w:numId w:val="11"/>
        </w:numPr>
        <w:spacing w:after="0"/>
        <w:jc w:val="center"/>
      </w:pPr>
      <w:r>
        <w:t>člen</w:t>
      </w:r>
    </w:p>
    <w:p w14:paraId="67F34CD3" w14:textId="4A79A82F" w:rsidR="00351965" w:rsidRDefault="00351965" w:rsidP="00351965">
      <w:pPr>
        <w:spacing w:after="0"/>
        <w:jc w:val="center"/>
      </w:pPr>
      <w:r w:rsidRPr="00351965">
        <w:t xml:space="preserve"> </w:t>
      </w:r>
      <w:r w:rsidR="003A4C22">
        <w:t>(splošna določba)</w:t>
      </w:r>
    </w:p>
    <w:p w14:paraId="07D17E8E" w14:textId="77777777" w:rsidR="003A4C22" w:rsidRPr="00351965" w:rsidRDefault="003A4C22" w:rsidP="00351965">
      <w:pPr>
        <w:spacing w:after="0"/>
        <w:jc w:val="center"/>
      </w:pPr>
    </w:p>
    <w:p w14:paraId="7BD725CC" w14:textId="6E8666AA" w:rsidR="00351965" w:rsidRPr="00351965" w:rsidRDefault="00351965" w:rsidP="0011387C">
      <w:pPr>
        <w:spacing w:after="0"/>
        <w:jc w:val="left"/>
      </w:pPr>
      <w:r w:rsidRPr="00351965">
        <w:t>S tem sklepom se določajo kriteriji za delno povrnitev stroškov volilne kampanje za lokalne volitve v letu 202</w:t>
      </w:r>
      <w:r w:rsidR="00376365">
        <w:t>6</w:t>
      </w:r>
      <w:r w:rsidRPr="00351965">
        <w:t xml:space="preserve"> v Mestni občini Nova Gorica.</w:t>
      </w:r>
    </w:p>
    <w:p w14:paraId="07D2050A" w14:textId="77777777" w:rsidR="00351965" w:rsidRPr="00351965" w:rsidRDefault="00351965" w:rsidP="00351965">
      <w:pPr>
        <w:spacing w:after="0"/>
      </w:pPr>
    </w:p>
    <w:p w14:paraId="1F1802E9" w14:textId="747C0801" w:rsidR="00351965" w:rsidRPr="00351965" w:rsidRDefault="005D2677" w:rsidP="005D2677">
      <w:pPr>
        <w:pStyle w:val="Odstavekseznama"/>
        <w:numPr>
          <w:ilvl w:val="0"/>
          <w:numId w:val="11"/>
        </w:numPr>
        <w:spacing w:after="0"/>
        <w:jc w:val="center"/>
        <w:outlineLvl w:val="0"/>
      </w:pPr>
      <w:r>
        <w:t>člen</w:t>
      </w:r>
    </w:p>
    <w:p w14:paraId="5E6F3CF7" w14:textId="7B7B73F5" w:rsidR="003A4C22" w:rsidRDefault="003A4C22" w:rsidP="00351965">
      <w:pPr>
        <w:spacing w:after="0"/>
        <w:jc w:val="center"/>
        <w:outlineLvl w:val="0"/>
      </w:pPr>
      <w:r>
        <w:t>(omejitev stroškov volilne kampanje)</w:t>
      </w:r>
    </w:p>
    <w:p w14:paraId="71DD47C5" w14:textId="77777777" w:rsidR="003A4C22" w:rsidRPr="00351965" w:rsidRDefault="003A4C22" w:rsidP="00351965">
      <w:pPr>
        <w:spacing w:after="0"/>
        <w:jc w:val="center"/>
        <w:outlineLvl w:val="0"/>
      </w:pPr>
    </w:p>
    <w:p w14:paraId="3335D49C" w14:textId="77777777" w:rsidR="00351965" w:rsidRPr="00351965" w:rsidRDefault="00351965" w:rsidP="0011387C">
      <w:pPr>
        <w:spacing w:after="0"/>
        <w:jc w:val="left"/>
      </w:pPr>
      <w:r w:rsidRPr="00351965">
        <w:t>Stroški volilne kampanje za volitve v mestni svet in volilne kampanje za župana ne smejo preseči zneskov, ki jih določa zakon, ki ureja volilno kampanjo.</w:t>
      </w:r>
    </w:p>
    <w:p w14:paraId="332A2CFB" w14:textId="77777777" w:rsidR="00351965" w:rsidRPr="00351965" w:rsidRDefault="00351965" w:rsidP="00351965">
      <w:pPr>
        <w:spacing w:after="0"/>
        <w:rPr>
          <w:rFonts w:cs="Tahoma"/>
        </w:rPr>
      </w:pPr>
    </w:p>
    <w:p w14:paraId="740C5785" w14:textId="6829FB77" w:rsidR="00351965" w:rsidRPr="00351965" w:rsidRDefault="005D2677" w:rsidP="005D2677">
      <w:pPr>
        <w:pStyle w:val="Odstavekseznama"/>
        <w:numPr>
          <w:ilvl w:val="0"/>
          <w:numId w:val="11"/>
        </w:numPr>
        <w:spacing w:after="0"/>
        <w:jc w:val="center"/>
        <w:outlineLvl w:val="0"/>
      </w:pPr>
      <w:r>
        <w:t>člen</w:t>
      </w:r>
    </w:p>
    <w:p w14:paraId="18868E51" w14:textId="1242935B" w:rsidR="00351965" w:rsidRDefault="003A4C22" w:rsidP="003A4C22">
      <w:pPr>
        <w:spacing w:after="0"/>
        <w:jc w:val="center"/>
        <w:outlineLvl w:val="0"/>
        <w:rPr>
          <w:noProof w:val="0"/>
        </w:rPr>
      </w:pPr>
      <w:r>
        <w:rPr>
          <w:noProof w:val="0"/>
        </w:rPr>
        <w:t>(povračilo stroškov volilne kampanje za volitve v mestni svet)</w:t>
      </w:r>
    </w:p>
    <w:p w14:paraId="19188606" w14:textId="77777777" w:rsidR="003A4C22" w:rsidRPr="00351965" w:rsidRDefault="003A4C22" w:rsidP="0011387C">
      <w:pPr>
        <w:spacing w:after="0"/>
        <w:jc w:val="left"/>
        <w:outlineLvl w:val="0"/>
      </w:pPr>
    </w:p>
    <w:p w14:paraId="7D0E7CC8" w14:textId="71E27CEF" w:rsidR="00351965" w:rsidRPr="00351965" w:rsidRDefault="00351965" w:rsidP="0011387C">
      <w:pPr>
        <w:spacing w:after="0"/>
        <w:jc w:val="left"/>
      </w:pPr>
      <w:r w:rsidRPr="00351965">
        <w:t>Organizatorji volilne kampanje</w:t>
      </w:r>
      <w:r w:rsidR="0002211A">
        <w:t xml:space="preserve"> </w:t>
      </w:r>
      <w:r w:rsidR="0002211A" w:rsidRPr="003A4C22">
        <w:t>za volitve v mestni svet</w:t>
      </w:r>
      <w:r w:rsidRPr="00351965">
        <w:t xml:space="preserve">, </w:t>
      </w:r>
      <w:r w:rsidR="0002211A" w:rsidRPr="0002211A">
        <w:t>kateri</w:t>
      </w:r>
      <w:r w:rsidR="003452CB">
        <w:t>h</w:t>
      </w:r>
      <w:r w:rsidR="0002211A" w:rsidRPr="0002211A">
        <w:t xml:space="preserve"> listam so</w:t>
      </w:r>
      <w:r w:rsidR="00264DB7">
        <w:t xml:space="preserve"> </w:t>
      </w:r>
      <w:r w:rsidRPr="00351965">
        <w:t xml:space="preserve">pripadli mandati za člane mestnega sveta, imajo pravico do </w:t>
      </w:r>
      <w:r w:rsidR="0002211A">
        <w:t>povračila</w:t>
      </w:r>
      <w:r w:rsidR="0002211A" w:rsidRPr="00351965">
        <w:t xml:space="preserve"> </w:t>
      </w:r>
      <w:r w:rsidRPr="00351965">
        <w:t>stroškov volilne kampanje v višini 0,33 EUR za dobljeni glas, pri čemer skupni znesek povrnjenih stroškov ne sme preseči zneska porabljenih sredstev, razvidnega iz poročila mestnemu svetu in računskemu sodišču.</w:t>
      </w:r>
    </w:p>
    <w:p w14:paraId="2FD6102D" w14:textId="77777777" w:rsidR="00351965" w:rsidRPr="00351965" w:rsidRDefault="00351965" w:rsidP="00351965">
      <w:pPr>
        <w:spacing w:after="0"/>
        <w:rPr>
          <w:rFonts w:cs="Tahoma"/>
        </w:rPr>
      </w:pPr>
    </w:p>
    <w:p w14:paraId="42374A37" w14:textId="027CEDB6" w:rsidR="00351965" w:rsidRPr="00351965" w:rsidRDefault="005D2677" w:rsidP="005D2677">
      <w:pPr>
        <w:pStyle w:val="Odstavekseznama"/>
        <w:numPr>
          <w:ilvl w:val="0"/>
          <w:numId w:val="11"/>
        </w:numPr>
        <w:spacing w:after="0"/>
        <w:jc w:val="center"/>
        <w:outlineLvl w:val="0"/>
      </w:pPr>
      <w:r>
        <w:t>člen</w:t>
      </w:r>
    </w:p>
    <w:p w14:paraId="5E26FED7" w14:textId="77F7ADA6" w:rsidR="00351965" w:rsidRDefault="003A4C22" w:rsidP="00351965">
      <w:pPr>
        <w:spacing w:after="0"/>
        <w:jc w:val="center"/>
        <w:outlineLvl w:val="0"/>
      </w:pPr>
      <w:r>
        <w:t>(povračilo stroškov volilne kampanje za volitve župana)</w:t>
      </w:r>
    </w:p>
    <w:p w14:paraId="1E2A38AE" w14:textId="77777777" w:rsidR="003A4C22" w:rsidRPr="00351965" w:rsidRDefault="003A4C22" w:rsidP="00351965">
      <w:pPr>
        <w:spacing w:after="0"/>
        <w:jc w:val="center"/>
        <w:outlineLvl w:val="0"/>
      </w:pPr>
    </w:p>
    <w:p w14:paraId="190B564C" w14:textId="77777777" w:rsidR="00351965" w:rsidRPr="00351965" w:rsidRDefault="00351965" w:rsidP="00351965">
      <w:pPr>
        <w:spacing w:after="0"/>
      </w:pPr>
      <w:r w:rsidRPr="00351965">
        <w:t>Organizatorji volilne kampanje za župana, katerih kandidati so dosegli najmanj 10% glasov od skupnega števila volilnih upravičencev, ki so glasovali, imajo pravico do povrnitve stroškov volilne kampanje v višini 0,12 EUR za vsak dobljeni glas.</w:t>
      </w:r>
    </w:p>
    <w:p w14:paraId="62FA736E" w14:textId="77777777" w:rsidR="00351965" w:rsidRPr="00351965" w:rsidRDefault="00351965" w:rsidP="00351965">
      <w:pPr>
        <w:spacing w:after="0"/>
      </w:pPr>
    </w:p>
    <w:p w14:paraId="5ABA5562" w14:textId="77777777" w:rsidR="005D2677" w:rsidRDefault="0002211A" w:rsidP="0002211A">
      <w:pPr>
        <w:spacing w:after="0"/>
        <w:jc w:val="left"/>
      </w:pPr>
      <w:r>
        <w:t>Če pride do drugega kroga glasovanja, sta organizatorja volilne kampanje za župana, katerih kandidata kandidirata v drugem krogu glasovanja</w:t>
      </w:r>
      <w:r w:rsidR="00351965" w:rsidRPr="00351965">
        <w:t xml:space="preserve">, upravičena do </w:t>
      </w:r>
    </w:p>
    <w:p w14:paraId="42C73F9E" w14:textId="77777777" w:rsidR="005D2677" w:rsidRDefault="005D2677" w:rsidP="0002211A">
      <w:pPr>
        <w:spacing w:after="0"/>
        <w:jc w:val="left"/>
      </w:pPr>
    </w:p>
    <w:p w14:paraId="3D2B2A4A" w14:textId="396A6C3D" w:rsidR="00351965" w:rsidRPr="00351965" w:rsidRDefault="00351965" w:rsidP="0002211A">
      <w:pPr>
        <w:spacing w:after="0"/>
        <w:jc w:val="left"/>
      </w:pPr>
      <w:r w:rsidRPr="00351965">
        <w:t>povračila stroškov v višini 0,12 EUR za dobljeni glas le na osnovi dobljenih glasov v tem krogu. Skupni znesek povrnjenih stroškov ne sme preseči zneska porabljenih sredstev, razvidnega iz poročila mestnemu svetu in računskemu sodišču.</w:t>
      </w:r>
    </w:p>
    <w:p w14:paraId="3C021EDE" w14:textId="77777777" w:rsidR="00351965" w:rsidRPr="00351965" w:rsidRDefault="00351965" w:rsidP="00351965">
      <w:pPr>
        <w:spacing w:after="0"/>
        <w:rPr>
          <w:rFonts w:cs="Tahoma"/>
        </w:rPr>
      </w:pPr>
    </w:p>
    <w:p w14:paraId="3866F727" w14:textId="16A6A53E" w:rsidR="00351965" w:rsidRPr="00351965" w:rsidRDefault="005D2677" w:rsidP="005D2677">
      <w:pPr>
        <w:pStyle w:val="Odstavekseznama"/>
        <w:numPr>
          <w:ilvl w:val="0"/>
          <w:numId w:val="11"/>
        </w:numPr>
        <w:spacing w:after="0"/>
        <w:jc w:val="center"/>
        <w:outlineLvl w:val="0"/>
      </w:pPr>
      <w:r>
        <w:t>člen</w:t>
      </w:r>
    </w:p>
    <w:p w14:paraId="26D2F1EB" w14:textId="412BCB2B" w:rsidR="003A4C22" w:rsidRDefault="003A4C22" w:rsidP="00351965">
      <w:pPr>
        <w:spacing w:after="0"/>
        <w:jc w:val="center"/>
        <w:outlineLvl w:val="0"/>
      </w:pPr>
      <w:r>
        <w:t>(način povračila stroškov)</w:t>
      </w:r>
    </w:p>
    <w:p w14:paraId="64C791E5" w14:textId="77777777" w:rsidR="003A4C22" w:rsidRPr="00351965" w:rsidRDefault="003A4C22" w:rsidP="00351965">
      <w:pPr>
        <w:spacing w:after="0"/>
        <w:jc w:val="center"/>
        <w:outlineLvl w:val="0"/>
      </w:pPr>
    </w:p>
    <w:p w14:paraId="4A54BB7B" w14:textId="45FCEBD1" w:rsidR="00351965" w:rsidRPr="00351965" w:rsidRDefault="00351965" w:rsidP="0011387C">
      <w:pPr>
        <w:spacing w:after="0"/>
        <w:jc w:val="left"/>
      </w:pPr>
      <w:r w:rsidRPr="00351965">
        <w:t xml:space="preserve">Organizatorju volilne kampanje </w:t>
      </w:r>
      <w:r w:rsidR="0002211A" w:rsidRPr="0002211A">
        <w:t>za volitve v mestni svet ali za volitve za župana</w:t>
      </w:r>
      <w:r w:rsidR="003A4C22">
        <w:t xml:space="preserve"> </w:t>
      </w:r>
      <w:r w:rsidRPr="00351965">
        <w:t>se na njegovo zahtevo povrnejo stroški volilne kampanje iz proračuna Mestne občine Novo Gorica 30. dan po predložitvi poročila mestnemu svetu in računskemu sodišču.</w:t>
      </w:r>
    </w:p>
    <w:p w14:paraId="2FA935F3" w14:textId="77777777" w:rsidR="00351965" w:rsidRPr="00351965" w:rsidRDefault="00351965" w:rsidP="00351965">
      <w:pPr>
        <w:spacing w:after="0"/>
      </w:pPr>
    </w:p>
    <w:p w14:paraId="09878412" w14:textId="12050EA0" w:rsidR="00351965" w:rsidRPr="00351965" w:rsidRDefault="005D2677" w:rsidP="005D2677">
      <w:pPr>
        <w:pStyle w:val="Odstavekseznama"/>
        <w:numPr>
          <w:ilvl w:val="0"/>
          <w:numId w:val="11"/>
        </w:numPr>
        <w:spacing w:after="0"/>
        <w:jc w:val="center"/>
        <w:outlineLvl w:val="0"/>
      </w:pPr>
      <w:r>
        <w:t>člen</w:t>
      </w:r>
    </w:p>
    <w:p w14:paraId="2EE26362" w14:textId="48E759B8" w:rsidR="00351965" w:rsidRDefault="003A4C22" w:rsidP="00351965">
      <w:pPr>
        <w:spacing w:after="0"/>
        <w:jc w:val="center"/>
        <w:outlineLvl w:val="0"/>
      </w:pPr>
      <w:r>
        <w:t>(začetek veljavnosti)</w:t>
      </w:r>
    </w:p>
    <w:p w14:paraId="6CEFC8F2" w14:textId="77777777" w:rsidR="003A4C22" w:rsidRPr="00351965" w:rsidRDefault="003A4C22" w:rsidP="00351965">
      <w:pPr>
        <w:spacing w:after="0"/>
        <w:jc w:val="center"/>
        <w:outlineLvl w:val="0"/>
      </w:pPr>
    </w:p>
    <w:p w14:paraId="3E0B6CF6" w14:textId="77777777" w:rsidR="00351965" w:rsidRPr="00351965" w:rsidRDefault="00351965" w:rsidP="00351965">
      <w:pPr>
        <w:spacing w:after="0"/>
        <w:outlineLvl w:val="0"/>
      </w:pPr>
      <w:r w:rsidRPr="00351965">
        <w:t>Ta sklep začne veljati naslednji dan po objavi v Uradnem listu Republike Slovenije.</w:t>
      </w:r>
    </w:p>
    <w:p w14:paraId="575FE259" w14:textId="77777777" w:rsidR="00351965" w:rsidRDefault="00351965" w:rsidP="00351965">
      <w:pPr>
        <w:spacing w:after="0"/>
        <w:rPr>
          <w:rFonts w:ascii="Arial" w:hAnsi="Arial"/>
          <w:sz w:val="22"/>
          <w:szCs w:val="22"/>
        </w:rPr>
      </w:pPr>
    </w:p>
    <w:p w14:paraId="426678CF" w14:textId="77777777" w:rsidR="000C79F8" w:rsidRDefault="000C79F8" w:rsidP="0078100D">
      <w:pPr>
        <w:ind w:left="0"/>
        <w:rPr>
          <w:rStyle w:val="ZvezaZnak"/>
          <w:sz w:val="20"/>
          <w:u w:val="none"/>
        </w:rPr>
      </w:pPr>
    </w:p>
    <w:p w14:paraId="48EEA82C" w14:textId="767E013F" w:rsidR="001E53E2" w:rsidRDefault="00352A82" w:rsidP="00297106">
      <w:pPr>
        <w:pStyle w:val="stevilkadokumenta"/>
      </w:pPr>
      <w:r w:rsidRPr="001916F3">
        <w:rPr>
          <w:rStyle w:val="ZvezaZnak"/>
          <w:sz w:val="20"/>
          <w:u w:val="none"/>
        </w:rPr>
        <w:t xml:space="preserve">Številka: </w:t>
      </w:r>
      <w:r w:rsidR="009A6118">
        <w:rPr>
          <w:rStyle w:val="ZvezaZnak"/>
          <w:sz w:val="20"/>
          <w:u w:val="none"/>
        </w:rPr>
        <w:t>041-0004/2026</w:t>
      </w:r>
      <w:r>
        <w:rPr>
          <w:rStyle w:val="ZvezaZnak"/>
          <w:sz w:val="20"/>
          <w:u w:val="none"/>
        </w:rPr>
        <w:br/>
      </w:r>
      <w:r>
        <w:t xml:space="preserve">Nova Gorica, </w:t>
      </w:r>
      <w:r w:rsidR="000B6198">
        <w:t>dne</w:t>
      </w:r>
    </w:p>
    <w:p w14:paraId="770574E3" w14:textId="77777777" w:rsidR="00297106" w:rsidRPr="00297106" w:rsidRDefault="00297106" w:rsidP="00297106">
      <w:pPr>
        <w:pStyle w:val="stevilkadokumenta"/>
        <w:rPr>
          <w:bCs w:val="0"/>
        </w:rPr>
      </w:pP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14:paraId="3CD79ED9" w14:textId="77777777" w:rsidTr="009060A3">
        <w:tc>
          <w:tcPr>
            <w:tcW w:w="3549" w:type="dxa"/>
          </w:tcPr>
          <w:p w14:paraId="3281E915" w14:textId="77777777" w:rsidR="009060A3" w:rsidRPr="00E639CC" w:rsidRDefault="009060A3" w:rsidP="009060A3">
            <w:pPr>
              <w:pStyle w:val="Podpisoseba"/>
              <w:spacing w:before="0" w:after="0"/>
              <w:rPr>
                <w:b/>
                <w:color w:val="FFFFFF" w:themeColor="background1"/>
              </w:rPr>
            </w:pPr>
            <w:r w:rsidRPr="00E639CC">
              <w:rPr>
                <w:b/>
                <w:color w:val="FFFFFF" w:themeColor="background1"/>
              </w:rPr>
              <w:t>Desnik podpisnik</w:t>
            </w:r>
          </w:p>
        </w:tc>
      </w:tr>
      <w:tr w:rsidR="009060A3" w14:paraId="0E78414C" w14:textId="77777777" w:rsidTr="009060A3">
        <w:tc>
          <w:tcPr>
            <w:tcW w:w="3549" w:type="dxa"/>
          </w:tcPr>
          <w:p w14:paraId="36F5CAF7" w14:textId="77777777" w:rsidR="009060A3" w:rsidRPr="00E639CC" w:rsidRDefault="009060A3" w:rsidP="009060A3">
            <w:pPr>
              <w:pStyle w:val="Podpisoseba"/>
              <w:spacing w:before="0" w:after="0"/>
              <w:rPr>
                <w:bCs w:val="0"/>
              </w:rPr>
            </w:pPr>
            <w:r w:rsidRPr="00E639CC">
              <w:rPr>
                <w:b/>
              </w:rPr>
              <w:t>Samo Turel</w:t>
            </w:r>
          </w:p>
        </w:tc>
      </w:tr>
      <w:tr w:rsidR="009060A3" w14:paraId="296EC3FE" w14:textId="77777777" w:rsidTr="009060A3">
        <w:trPr>
          <w:trHeight w:val="530"/>
        </w:trPr>
        <w:tc>
          <w:tcPr>
            <w:tcW w:w="3549" w:type="dxa"/>
          </w:tcPr>
          <w:p w14:paraId="366DB2BD" w14:textId="7596738A" w:rsidR="009060A3" w:rsidRPr="00E639CC" w:rsidRDefault="0078100D" w:rsidP="009060A3">
            <w:pPr>
              <w:pStyle w:val="Podpisoseba"/>
              <w:spacing w:before="0" w:after="0"/>
              <w:rPr>
                <w:bCs w:val="0"/>
              </w:rPr>
            </w:pPr>
            <w:r>
              <w:t>Ž</w:t>
            </w:r>
            <w:r w:rsidR="009060A3" w:rsidRPr="00E639CC">
              <w:t>upan</w:t>
            </w:r>
          </w:p>
        </w:tc>
      </w:tr>
    </w:tbl>
    <w:p w14:paraId="7C8124C5" w14:textId="77777777" w:rsidR="00E72AF2" w:rsidRDefault="00E72AF2" w:rsidP="00E72AF2">
      <w:pPr>
        <w:pStyle w:val="gradivo"/>
        <w:ind w:left="0"/>
      </w:pPr>
    </w:p>
    <w:p w14:paraId="4DFD035C" w14:textId="77777777" w:rsidR="008142AA" w:rsidRDefault="008142AA" w:rsidP="00E72AF2">
      <w:pPr>
        <w:pStyle w:val="gradivo"/>
        <w:ind w:left="0"/>
      </w:pPr>
    </w:p>
    <w:p w14:paraId="2B2DB584" w14:textId="77777777" w:rsidR="008142AA" w:rsidRDefault="008142AA" w:rsidP="00E72AF2">
      <w:pPr>
        <w:pStyle w:val="gradivo"/>
        <w:ind w:left="0"/>
      </w:pPr>
    </w:p>
    <w:p w14:paraId="79F20B25" w14:textId="77777777" w:rsidR="008142AA" w:rsidRDefault="008142AA" w:rsidP="00E72AF2">
      <w:pPr>
        <w:pStyle w:val="gradivo"/>
        <w:ind w:left="0"/>
      </w:pPr>
    </w:p>
    <w:p w14:paraId="576E7088" w14:textId="77777777" w:rsidR="008142AA" w:rsidRDefault="008142AA" w:rsidP="00E72AF2">
      <w:pPr>
        <w:pStyle w:val="gradivo"/>
        <w:ind w:left="0"/>
      </w:pPr>
    </w:p>
    <w:p w14:paraId="26615E41" w14:textId="77777777" w:rsidR="008142AA" w:rsidRDefault="008142AA" w:rsidP="00E72AF2">
      <w:pPr>
        <w:pStyle w:val="gradivo"/>
        <w:ind w:left="0"/>
      </w:pPr>
    </w:p>
    <w:p w14:paraId="71A4932F" w14:textId="77777777" w:rsidR="008142AA" w:rsidRDefault="008142AA" w:rsidP="00E72AF2">
      <w:pPr>
        <w:pStyle w:val="gradivo"/>
        <w:ind w:left="0"/>
      </w:pPr>
    </w:p>
    <w:p w14:paraId="504A6A2C" w14:textId="77777777" w:rsidR="008142AA" w:rsidRDefault="008142AA" w:rsidP="00E72AF2">
      <w:pPr>
        <w:pStyle w:val="gradivo"/>
        <w:ind w:left="0"/>
      </w:pPr>
    </w:p>
    <w:p w14:paraId="66EDBD96" w14:textId="77777777" w:rsidR="008142AA" w:rsidRDefault="008142AA" w:rsidP="00E72AF2">
      <w:pPr>
        <w:pStyle w:val="gradivo"/>
        <w:ind w:left="0"/>
      </w:pPr>
    </w:p>
    <w:p w14:paraId="111D2F13" w14:textId="77777777" w:rsidR="008142AA" w:rsidRDefault="008142AA" w:rsidP="00E72AF2">
      <w:pPr>
        <w:pStyle w:val="gradivo"/>
        <w:ind w:left="0"/>
      </w:pPr>
    </w:p>
    <w:p w14:paraId="4D3FA5BA" w14:textId="77777777" w:rsidR="008142AA" w:rsidRDefault="008142AA" w:rsidP="00E72AF2">
      <w:pPr>
        <w:pStyle w:val="gradivo"/>
        <w:ind w:left="0"/>
      </w:pPr>
    </w:p>
    <w:p w14:paraId="4294B66A" w14:textId="77777777" w:rsidR="008142AA" w:rsidRDefault="008142AA" w:rsidP="00E72AF2">
      <w:pPr>
        <w:pStyle w:val="gradivo"/>
        <w:ind w:left="0"/>
      </w:pPr>
    </w:p>
    <w:p w14:paraId="10829D50" w14:textId="77777777" w:rsidR="008142AA" w:rsidRDefault="008142AA" w:rsidP="00E72AF2">
      <w:pPr>
        <w:pStyle w:val="gradivo"/>
        <w:ind w:left="0"/>
      </w:pPr>
    </w:p>
    <w:p w14:paraId="267E7FFC" w14:textId="77777777" w:rsidR="008142AA" w:rsidRDefault="008142AA" w:rsidP="00E72AF2">
      <w:pPr>
        <w:pStyle w:val="gradivo"/>
        <w:ind w:left="0"/>
      </w:pPr>
    </w:p>
    <w:p w14:paraId="5C20FBCF" w14:textId="77777777" w:rsidR="008142AA" w:rsidRDefault="008142AA" w:rsidP="00E72AF2">
      <w:pPr>
        <w:pStyle w:val="gradivo"/>
        <w:ind w:left="0"/>
      </w:pPr>
    </w:p>
    <w:p w14:paraId="759675E6" w14:textId="77777777" w:rsidR="008142AA" w:rsidRDefault="008142AA" w:rsidP="00E72AF2">
      <w:pPr>
        <w:pStyle w:val="gradivo"/>
        <w:ind w:left="0"/>
      </w:pPr>
    </w:p>
    <w:p w14:paraId="394FFF54" w14:textId="77777777" w:rsidR="008142AA" w:rsidRDefault="008142AA" w:rsidP="00E72AF2">
      <w:pPr>
        <w:pStyle w:val="gradivo"/>
        <w:ind w:left="0"/>
      </w:pPr>
    </w:p>
    <w:p w14:paraId="08978C6B" w14:textId="77777777" w:rsidR="008142AA" w:rsidRDefault="008142AA" w:rsidP="00E72AF2">
      <w:pPr>
        <w:pStyle w:val="gradivo"/>
        <w:ind w:left="0"/>
      </w:pPr>
    </w:p>
    <w:p w14:paraId="4CE84A38" w14:textId="77777777" w:rsidR="008142AA" w:rsidRDefault="008142AA" w:rsidP="00E72AF2">
      <w:pPr>
        <w:pStyle w:val="gradivo"/>
        <w:ind w:left="0"/>
      </w:pPr>
    </w:p>
    <w:p w14:paraId="32BDFD52" w14:textId="77777777" w:rsidR="008142AA" w:rsidRDefault="008142AA" w:rsidP="00E72AF2">
      <w:pPr>
        <w:pStyle w:val="gradivo"/>
        <w:ind w:left="0"/>
      </w:pPr>
    </w:p>
    <w:p w14:paraId="0BC3B5CB" w14:textId="77777777" w:rsidR="008142AA" w:rsidRDefault="008142AA" w:rsidP="00E72AF2">
      <w:pPr>
        <w:pStyle w:val="gradivo"/>
        <w:ind w:left="0"/>
      </w:pPr>
    </w:p>
    <w:p w14:paraId="2683C6C9" w14:textId="77777777" w:rsidR="008142AA" w:rsidRDefault="008142AA" w:rsidP="00E72AF2">
      <w:pPr>
        <w:pStyle w:val="gradivo"/>
        <w:ind w:left="0"/>
      </w:pPr>
    </w:p>
    <w:p w14:paraId="15C95673" w14:textId="77777777" w:rsidR="008142AA" w:rsidRDefault="008142AA" w:rsidP="00E72AF2">
      <w:pPr>
        <w:pStyle w:val="gradivo"/>
        <w:ind w:left="0"/>
      </w:pPr>
    </w:p>
    <w:p w14:paraId="51225B5A" w14:textId="77777777" w:rsidR="008142AA" w:rsidRDefault="008142AA" w:rsidP="00E72AF2">
      <w:pPr>
        <w:pStyle w:val="gradivo"/>
        <w:ind w:left="0"/>
      </w:pPr>
    </w:p>
    <w:p w14:paraId="54093A25" w14:textId="77777777" w:rsidR="008142AA" w:rsidRDefault="008142AA" w:rsidP="00E72AF2">
      <w:pPr>
        <w:pStyle w:val="gradivo"/>
        <w:ind w:left="0"/>
      </w:pPr>
    </w:p>
    <w:p w14:paraId="3F6FB8D3" w14:textId="77777777" w:rsidR="008142AA" w:rsidRDefault="008142AA" w:rsidP="00E72AF2">
      <w:pPr>
        <w:pStyle w:val="gradivo"/>
        <w:ind w:left="0"/>
      </w:pPr>
    </w:p>
    <w:p w14:paraId="0EBFE55B" w14:textId="77777777" w:rsidR="008142AA" w:rsidRDefault="008142AA" w:rsidP="00E72AF2">
      <w:pPr>
        <w:pStyle w:val="gradivo"/>
        <w:ind w:left="0"/>
      </w:pPr>
    </w:p>
    <w:p w14:paraId="640237D9" w14:textId="46566C4C" w:rsidR="004F0CAF" w:rsidRPr="00307842" w:rsidRDefault="00FB734F" w:rsidP="004F0CAF">
      <w:pPr>
        <w:pStyle w:val="Nazivenote"/>
        <w:rPr>
          <w:b w:val="0"/>
          <w:bCs/>
          <w:noProof w:val="0"/>
        </w:rPr>
      </w:pPr>
      <w:r>
        <w:rPr>
          <w:noProof w:val="0"/>
        </w:rPr>
        <w:lastRenderedPageBreak/>
        <w:t>Župan</w:t>
      </w:r>
      <w:r w:rsidR="004F0CAF" w:rsidRPr="00307842">
        <w:rPr>
          <w:noProof w:val="0"/>
        </w:rPr>
        <w:br/>
      </w:r>
      <w:r w:rsidR="004F0CAF" w:rsidRPr="00307842">
        <w:rPr>
          <w:b w:val="0"/>
          <w:bCs/>
          <w:noProof w:val="0"/>
        </w:rPr>
        <w:t>Trg Edvarda Kardelja 1, 5000 Nova Gorica</w:t>
      </w:r>
    </w:p>
    <w:p w14:paraId="4425740C" w14:textId="77777777" w:rsidR="004F0CAF" w:rsidRPr="00307842" w:rsidRDefault="004F0CAF" w:rsidP="004F0CAF">
      <w:pPr>
        <w:pStyle w:val="Naslov1"/>
        <w:rPr>
          <w:noProof w:val="0"/>
        </w:rPr>
      </w:pPr>
      <w:r w:rsidRPr="00307842">
        <w:rPr>
          <w:noProof w:val="0"/>
        </w:rPr>
        <w:t>Obrazložitev</w:t>
      </w:r>
    </w:p>
    <w:p w14:paraId="31560AA7" w14:textId="47225380" w:rsidR="006C4146" w:rsidRPr="006C4146" w:rsidRDefault="006C4146" w:rsidP="009D2E69">
      <w:pPr>
        <w:jc w:val="left"/>
      </w:pPr>
      <w:r w:rsidRPr="006C4146">
        <w:t>Skladno z 28. členom Zakona o volilni in referendumski kampanji (Uradni list RS, št. </w:t>
      </w:r>
      <w:hyperlink r:id="rId20" w:tgtFrame="_blank" w:tooltip="Zakon o volilni in referendumski kampanji (ZVRK)" w:history="1">
        <w:r w:rsidRPr="006C4146">
          <w:t>41/07</w:t>
        </w:r>
      </w:hyperlink>
      <w:r w:rsidRPr="006C4146">
        <w:t>, </w:t>
      </w:r>
      <w:hyperlink r:id="rId21" w:tgtFrame="_blank" w:tooltip="Zakon o spremembah in dopolnitvah Zakona o političnih strankah" w:history="1">
        <w:r w:rsidRPr="006C4146">
          <w:t>103/07</w:t>
        </w:r>
      </w:hyperlink>
      <w:r w:rsidRPr="006C4146">
        <w:t> – ZPolS-D, </w:t>
      </w:r>
      <w:hyperlink r:id="rId22" w:tgtFrame="_blank" w:tooltip="Zakon o spremembah in dopolnitvah Zakona o volilni in referendumski kampanji" w:history="1">
        <w:r w:rsidRPr="006C4146">
          <w:t>11/11</w:t>
        </w:r>
      </w:hyperlink>
      <w:r w:rsidRPr="006C4146">
        <w:t>, </w:t>
      </w:r>
      <w:hyperlink r:id="rId23" w:tgtFrame="_blank" w:tooltip="Odločba o ugotovitvi, da je drugi odstavek 5. člena Zakona o volilni in referendumski kampanji v neskladju z Ustavo in razveljavitvi sodbe Okrajnega sodišča v Ljubljani" w:history="1">
        <w:r w:rsidRPr="006C4146">
          <w:t>28/11</w:t>
        </w:r>
      </w:hyperlink>
      <w:r w:rsidRPr="006C4146">
        <w:t> – odl. US in </w:t>
      </w:r>
      <w:hyperlink r:id="rId24" w:tgtFrame="_blank" w:tooltip="Zakon o spremembah in dopolnitvah Zakona o volilni in referendumski kampanji" w:history="1">
        <w:r w:rsidRPr="006C4146">
          <w:t>98/13</w:t>
        </w:r>
      </w:hyperlink>
      <w:r w:rsidRPr="006C4146">
        <w:t>; v  nadaljevanju: ZVRK) lokalna skupnost pred začetkom volilne kampanje določi višino delnega povračila stroškov organizatorjem volilne kampanje. Lokalna skupnost lahko določi, da pripada delno povračilo stroškov samo organizatorjem volilne kampanje, ki so jim pripadli mandati v mestnem svetu in samo organizatorjem volilne kampanje za župana, katerih kandidati so dosegli določen odstotek od skupnega števila volilnih upravičencev, ki so glasovali, pri čemer zgornja meja ne sme presegati 10%.</w:t>
      </w:r>
    </w:p>
    <w:p w14:paraId="4EB3AB2A" w14:textId="1EA9B105" w:rsidR="006C4146" w:rsidRPr="006C4146" w:rsidRDefault="006C4146" w:rsidP="00475974">
      <w:pPr>
        <w:jc w:val="left"/>
        <w:rPr>
          <w:lang w:eastAsia="en-US"/>
        </w:rPr>
      </w:pPr>
      <w:r w:rsidRPr="006C4146">
        <w:rPr>
          <w:lang w:eastAsia="en-US"/>
        </w:rPr>
        <w:t>Skladno z ZVRK lahko znaša delno povračilo stroškov organizatorjem volilne kampanje</w:t>
      </w:r>
      <w:r w:rsidR="00475974">
        <w:rPr>
          <w:lang w:eastAsia="en-US"/>
        </w:rPr>
        <w:t xml:space="preserve"> za člane </w:t>
      </w:r>
      <w:r w:rsidR="00F46F09">
        <w:rPr>
          <w:lang w:eastAsia="en-US"/>
        </w:rPr>
        <w:t>mestne</w:t>
      </w:r>
      <w:r w:rsidR="00475974">
        <w:rPr>
          <w:lang w:eastAsia="en-US"/>
        </w:rPr>
        <w:t>ga</w:t>
      </w:r>
      <w:r w:rsidRPr="006C4146">
        <w:rPr>
          <w:lang w:eastAsia="en-US"/>
        </w:rPr>
        <w:t xml:space="preserve"> svet</w:t>
      </w:r>
      <w:r w:rsidR="00475974">
        <w:rPr>
          <w:lang w:eastAsia="en-US"/>
        </w:rPr>
        <w:t>a</w:t>
      </w:r>
      <w:r w:rsidRPr="006C4146">
        <w:rPr>
          <w:lang w:eastAsia="en-US"/>
        </w:rPr>
        <w:t>, največ 0,33 eura za dobljeni glas, organizatorjem volilne kampanje za župana pa največ 0,12 eura za vsak dobljeni glas. Če pride na volitvah za župana do drugega kroga glasovanja, sta kandidata, ki kandidirata v drugem krogu, upravičena do povračila stroškov le na osnovi dobljenih glasov v tem krogu.</w:t>
      </w:r>
    </w:p>
    <w:p w14:paraId="50E40172" w14:textId="6F6CEBDE" w:rsidR="006C4146" w:rsidRPr="006C4146" w:rsidRDefault="006C4146" w:rsidP="00A54256">
      <w:pPr>
        <w:jc w:val="left"/>
        <w:rPr>
          <w:lang w:eastAsia="en-US"/>
        </w:rPr>
      </w:pPr>
      <w:r w:rsidRPr="006C4146">
        <w:rPr>
          <w:lang w:eastAsia="en-US"/>
        </w:rPr>
        <w:t xml:space="preserve">S predloženim predlogom sklepa so tako skladno z </w:t>
      </w:r>
      <w:r w:rsidR="006F1001">
        <w:rPr>
          <w:lang w:eastAsia="en-US"/>
        </w:rPr>
        <w:t xml:space="preserve">ZVRK </w:t>
      </w:r>
      <w:r w:rsidRPr="006C4146">
        <w:rPr>
          <w:lang w:eastAsia="en-US"/>
        </w:rPr>
        <w:t>določeni kriteriji za delno povračilo stroškov organizatorjem volilne kampanje, katerih listam so pripadli mandati za člane mestnega sveta in organizatorjem volilne kampanje za župana, in sicer v višini, kot jo do</w:t>
      </w:r>
      <w:r w:rsidR="00585968">
        <w:rPr>
          <w:lang w:eastAsia="en-US"/>
        </w:rPr>
        <w:t>pušča</w:t>
      </w:r>
      <w:r w:rsidRPr="006C4146">
        <w:rPr>
          <w:lang w:eastAsia="en-US"/>
        </w:rPr>
        <w:t xml:space="preserve"> zakon.</w:t>
      </w:r>
    </w:p>
    <w:p w14:paraId="561865A7" w14:textId="77777777" w:rsidR="006C4146" w:rsidRPr="006C4146" w:rsidRDefault="006C4146" w:rsidP="006C4146">
      <w:pPr>
        <w:jc w:val="left"/>
      </w:pPr>
      <w:r w:rsidRPr="006C4146">
        <w:t>Mestnemu svetu Mestne občine Nova Gorica se predlaga, da predloženi sklep sprejme.</w:t>
      </w:r>
    </w:p>
    <w:p w14:paraId="1CE6151F" w14:textId="4D733ECD" w:rsidR="007567FF" w:rsidRDefault="007567FF" w:rsidP="003A4C22">
      <w:pPr>
        <w:spacing w:after="0" w:line="240" w:lineRule="exact"/>
        <w:ind w:left="0" w:right="0"/>
        <w:jc w:val="left"/>
        <w:rPr>
          <w:bCs w:val="0"/>
          <w:noProof w:val="0"/>
          <w:color w:val="002F87"/>
        </w:rPr>
      </w:pPr>
    </w:p>
    <w:tbl>
      <w:tblPr>
        <w:tblStyle w:val="Tabelamrea"/>
        <w:tblW w:w="93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817"/>
        <w:gridCol w:w="4615"/>
        <w:gridCol w:w="341"/>
        <w:gridCol w:w="3549"/>
      </w:tblGrid>
      <w:tr w:rsidR="00FB734F" w:rsidRPr="00E639CC" w14:paraId="6D8F311F" w14:textId="77777777" w:rsidTr="00FB734F">
        <w:trPr>
          <w:gridBefore w:val="1"/>
          <w:wBefore w:w="817" w:type="dxa"/>
        </w:trPr>
        <w:tc>
          <w:tcPr>
            <w:tcW w:w="4956" w:type="dxa"/>
            <w:gridSpan w:val="2"/>
          </w:tcPr>
          <w:p w14:paraId="7702D5A8" w14:textId="77777777" w:rsidR="00FB734F" w:rsidRDefault="00FB734F" w:rsidP="00CD3A0F">
            <w:pPr>
              <w:pStyle w:val="Podpisoseba"/>
              <w:spacing w:before="0" w:after="0"/>
              <w:rPr>
                <w:bCs w:val="0"/>
              </w:rPr>
            </w:pPr>
          </w:p>
          <w:p w14:paraId="42CB8FE2" w14:textId="77777777" w:rsidR="00FB734F" w:rsidRDefault="00FB734F" w:rsidP="00CD3A0F">
            <w:pPr>
              <w:pStyle w:val="Podpisoseba"/>
              <w:spacing w:before="0" w:after="0"/>
              <w:rPr>
                <w:bCs w:val="0"/>
              </w:rPr>
            </w:pPr>
          </w:p>
          <w:p w14:paraId="165BA2B4" w14:textId="77777777" w:rsidR="00FB734F" w:rsidRPr="00E639CC" w:rsidRDefault="00FB734F" w:rsidP="00CD3A0F">
            <w:pPr>
              <w:pStyle w:val="Podpisoseba"/>
              <w:spacing w:before="0" w:after="0"/>
              <w:rPr>
                <w:b/>
                <w:color w:val="FFFFFF" w:themeColor="background1"/>
              </w:rPr>
            </w:pPr>
            <w:r w:rsidRPr="00110838">
              <w:rPr>
                <w:bCs w:val="0"/>
              </w:rPr>
              <w:t>Pripravil</w:t>
            </w:r>
            <w:r>
              <w:rPr>
                <w:bCs w:val="0"/>
              </w:rPr>
              <w:t>a:</w:t>
            </w:r>
            <w:r w:rsidRPr="00E639CC">
              <w:rPr>
                <w:b/>
                <w:color w:val="FFFFFF" w:themeColor="background1"/>
              </w:rPr>
              <w:t>Levi podpisnik</w:t>
            </w:r>
          </w:p>
        </w:tc>
        <w:tc>
          <w:tcPr>
            <w:tcW w:w="3549" w:type="dxa"/>
          </w:tcPr>
          <w:p w14:paraId="547D7F73" w14:textId="77777777" w:rsidR="00FB734F" w:rsidRPr="00E639CC" w:rsidRDefault="00FB734F" w:rsidP="00CD3A0F">
            <w:pPr>
              <w:pStyle w:val="Podpisoseba"/>
              <w:spacing w:before="0" w:after="0"/>
              <w:rPr>
                <w:b/>
                <w:color w:val="FFFFFF" w:themeColor="background1"/>
              </w:rPr>
            </w:pPr>
            <w:r w:rsidRPr="00E639CC">
              <w:rPr>
                <w:b/>
                <w:color w:val="FFFFFF" w:themeColor="background1"/>
              </w:rPr>
              <w:t>Desnik podpisnik</w:t>
            </w:r>
          </w:p>
        </w:tc>
      </w:tr>
      <w:tr w:rsidR="00FB734F" w:rsidRPr="00742528" w14:paraId="26A53227" w14:textId="77777777" w:rsidTr="00FB734F">
        <w:trPr>
          <w:gridBefore w:val="1"/>
          <w:wBefore w:w="817" w:type="dxa"/>
        </w:trPr>
        <w:tc>
          <w:tcPr>
            <w:tcW w:w="4956" w:type="dxa"/>
            <w:gridSpan w:val="2"/>
          </w:tcPr>
          <w:p w14:paraId="295C6401" w14:textId="3C8FECA7" w:rsidR="00FB734F" w:rsidRPr="00742528" w:rsidRDefault="00FB734F" w:rsidP="00CD3A0F">
            <w:pPr>
              <w:pStyle w:val="Podpisoseba"/>
              <w:spacing w:before="0" w:after="0"/>
              <w:rPr>
                <w:b/>
                <w:bCs w:val="0"/>
              </w:rPr>
            </w:pPr>
            <w:r>
              <w:rPr>
                <w:b/>
                <w:bCs w:val="0"/>
              </w:rPr>
              <w:t>Petra Konrad</w:t>
            </w:r>
          </w:p>
        </w:tc>
        <w:tc>
          <w:tcPr>
            <w:tcW w:w="3549" w:type="dxa"/>
          </w:tcPr>
          <w:p w14:paraId="58754A03" w14:textId="3CABB644" w:rsidR="00FB734F" w:rsidRPr="00742528" w:rsidRDefault="00FB734F" w:rsidP="00CD3A0F">
            <w:pPr>
              <w:pStyle w:val="Podpisoseba"/>
              <w:spacing w:before="0" w:after="0"/>
              <w:rPr>
                <w:b/>
                <w:bCs w:val="0"/>
              </w:rPr>
            </w:pPr>
            <w:r>
              <w:rPr>
                <w:b/>
              </w:rPr>
              <w:t>Samo Turel</w:t>
            </w:r>
          </w:p>
        </w:tc>
      </w:tr>
      <w:tr w:rsidR="00FB734F" w:rsidRPr="00742528" w14:paraId="080C8EF9" w14:textId="77777777" w:rsidTr="00FB734F">
        <w:trPr>
          <w:gridBefore w:val="1"/>
          <w:wBefore w:w="817" w:type="dxa"/>
        </w:trPr>
        <w:tc>
          <w:tcPr>
            <w:tcW w:w="4956" w:type="dxa"/>
            <w:gridSpan w:val="2"/>
          </w:tcPr>
          <w:p w14:paraId="2A81CC93" w14:textId="77777777" w:rsidR="00FB734F" w:rsidRPr="00742528" w:rsidRDefault="00FB734F" w:rsidP="00CD3A0F">
            <w:pPr>
              <w:pStyle w:val="Podpisoseba"/>
              <w:spacing w:before="0" w:after="0"/>
              <w:ind w:right="459"/>
              <w:rPr>
                <w:bCs w:val="0"/>
              </w:rPr>
            </w:pPr>
            <w:r>
              <w:t>S</w:t>
            </w:r>
            <w:r w:rsidRPr="00742528">
              <w:t xml:space="preserve">trokovna </w:t>
            </w:r>
            <w:r>
              <w:t>so</w:t>
            </w:r>
            <w:r w:rsidRPr="00742528">
              <w:t>delavka</w:t>
            </w:r>
          </w:p>
        </w:tc>
        <w:tc>
          <w:tcPr>
            <w:tcW w:w="3549" w:type="dxa"/>
          </w:tcPr>
          <w:p w14:paraId="5091E50A" w14:textId="5D25EBD8" w:rsidR="00FB734F" w:rsidRPr="00742528" w:rsidRDefault="00FB734F" w:rsidP="00CD3A0F">
            <w:pPr>
              <w:pStyle w:val="Podpisoseba"/>
              <w:spacing w:before="0" w:after="0"/>
              <w:rPr>
                <w:bCs w:val="0"/>
              </w:rPr>
            </w:pPr>
            <w:r>
              <w:rPr>
                <w:bCs w:val="0"/>
              </w:rPr>
              <w:t>Župan</w:t>
            </w:r>
          </w:p>
        </w:tc>
      </w:tr>
      <w:tr w:rsidR="007567FF" w:rsidRPr="007567FF" w14:paraId="4AEBAD03" w14:textId="77777777" w:rsidTr="00FB734F">
        <w:tc>
          <w:tcPr>
            <w:tcW w:w="5432" w:type="dxa"/>
            <w:gridSpan w:val="2"/>
          </w:tcPr>
          <w:p w14:paraId="658E15A2" w14:textId="77777777" w:rsidR="007567FF" w:rsidRPr="007567FF" w:rsidRDefault="007567FF" w:rsidP="00630D69">
            <w:pPr>
              <w:spacing w:after="160" w:line="259" w:lineRule="auto"/>
              <w:ind w:left="0" w:right="0"/>
              <w:jc w:val="left"/>
              <w:rPr>
                <w:b/>
                <w:noProof w:val="0"/>
                <w:color w:val="FFFFFF" w:themeColor="background1"/>
              </w:rPr>
            </w:pPr>
          </w:p>
        </w:tc>
        <w:tc>
          <w:tcPr>
            <w:tcW w:w="3890" w:type="dxa"/>
            <w:gridSpan w:val="2"/>
          </w:tcPr>
          <w:p w14:paraId="16E0D8D9" w14:textId="77777777" w:rsidR="007567FF" w:rsidRPr="007567FF" w:rsidRDefault="007567FF" w:rsidP="007567FF">
            <w:pPr>
              <w:spacing w:after="0" w:line="240" w:lineRule="exact"/>
              <w:ind w:left="0" w:right="0"/>
              <w:jc w:val="left"/>
              <w:rPr>
                <w:b/>
                <w:noProof w:val="0"/>
                <w:color w:val="FFFFFF" w:themeColor="background1"/>
              </w:rPr>
            </w:pPr>
          </w:p>
        </w:tc>
      </w:tr>
      <w:tr w:rsidR="007567FF" w:rsidRPr="007567FF" w14:paraId="6521E91E" w14:textId="77777777" w:rsidTr="00FB734F">
        <w:tc>
          <w:tcPr>
            <w:tcW w:w="5432" w:type="dxa"/>
            <w:gridSpan w:val="2"/>
          </w:tcPr>
          <w:p w14:paraId="49F31553" w14:textId="4BE31AB6" w:rsidR="007567FF" w:rsidRPr="007567FF" w:rsidRDefault="007567FF" w:rsidP="007567FF">
            <w:pPr>
              <w:spacing w:after="0" w:line="240" w:lineRule="exact"/>
              <w:ind w:left="-101" w:right="0"/>
              <w:jc w:val="left"/>
              <w:rPr>
                <w:b/>
                <w:bCs w:val="0"/>
                <w:noProof w:val="0"/>
                <w:color w:val="002F87"/>
              </w:rPr>
            </w:pPr>
          </w:p>
        </w:tc>
        <w:tc>
          <w:tcPr>
            <w:tcW w:w="3890" w:type="dxa"/>
            <w:gridSpan w:val="2"/>
          </w:tcPr>
          <w:p w14:paraId="0D85E7FF" w14:textId="4E591E10" w:rsidR="007567FF" w:rsidRPr="007567FF" w:rsidRDefault="007567FF" w:rsidP="007567FF">
            <w:pPr>
              <w:spacing w:after="0" w:line="240" w:lineRule="exact"/>
              <w:ind w:left="0" w:right="0"/>
              <w:jc w:val="left"/>
              <w:rPr>
                <w:b/>
                <w:bCs w:val="0"/>
                <w:noProof w:val="0"/>
                <w:color w:val="002F87"/>
              </w:rPr>
            </w:pPr>
          </w:p>
        </w:tc>
      </w:tr>
      <w:tr w:rsidR="007567FF" w:rsidRPr="007567FF" w14:paraId="0F8D54E0" w14:textId="77777777" w:rsidTr="00FB734F">
        <w:tc>
          <w:tcPr>
            <w:tcW w:w="5432" w:type="dxa"/>
            <w:gridSpan w:val="2"/>
          </w:tcPr>
          <w:p w14:paraId="31D3B34E" w14:textId="77777777" w:rsidR="007567FF" w:rsidRPr="007567FF" w:rsidRDefault="007567FF" w:rsidP="007567FF">
            <w:pPr>
              <w:spacing w:after="0" w:line="240" w:lineRule="exact"/>
              <w:ind w:left="0" w:right="459"/>
              <w:jc w:val="left"/>
              <w:rPr>
                <w:bCs w:val="0"/>
                <w:noProof w:val="0"/>
                <w:color w:val="002F87"/>
              </w:rPr>
            </w:pPr>
          </w:p>
        </w:tc>
        <w:tc>
          <w:tcPr>
            <w:tcW w:w="3890" w:type="dxa"/>
            <w:gridSpan w:val="2"/>
          </w:tcPr>
          <w:p w14:paraId="219295E6" w14:textId="62849C38" w:rsidR="007567FF" w:rsidRPr="007567FF" w:rsidRDefault="007567FF" w:rsidP="007567FF">
            <w:pPr>
              <w:spacing w:after="0" w:line="240" w:lineRule="exact"/>
              <w:ind w:left="0" w:right="0"/>
              <w:jc w:val="left"/>
              <w:rPr>
                <w:bCs w:val="0"/>
                <w:noProof w:val="0"/>
                <w:color w:val="002F87"/>
              </w:rPr>
            </w:pPr>
          </w:p>
        </w:tc>
      </w:tr>
    </w:tbl>
    <w:p w14:paraId="79129A5A" w14:textId="77777777" w:rsidR="008142AA" w:rsidRPr="0066085E" w:rsidRDefault="008142AA" w:rsidP="00E72AF2">
      <w:pPr>
        <w:pStyle w:val="gradivo"/>
        <w:ind w:left="0"/>
      </w:pPr>
    </w:p>
    <w:sectPr w:rsidR="008142AA" w:rsidRPr="0066085E"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7DFEF" w14:textId="77777777" w:rsidR="00544B26" w:rsidRDefault="00544B26" w:rsidP="00352A82">
      <w:r>
        <w:separator/>
      </w:r>
    </w:p>
  </w:endnote>
  <w:endnote w:type="continuationSeparator" w:id="0">
    <w:p w14:paraId="48E85F75" w14:textId="77777777" w:rsidR="00544B26" w:rsidRDefault="00544B26"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AA0AE" w14:textId="77777777" w:rsidR="00544B26" w:rsidRDefault="00544B26" w:rsidP="00352A82">
      <w:r>
        <w:separator/>
      </w:r>
    </w:p>
  </w:footnote>
  <w:footnote w:type="continuationSeparator" w:id="0">
    <w:p w14:paraId="57BA3F26" w14:textId="77777777" w:rsidR="00544B26" w:rsidRDefault="00544B26"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616F90A1" w:rsidR="00083CA2" w:rsidRPr="00083CA2" w:rsidRDefault="00A1417E" w:rsidP="00352A82">
    <w:r w:rsidRPr="00307842">
      <w:drawing>
        <wp:anchor distT="0" distB="0" distL="114300" distR="114300" simplePos="0" relativeHeight="251693056" behindDoc="1" locked="0" layoutInCell="1" allowOverlap="1" wp14:anchorId="100C690D" wp14:editId="63EE3A9D">
          <wp:simplePos x="0" y="0"/>
          <wp:positionH relativeFrom="page">
            <wp:align>right</wp:align>
          </wp:positionH>
          <wp:positionV relativeFrom="page">
            <wp:posOffset>217805</wp:posOffset>
          </wp:positionV>
          <wp:extent cx="7556400" cy="936000"/>
          <wp:effectExtent l="0" t="0" r="0" b="0"/>
          <wp:wrapNone/>
          <wp:docPr id="1235709647" name="Slika 1235709647"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103535B2">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4D8C32CE"/>
    <w:multiLevelType w:val="hybridMultilevel"/>
    <w:tmpl w:val="197C2BE4"/>
    <w:lvl w:ilvl="0" w:tplc="819A78DC">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6"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577129964">
    <w:abstractNumId w:val="6"/>
  </w:num>
  <w:num w:numId="2" w16cid:durableId="1164929981">
    <w:abstractNumId w:val="9"/>
  </w:num>
  <w:num w:numId="3" w16cid:durableId="1314213452">
    <w:abstractNumId w:val="0"/>
  </w:num>
  <w:num w:numId="4" w16cid:durableId="629288842">
    <w:abstractNumId w:val="3"/>
  </w:num>
  <w:num w:numId="5" w16cid:durableId="738939049">
    <w:abstractNumId w:val="8"/>
  </w:num>
  <w:num w:numId="6" w16cid:durableId="1657220828">
    <w:abstractNumId w:val="10"/>
  </w:num>
  <w:num w:numId="7" w16cid:durableId="1256210005">
    <w:abstractNumId w:val="1"/>
  </w:num>
  <w:num w:numId="8" w16cid:durableId="620721476">
    <w:abstractNumId w:val="2"/>
  </w:num>
  <w:num w:numId="9" w16cid:durableId="1223718357">
    <w:abstractNumId w:val="4"/>
  </w:num>
  <w:num w:numId="10" w16cid:durableId="767116328">
    <w:abstractNumId w:val="7"/>
  </w:num>
  <w:num w:numId="11" w16cid:durableId="2438847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5FAC"/>
    <w:rsid w:val="0002211A"/>
    <w:rsid w:val="000276AB"/>
    <w:rsid w:val="00053B54"/>
    <w:rsid w:val="0005678C"/>
    <w:rsid w:val="00070187"/>
    <w:rsid w:val="000720B1"/>
    <w:rsid w:val="00073502"/>
    <w:rsid w:val="000761D0"/>
    <w:rsid w:val="000807CE"/>
    <w:rsid w:val="00083CA2"/>
    <w:rsid w:val="000A6091"/>
    <w:rsid w:val="000B5D4A"/>
    <w:rsid w:val="000B6198"/>
    <w:rsid w:val="000C79F8"/>
    <w:rsid w:val="000D6C77"/>
    <w:rsid w:val="000E38EB"/>
    <w:rsid w:val="000E5815"/>
    <w:rsid w:val="00101B99"/>
    <w:rsid w:val="00110838"/>
    <w:rsid w:val="00112DD1"/>
    <w:rsid w:val="001137D1"/>
    <w:rsid w:val="0011387C"/>
    <w:rsid w:val="001220D2"/>
    <w:rsid w:val="001375AE"/>
    <w:rsid w:val="00143ED8"/>
    <w:rsid w:val="00145A3D"/>
    <w:rsid w:val="00166B50"/>
    <w:rsid w:val="00167093"/>
    <w:rsid w:val="0017260E"/>
    <w:rsid w:val="001732D3"/>
    <w:rsid w:val="00173382"/>
    <w:rsid w:val="0018319A"/>
    <w:rsid w:val="00183639"/>
    <w:rsid w:val="0018679C"/>
    <w:rsid w:val="001916F3"/>
    <w:rsid w:val="00192B9A"/>
    <w:rsid w:val="001A7991"/>
    <w:rsid w:val="001B2389"/>
    <w:rsid w:val="001C491B"/>
    <w:rsid w:val="001C6438"/>
    <w:rsid w:val="001D680A"/>
    <w:rsid w:val="001D7013"/>
    <w:rsid w:val="001E0642"/>
    <w:rsid w:val="001E1E41"/>
    <w:rsid w:val="001E230D"/>
    <w:rsid w:val="001E53E2"/>
    <w:rsid w:val="002133CB"/>
    <w:rsid w:val="00217C20"/>
    <w:rsid w:val="00224F05"/>
    <w:rsid w:val="0022510F"/>
    <w:rsid w:val="00225963"/>
    <w:rsid w:val="00225D8C"/>
    <w:rsid w:val="00226E0E"/>
    <w:rsid w:val="00264DB7"/>
    <w:rsid w:val="00275F4D"/>
    <w:rsid w:val="0028430E"/>
    <w:rsid w:val="0028622D"/>
    <w:rsid w:val="002961CD"/>
    <w:rsid w:val="00297106"/>
    <w:rsid w:val="002B08B0"/>
    <w:rsid w:val="002F5A1D"/>
    <w:rsid w:val="002F72CD"/>
    <w:rsid w:val="00307779"/>
    <w:rsid w:val="003148CF"/>
    <w:rsid w:val="003452CB"/>
    <w:rsid w:val="00345A59"/>
    <w:rsid w:val="00345FDC"/>
    <w:rsid w:val="00351965"/>
    <w:rsid w:val="00352A82"/>
    <w:rsid w:val="00355F3A"/>
    <w:rsid w:val="00366240"/>
    <w:rsid w:val="00370E77"/>
    <w:rsid w:val="003751ED"/>
    <w:rsid w:val="00376365"/>
    <w:rsid w:val="003815F8"/>
    <w:rsid w:val="0039457F"/>
    <w:rsid w:val="003A0AE4"/>
    <w:rsid w:val="003A3BD6"/>
    <w:rsid w:val="003A4C22"/>
    <w:rsid w:val="003A4EE2"/>
    <w:rsid w:val="003B11F7"/>
    <w:rsid w:val="003E2C39"/>
    <w:rsid w:val="003F02AA"/>
    <w:rsid w:val="003F3284"/>
    <w:rsid w:val="003F4211"/>
    <w:rsid w:val="00403521"/>
    <w:rsid w:val="00404EA8"/>
    <w:rsid w:val="004129EE"/>
    <w:rsid w:val="00420157"/>
    <w:rsid w:val="00445A64"/>
    <w:rsid w:val="0045741A"/>
    <w:rsid w:val="00461B39"/>
    <w:rsid w:val="00463FA4"/>
    <w:rsid w:val="00475974"/>
    <w:rsid w:val="00486063"/>
    <w:rsid w:val="00491995"/>
    <w:rsid w:val="004953C5"/>
    <w:rsid w:val="004A2769"/>
    <w:rsid w:val="004B6FAC"/>
    <w:rsid w:val="004E242E"/>
    <w:rsid w:val="004E57C5"/>
    <w:rsid w:val="004F0CAF"/>
    <w:rsid w:val="004F22A0"/>
    <w:rsid w:val="00505784"/>
    <w:rsid w:val="005210F0"/>
    <w:rsid w:val="00530011"/>
    <w:rsid w:val="00530051"/>
    <w:rsid w:val="00544B26"/>
    <w:rsid w:val="00560915"/>
    <w:rsid w:val="005710E4"/>
    <w:rsid w:val="00577356"/>
    <w:rsid w:val="00581BE7"/>
    <w:rsid w:val="00585968"/>
    <w:rsid w:val="00587772"/>
    <w:rsid w:val="005927D7"/>
    <w:rsid w:val="00597B57"/>
    <w:rsid w:val="005A6015"/>
    <w:rsid w:val="005B467C"/>
    <w:rsid w:val="005C49B9"/>
    <w:rsid w:val="005C7716"/>
    <w:rsid w:val="005D2677"/>
    <w:rsid w:val="005D463E"/>
    <w:rsid w:val="005D78B5"/>
    <w:rsid w:val="00630D69"/>
    <w:rsid w:val="0063597E"/>
    <w:rsid w:val="0066085E"/>
    <w:rsid w:val="006620F0"/>
    <w:rsid w:val="00676748"/>
    <w:rsid w:val="006842FC"/>
    <w:rsid w:val="006955B6"/>
    <w:rsid w:val="006B201F"/>
    <w:rsid w:val="006C4146"/>
    <w:rsid w:val="006C4D8E"/>
    <w:rsid w:val="006C60C5"/>
    <w:rsid w:val="006F1001"/>
    <w:rsid w:val="00706860"/>
    <w:rsid w:val="00711D7C"/>
    <w:rsid w:val="00714788"/>
    <w:rsid w:val="00722FAC"/>
    <w:rsid w:val="00731380"/>
    <w:rsid w:val="00734A18"/>
    <w:rsid w:val="0073517A"/>
    <w:rsid w:val="00737529"/>
    <w:rsid w:val="00740EEA"/>
    <w:rsid w:val="007567FF"/>
    <w:rsid w:val="00770720"/>
    <w:rsid w:val="00774DD1"/>
    <w:rsid w:val="0078100D"/>
    <w:rsid w:val="00790798"/>
    <w:rsid w:val="0079172C"/>
    <w:rsid w:val="00791DB2"/>
    <w:rsid w:val="00793022"/>
    <w:rsid w:val="00796028"/>
    <w:rsid w:val="007A1F44"/>
    <w:rsid w:val="007D2E3E"/>
    <w:rsid w:val="007D46CB"/>
    <w:rsid w:val="007D6635"/>
    <w:rsid w:val="007E6FF1"/>
    <w:rsid w:val="007F6199"/>
    <w:rsid w:val="00810854"/>
    <w:rsid w:val="008142AA"/>
    <w:rsid w:val="0082204C"/>
    <w:rsid w:val="00873CAB"/>
    <w:rsid w:val="008759F5"/>
    <w:rsid w:val="00876FA4"/>
    <w:rsid w:val="008802E3"/>
    <w:rsid w:val="00880392"/>
    <w:rsid w:val="008821D4"/>
    <w:rsid w:val="00882400"/>
    <w:rsid w:val="00882ACC"/>
    <w:rsid w:val="008875E2"/>
    <w:rsid w:val="008F21D2"/>
    <w:rsid w:val="008F48DD"/>
    <w:rsid w:val="008F5DCA"/>
    <w:rsid w:val="009060A3"/>
    <w:rsid w:val="00923A6E"/>
    <w:rsid w:val="00926BDE"/>
    <w:rsid w:val="009353E3"/>
    <w:rsid w:val="00954E94"/>
    <w:rsid w:val="00964AD4"/>
    <w:rsid w:val="00994CA9"/>
    <w:rsid w:val="009A6118"/>
    <w:rsid w:val="009A7263"/>
    <w:rsid w:val="009B227A"/>
    <w:rsid w:val="009D2E69"/>
    <w:rsid w:val="00A03315"/>
    <w:rsid w:val="00A1059B"/>
    <w:rsid w:val="00A1417E"/>
    <w:rsid w:val="00A54256"/>
    <w:rsid w:val="00A7398A"/>
    <w:rsid w:val="00A87869"/>
    <w:rsid w:val="00A9127C"/>
    <w:rsid w:val="00A9136F"/>
    <w:rsid w:val="00A95A58"/>
    <w:rsid w:val="00A97B11"/>
    <w:rsid w:val="00AA4BFD"/>
    <w:rsid w:val="00AB27C8"/>
    <w:rsid w:val="00AC011E"/>
    <w:rsid w:val="00AC22BE"/>
    <w:rsid w:val="00AD2E49"/>
    <w:rsid w:val="00AD5126"/>
    <w:rsid w:val="00AD7499"/>
    <w:rsid w:val="00B010BA"/>
    <w:rsid w:val="00B07F52"/>
    <w:rsid w:val="00B12614"/>
    <w:rsid w:val="00B657E8"/>
    <w:rsid w:val="00BB15C4"/>
    <w:rsid w:val="00BD0787"/>
    <w:rsid w:val="00BE5B70"/>
    <w:rsid w:val="00BE69F5"/>
    <w:rsid w:val="00C10614"/>
    <w:rsid w:val="00C36277"/>
    <w:rsid w:val="00C532A1"/>
    <w:rsid w:val="00C61A97"/>
    <w:rsid w:val="00C61BBC"/>
    <w:rsid w:val="00C712D5"/>
    <w:rsid w:val="00C7627D"/>
    <w:rsid w:val="00C7668D"/>
    <w:rsid w:val="00C84353"/>
    <w:rsid w:val="00C8745A"/>
    <w:rsid w:val="00C961AE"/>
    <w:rsid w:val="00C973E8"/>
    <w:rsid w:val="00CA7FEF"/>
    <w:rsid w:val="00CC3F17"/>
    <w:rsid w:val="00CC58FF"/>
    <w:rsid w:val="00CC5E51"/>
    <w:rsid w:val="00CD0869"/>
    <w:rsid w:val="00CE0A4C"/>
    <w:rsid w:val="00CF0B4F"/>
    <w:rsid w:val="00CF2AFF"/>
    <w:rsid w:val="00D119DE"/>
    <w:rsid w:val="00D25FC4"/>
    <w:rsid w:val="00D34ADD"/>
    <w:rsid w:val="00D417DF"/>
    <w:rsid w:val="00D51EE1"/>
    <w:rsid w:val="00D81991"/>
    <w:rsid w:val="00DA69BC"/>
    <w:rsid w:val="00DA76CB"/>
    <w:rsid w:val="00DC5E8E"/>
    <w:rsid w:val="00DC77F3"/>
    <w:rsid w:val="00DD550C"/>
    <w:rsid w:val="00DE7B81"/>
    <w:rsid w:val="00DF3683"/>
    <w:rsid w:val="00E16371"/>
    <w:rsid w:val="00E217AD"/>
    <w:rsid w:val="00E34F3C"/>
    <w:rsid w:val="00E457FF"/>
    <w:rsid w:val="00E531D5"/>
    <w:rsid w:val="00E57102"/>
    <w:rsid w:val="00E639CC"/>
    <w:rsid w:val="00E70CE1"/>
    <w:rsid w:val="00E72ABD"/>
    <w:rsid w:val="00E72AF2"/>
    <w:rsid w:val="00E876FD"/>
    <w:rsid w:val="00E96A70"/>
    <w:rsid w:val="00EA06E7"/>
    <w:rsid w:val="00EB1931"/>
    <w:rsid w:val="00EB3414"/>
    <w:rsid w:val="00ED7977"/>
    <w:rsid w:val="00EE5DDF"/>
    <w:rsid w:val="00F026B0"/>
    <w:rsid w:val="00F1080C"/>
    <w:rsid w:val="00F12361"/>
    <w:rsid w:val="00F2203E"/>
    <w:rsid w:val="00F24C66"/>
    <w:rsid w:val="00F27F42"/>
    <w:rsid w:val="00F34638"/>
    <w:rsid w:val="00F40810"/>
    <w:rsid w:val="00F4231E"/>
    <w:rsid w:val="00F444D1"/>
    <w:rsid w:val="00F46F09"/>
    <w:rsid w:val="00F52FB2"/>
    <w:rsid w:val="00F56CB1"/>
    <w:rsid w:val="00F57D69"/>
    <w:rsid w:val="00F75F9D"/>
    <w:rsid w:val="00F811AF"/>
    <w:rsid w:val="00F81FC2"/>
    <w:rsid w:val="00F84EF2"/>
    <w:rsid w:val="00F85E9E"/>
    <w:rsid w:val="00F86504"/>
    <w:rsid w:val="00F96F26"/>
    <w:rsid w:val="00FB7287"/>
    <w:rsid w:val="00FB734F"/>
    <w:rsid w:val="00FB75BB"/>
    <w:rsid w:val="00FC1D3B"/>
    <w:rsid w:val="00FF1A08"/>
    <w:rsid w:val="00FF6A11"/>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Revizija">
    <w:name w:val="Revision"/>
    <w:hidden/>
    <w:uiPriority w:val="99"/>
    <w:semiHidden/>
    <w:rsid w:val="0002211A"/>
    <w:pPr>
      <w:spacing w:after="0" w:line="240" w:lineRule="auto"/>
    </w:pPr>
    <w:rPr>
      <w:rFonts w:ascii="Verdana" w:eastAsia="Times New Roman" w:hAnsi="Verdana" w:cs="Arial"/>
      <w:bCs/>
      <w:noProof/>
      <w:sz w:val="20"/>
      <w:szCs w:val="20"/>
      <w:lang w:eastAsia="sl-SI"/>
    </w:rPr>
  </w:style>
  <w:style w:type="character" w:styleId="Pripombasklic">
    <w:name w:val="annotation reference"/>
    <w:basedOn w:val="Privzetapisavaodstavka"/>
    <w:uiPriority w:val="99"/>
    <w:semiHidden/>
    <w:unhideWhenUsed/>
    <w:rsid w:val="0002211A"/>
    <w:rPr>
      <w:sz w:val="16"/>
      <w:szCs w:val="16"/>
    </w:rPr>
  </w:style>
  <w:style w:type="paragraph" w:styleId="Pripombabesedilo">
    <w:name w:val="annotation text"/>
    <w:basedOn w:val="Navaden"/>
    <w:link w:val="PripombabesediloZnak"/>
    <w:uiPriority w:val="99"/>
    <w:unhideWhenUsed/>
    <w:rsid w:val="0002211A"/>
    <w:pPr>
      <w:spacing w:line="240" w:lineRule="auto"/>
    </w:pPr>
  </w:style>
  <w:style w:type="character" w:customStyle="1" w:styleId="PripombabesediloZnak">
    <w:name w:val="Pripomba – besedilo Znak"/>
    <w:basedOn w:val="Privzetapisavaodstavka"/>
    <w:link w:val="Pripombabesedilo"/>
    <w:uiPriority w:val="99"/>
    <w:rsid w:val="0002211A"/>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02211A"/>
    <w:rPr>
      <w:b/>
    </w:rPr>
  </w:style>
  <w:style w:type="character" w:customStyle="1" w:styleId="ZadevapripombeZnak">
    <w:name w:val="Zadeva pripombe Znak"/>
    <w:basedOn w:val="PripombabesediloZnak"/>
    <w:link w:val="Zadevapripombe"/>
    <w:uiPriority w:val="99"/>
    <w:semiHidden/>
    <w:rsid w:val="0002211A"/>
    <w:rPr>
      <w:rFonts w:ascii="Verdana" w:eastAsia="Times New Roman" w:hAnsi="Verdana" w:cs="Arial"/>
      <w:b/>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uradni-list.si/1/objava.jsp?sop=2011-01-1309"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uradni-list.si/1/objava.jsp?sop=2007-01-5133"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uradni-list.si/1/objava.jsp?sop=2011-01-044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radni-list.si/1/objava.jsp?sop=2007-01-5133" TargetMode="External"/><Relationship Id="rId20" Type="http://schemas.openxmlformats.org/officeDocument/2006/relationships/hyperlink" Target="http://www.uradni-list.si/1/objava.jsp?sop=2007-01-222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uradni-list.si/1/objava.jsp?sop=2013-01-3490" TargetMode="External"/><Relationship Id="rId5" Type="http://schemas.openxmlformats.org/officeDocument/2006/relationships/numbering" Target="numbering.xml"/><Relationship Id="rId15" Type="http://schemas.openxmlformats.org/officeDocument/2006/relationships/hyperlink" Target="http://www.uradni-list.si/1/objava.jsp?sop=2007-01-2221" TargetMode="External"/><Relationship Id="rId23" Type="http://schemas.openxmlformats.org/officeDocument/2006/relationships/hyperlink" Target="http://www.uradni-list.si/1/objava.jsp?sop=2011-01-1309" TargetMode="External"/><Relationship Id="rId10" Type="http://schemas.openxmlformats.org/officeDocument/2006/relationships/endnotes" Target="endnotes.xml"/><Relationship Id="rId19" Type="http://schemas.openxmlformats.org/officeDocument/2006/relationships/hyperlink" Target="http://www.uradni-list.si/1/objava.jsp?sop=2013-01-349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uradni-list.si/1/objava.jsp?sop=2011-01-044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2025-07-11T10:55:49+00:00</Veljaod_x003a_>
    <Veljado xmlns="971fd287-4551-411b-a694-38c9be1b8a3f" xsi:nil="true"/>
    <TaxCatchAll xmlns="151e2135-251a-4a54-bb3f-b4383bb78d32" xsi:nil="true"/>
    <Datumobjave xmlns="971fd287-4551-411b-a694-38c9be1b8a3f">2025-07-11T10:55:49+00:00</Datumobjav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AA3907-9F9C-438E-9A1A-FB4E8BD7A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2FDF1-2696-4A1B-BBB4-245EA059BB0B}">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35CD7617-3935-4E92-985E-B7675DFB6BE8}">
  <ds:schemaRefs>
    <ds:schemaRef ds:uri="http://schemas.openxmlformats.org/officeDocument/2006/bibliography"/>
  </ds:schemaRefs>
</ds:datastoreItem>
</file>

<file path=customXml/itemProps4.xml><?xml version="1.0" encoding="utf-8"?>
<ds:datastoreItem xmlns:ds="http://schemas.openxmlformats.org/officeDocument/2006/customXml" ds:itemID="{BC1F8B14-C8A0-4C1D-AD4E-014B71361D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1011</Words>
  <Characters>5767</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7</cp:revision>
  <cp:lastPrinted>2026-02-12T13:46:00Z</cp:lastPrinted>
  <dcterms:created xsi:type="dcterms:W3CDTF">2026-06-02T09:42:00Z</dcterms:created>
  <dcterms:modified xsi:type="dcterms:W3CDTF">2026-06-04T16:10:00Z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