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253A" w14:textId="19487210" w:rsidR="00143CE4" w:rsidRDefault="00157C91" w:rsidP="006200F0">
      <w:pPr>
        <w:spacing w:after="0" w:line="264" w:lineRule="auto"/>
        <w:jc w:val="center"/>
        <w:rPr>
          <w:b/>
          <w:szCs w:val="20"/>
        </w:rPr>
      </w:pPr>
      <w:r w:rsidRPr="00017816">
        <w:rPr>
          <w:b/>
          <w:szCs w:val="20"/>
        </w:rPr>
        <w:t>Rezultati Javnega razpisa o sofinanciranju kulturnih projektov na področju</w:t>
      </w:r>
    </w:p>
    <w:p w14:paraId="43D50AA8" w14:textId="0B4C8F94" w:rsidR="00157C91" w:rsidRPr="00017816" w:rsidRDefault="00157C91" w:rsidP="006200F0">
      <w:pPr>
        <w:spacing w:after="0" w:line="264" w:lineRule="auto"/>
        <w:jc w:val="center"/>
        <w:rPr>
          <w:b/>
          <w:szCs w:val="20"/>
        </w:rPr>
      </w:pPr>
      <w:r w:rsidRPr="00017816">
        <w:rPr>
          <w:b/>
          <w:szCs w:val="20"/>
        </w:rPr>
        <w:t>varstva nepremične kulturne dediščine v Mestni občini Nova Gorica –</w:t>
      </w:r>
    </w:p>
    <w:p w14:paraId="5F069636" w14:textId="77777777" w:rsidR="00157C91" w:rsidRPr="00017816" w:rsidRDefault="00157C91" w:rsidP="006200F0">
      <w:pPr>
        <w:spacing w:after="0" w:line="264" w:lineRule="auto"/>
        <w:jc w:val="center"/>
        <w:rPr>
          <w:b/>
          <w:szCs w:val="20"/>
        </w:rPr>
      </w:pPr>
      <w:r w:rsidRPr="00017816">
        <w:rPr>
          <w:b/>
          <w:szCs w:val="20"/>
        </w:rPr>
        <w:t xml:space="preserve"> Kulturni spomeniki v letu 2026 </w:t>
      </w:r>
    </w:p>
    <w:p w14:paraId="1ABD84E3" w14:textId="77777777" w:rsidR="00157C91" w:rsidRPr="00017816" w:rsidRDefault="00157C91" w:rsidP="006200F0">
      <w:pPr>
        <w:spacing w:after="0" w:line="264" w:lineRule="auto"/>
        <w:rPr>
          <w:szCs w:val="20"/>
        </w:rPr>
      </w:pPr>
    </w:p>
    <w:p w14:paraId="739FC830" w14:textId="77777777" w:rsidR="00157C91" w:rsidRPr="00017816" w:rsidRDefault="00157C91" w:rsidP="006200F0">
      <w:pPr>
        <w:spacing w:after="0" w:line="264" w:lineRule="auto"/>
        <w:rPr>
          <w:szCs w:val="20"/>
        </w:rPr>
      </w:pPr>
      <w:r w:rsidRPr="00017816">
        <w:rPr>
          <w:szCs w:val="20"/>
        </w:rPr>
        <w:t>Višina razpisanih sredstev: 60.000,00 €</w:t>
      </w:r>
    </w:p>
    <w:p w14:paraId="53CFBD77" w14:textId="77777777" w:rsidR="00157C91" w:rsidRPr="00017816" w:rsidRDefault="00157C91" w:rsidP="006200F0">
      <w:pPr>
        <w:spacing w:after="0" w:line="264" w:lineRule="auto"/>
        <w:jc w:val="both"/>
        <w:rPr>
          <w:bCs w:val="0"/>
          <w:szCs w:val="20"/>
        </w:rPr>
      </w:pPr>
    </w:p>
    <w:p w14:paraId="49876CF2" w14:textId="77777777" w:rsidR="00A16279" w:rsidRPr="00017816" w:rsidRDefault="00A16279" w:rsidP="006200F0">
      <w:pPr>
        <w:spacing w:after="0" w:line="264" w:lineRule="auto"/>
        <w:jc w:val="center"/>
        <w:rPr>
          <w:b/>
          <w:szCs w:val="20"/>
        </w:rPr>
      </w:pPr>
      <w:r w:rsidRPr="00017816">
        <w:rPr>
          <w:b/>
          <w:szCs w:val="20"/>
        </w:rPr>
        <w:t>Seznam prijavljenih vlog na javni razpis</w:t>
      </w:r>
    </w:p>
    <w:p w14:paraId="6B6B6357" w14:textId="77777777" w:rsidR="00A16279" w:rsidRPr="00017816" w:rsidRDefault="00A16279" w:rsidP="006200F0">
      <w:pPr>
        <w:spacing w:after="0" w:line="264" w:lineRule="auto"/>
        <w:jc w:val="both"/>
        <w:rPr>
          <w:bCs w:val="0"/>
          <w:szCs w:val="20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1134"/>
        <w:gridCol w:w="5954"/>
      </w:tblGrid>
      <w:tr w:rsidR="00A16279" w:rsidRPr="00F516F2" w14:paraId="618FDD2F" w14:textId="77777777" w:rsidTr="00B85B45">
        <w:trPr>
          <w:trHeight w:val="604"/>
        </w:trPr>
        <w:tc>
          <w:tcPr>
            <w:tcW w:w="1997" w:type="dxa"/>
          </w:tcPr>
          <w:p w14:paraId="11CF023C" w14:textId="77777777" w:rsidR="00A16279" w:rsidRPr="00F516F2" w:rsidRDefault="00A16279" w:rsidP="00F516F2">
            <w:pPr>
              <w:spacing w:after="0" w:line="276" w:lineRule="auto"/>
              <w:ind w:left="0" w:right="0"/>
              <w:jc w:val="center"/>
              <w:rPr>
                <w:rFonts w:eastAsia="Calibri"/>
                <w:b/>
                <w:bCs w:val="0"/>
                <w:noProof w:val="0"/>
                <w:szCs w:val="20"/>
                <w:lang w:eastAsia="en-US"/>
              </w:rPr>
            </w:pPr>
            <w:r w:rsidRPr="00F516F2">
              <w:rPr>
                <w:rFonts w:eastAsia="Calibri"/>
                <w:b/>
                <w:bCs w:val="0"/>
                <w:noProof w:val="0"/>
                <w:szCs w:val="20"/>
                <w:lang w:eastAsia="en-US"/>
              </w:rPr>
              <w:t>Prijavitelj</w:t>
            </w:r>
          </w:p>
        </w:tc>
        <w:tc>
          <w:tcPr>
            <w:tcW w:w="1134" w:type="dxa"/>
          </w:tcPr>
          <w:p w14:paraId="4D957490" w14:textId="77777777" w:rsidR="00A16279" w:rsidRPr="00F516F2" w:rsidRDefault="00A16279" w:rsidP="00F516F2">
            <w:pPr>
              <w:spacing w:after="0" w:line="276" w:lineRule="auto"/>
              <w:ind w:left="0" w:right="0"/>
              <w:jc w:val="center"/>
              <w:rPr>
                <w:rFonts w:eastAsia="Calibri"/>
                <w:b/>
                <w:bCs w:val="0"/>
                <w:noProof w:val="0"/>
                <w:szCs w:val="20"/>
                <w:lang w:eastAsia="en-US"/>
              </w:rPr>
            </w:pPr>
            <w:r w:rsidRPr="00F516F2">
              <w:rPr>
                <w:rFonts w:eastAsia="Calibri"/>
                <w:b/>
                <w:bCs w:val="0"/>
                <w:noProof w:val="0"/>
                <w:szCs w:val="20"/>
                <w:lang w:eastAsia="en-US"/>
              </w:rPr>
              <w:t>Sklop</w:t>
            </w:r>
          </w:p>
          <w:p w14:paraId="79A59E10" w14:textId="77777777" w:rsidR="00A16279" w:rsidRPr="00F516F2" w:rsidRDefault="00A16279" w:rsidP="00F516F2">
            <w:pPr>
              <w:spacing w:after="0" w:line="276" w:lineRule="auto"/>
              <w:ind w:left="0" w:right="0"/>
              <w:jc w:val="center"/>
              <w:rPr>
                <w:rFonts w:eastAsia="Calibri"/>
                <w:b/>
                <w:bCs w:val="0"/>
                <w:noProof w:val="0"/>
                <w:szCs w:val="20"/>
                <w:lang w:eastAsia="en-US"/>
              </w:rPr>
            </w:pPr>
            <w:r w:rsidRPr="00F516F2">
              <w:rPr>
                <w:rFonts w:eastAsia="Calibri"/>
                <w:b/>
                <w:bCs w:val="0"/>
                <w:noProof w:val="0"/>
                <w:szCs w:val="20"/>
                <w:lang w:eastAsia="en-US"/>
              </w:rPr>
              <w:t>1 ali 2</w:t>
            </w:r>
          </w:p>
        </w:tc>
        <w:tc>
          <w:tcPr>
            <w:tcW w:w="5954" w:type="dxa"/>
          </w:tcPr>
          <w:p w14:paraId="61ADBF46" w14:textId="77777777" w:rsidR="00A16279" w:rsidRPr="00F516F2" w:rsidRDefault="00A16279" w:rsidP="00F516F2">
            <w:pPr>
              <w:spacing w:after="0" w:line="276" w:lineRule="auto"/>
              <w:ind w:left="0" w:right="0"/>
              <w:jc w:val="center"/>
              <w:rPr>
                <w:rFonts w:eastAsia="Calibri"/>
                <w:b/>
                <w:bCs w:val="0"/>
                <w:noProof w:val="0"/>
                <w:szCs w:val="20"/>
                <w:lang w:eastAsia="en-US"/>
              </w:rPr>
            </w:pPr>
            <w:r w:rsidRPr="00F516F2">
              <w:rPr>
                <w:rFonts w:eastAsia="Calibri"/>
                <w:b/>
                <w:bCs w:val="0"/>
                <w:noProof w:val="0"/>
                <w:szCs w:val="20"/>
                <w:lang w:eastAsia="en-US"/>
              </w:rPr>
              <w:t>Projekt</w:t>
            </w:r>
          </w:p>
        </w:tc>
      </w:tr>
      <w:tr w:rsidR="00A16279" w:rsidRPr="00BA14EB" w14:paraId="2641DD49" w14:textId="77777777" w:rsidTr="00B0742F">
        <w:trPr>
          <w:trHeight w:val="624"/>
        </w:trPr>
        <w:tc>
          <w:tcPr>
            <w:tcW w:w="1997" w:type="dxa"/>
          </w:tcPr>
          <w:p w14:paraId="67253E78" w14:textId="77777777" w:rsidR="00A16279" w:rsidRPr="00BA14EB" w:rsidRDefault="00A16279" w:rsidP="00B85B45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BA14EB">
              <w:rPr>
                <w:rStyle w:val="Other"/>
                <w:rFonts w:ascii="Verdana" w:hAnsi="Verdana"/>
                <w:sz w:val="20"/>
                <w:szCs w:val="20"/>
              </w:rPr>
              <w:t>Župnija Solkan</w:t>
            </w:r>
          </w:p>
          <w:p w14:paraId="1ADA7F1A" w14:textId="77777777" w:rsidR="00A16279" w:rsidRPr="00BA14EB" w:rsidRDefault="00A16279" w:rsidP="00BA14EB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4AC570" w14:textId="77777777" w:rsidR="00A16279" w:rsidRPr="00BA14EB" w:rsidRDefault="00A16279" w:rsidP="00BA14EB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BA14EB">
              <w:rPr>
                <w:rStyle w:val="Other"/>
                <w:rFonts w:ascii="Verdana" w:hAnsi="Verdana"/>
                <w:sz w:val="20"/>
                <w:szCs w:val="20"/>
              </w:rPr>
              <w:t>Sklop 1</w:t>
            </w:r>
          </w:p>
        </w:tc>
        <w:tc>
          <w:tcPr>
            <w:tcW w:w="5954" w:type="dxa"/>
          </w:tcPr>
          <w:p w14:paraId="0E852DFC" w14:textId="77777777" w:rsidR="00A16279" w:rsidRPr="00BA14EB" w:rsidRDefault="00A16279" w:rsidP="00BA14EB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BA14EB">
              <w:rPr>
                <w:rStyle w:val="Other"/>
                <w:rFonts w:ascii="Verdana" w:hAnsi="Verdana"/>
                <w:sz w:val="20"/>
                <w:szCs w:val="20"/>
              </w:rPr>
              <w:t>Cerkev sv. Štefana v Solkanu – Geološko-geomehanske raziskave za zagotovitev stabilnosti cerkve sv. Štefana v Solkanu</w:t>
            </w:r>
          </w:p>
        </w:tc>
      </w:tr>
      <w:tr w:rsidR="00A16279" w:rsidRPr="00BA14EB" w14:paraId="15D63501" w14:textId="77777777" w:rsidTr="00B85B45">
        <w:trPr>
          <w:trHeight w:val="283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10F6" w14:textId="77777777" w:rsidR="00A16279" w:rsidRPr="00BA14EB" w:rsidRDefault="00A16279" w:rsidP="00BA14EB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BA14EB">
              <w:rPr>
                <w:rStyle w:val="Other"/>
                <w:rFonts w:ascii="Verdana" w:hAnsi="Verdana"/>
                <w:sz w:val="20"/>
                <w:szCs w:val="20"/>
              </w:rPr>
              <w:t>Župnija Šempas</w:t>
            </w:r>
          </w:p>
          <w:p w14:paraId="073E863C" w14:textId="77777777" w:rsidR="00A16279" w:rsidRPr="00BA14EB" w:rsidRDefault="00A16279" w:rsidP="00BA14EB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6F9C" w14:textId="77777777" w:rsidR="00A16279" w:rsidRPr="00BA14EB" w:rsidRDefault="00A16279" w:rsidP="00BA14EB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BA14EB">
              <w:rPr>
                <w:rStyle w:val="Other"/>
                <w:rFonts w:ascii="Verdana" w:hAnsi="Verdana"/>
                <w:sz w:val="20"/>
                <w:szCs w:val="20"/>
              </w:rPr>
              <w:t>Sklop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5E8" w14:textId="77777777" w:rsidR="00A16279" w:rsidRPr="00BA14EB" w:rsidRDefault="00A16279" w:rsidP="00BA14EB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BA14EB">
              <w:rPr>
                <w:rStyle w:val="Other"/>
                <w:rFonts w:ascii="Verdana" w:hAnsi="Verdana"/>
                <w:sz w:val="20"/>
                <w:szCs w:val="20"/>
              </w:rPr>
              <w:t>Cerkev sv. Mihaela v Šmihelu – Zamenjava gotskega okna (zasteklitve) v prezbiteriju cerkve sv. Mihaela v Šmihelu</w:t>
            </w:r>
          </w:p>
        </w:tc>
      </w:tr>
      <w:tr w:rsidR="00A16279" w:rsidRPr="00BA14EB" w14:paraId="74C8B0C0" w14:textId="77777777" w:rsidTr="00B0742F">
        <w:trPr>
          <w:trHeight w:val="17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143F" w14:textId="77777777" w:rsidR="00A16279" w:rsidRPr="00BA14EB" w:rsidRDefault="00A16279" w:rsidP="00BA14EB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BA14EB">
              <w:rPr>
                <w:rStyle w:val="Other"/>
                <w:rFonts w:ascii="Verdana" w:hAnsi="Verdana"/>
                <w:sz w:val="20"/>
                <w:szCs w:val="20"/>
              </w:rPr>
              <w:t>Frančiškanski samostan</w:t>
            </w:r>
          </w:p>
          <w:p w14:paraId="2B618729" w14:textId="77777777" w:rsidR="00A16279" w:rsidRPr="00BA14EB" w:rsidRDefault="00A16279" w:rsidP="00BA14EB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BA14EB">
              <w:rPr>
                <w:rStyle w:val="Other"/>
                <w:rFonts w:ascii="Verdana" w:hAnsi="Verdana"/>
                <w:sz w:val="20"/>
                <w:szCs w:val="20"/>
              </w:rPr>
              <w:t>Sveta Gora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44E" w14:textId="77777777" w:rsidR="00A16279" w:rsidRPr="00BA14EB" w:rsidRDefault="00A16279" w:rsidP="00BA14EB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BA14EB">
              <w:rPr>
                <w:rStyle w:val="Other"/>
                <w:rFonts w:ascii="Verdana" w:hAnsi="Verdana"/>
                <w:sz w:val="20"/>
                <w:szCs w:val="20"/>
              </w:rPr>
              <w:t>Sklop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27F6" w14:textId="77777777" w:rsidR="00A16279" w:rsidRPr="00BA14EB" w:rsidRDefault="00A16279" w:rsidP="00BA14EB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BA14EB">
              <w:rPr>
                <w:rStyle w:val="Other"/>
                <w:rFonts w:ascii="Verdana" w:hAnsi="Verdana"/>
                <w:sz w:val="20"/>
                <w:szCs w:val="20"/>
              </w:rPr>
              <w:t>Cerkev Svetogorske Matere Božje na Sveti Gori pri Gorici – sanacija rozete in sten levega oltarja</w:t>
            </w:r>
          </w:p>
        </w:tc>
      </w:tr>
      <w:tr w:rsidR="00A16279" w:rsidRPr="00BA14EB" w14:paraId="6A59E336" w14:textId="77777777" w:rsidTr="00B85B45">
        <w:trPr>
          <w:trHeight w:val="283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B248" w14:textId="77777777" w:rsidR="00A16279" w:rsidRPr="00BA14EB" w:rsidRDefault="00A16279" w:rsidP="00B85B45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BA14EB">
              <w:rPr>
                <w:rStyle w:val="Other"/>
                <w:rFonts w:ascii="Verdana" w:hAnsi="Verdana"/>
                <w:sz w:val="20"/>
                <w:szCs w:val="20"/>
              </w:rPr>
              <w:t>Frančiškanski samostan Kostanjevica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49CC" w14:textId="77777777" w:rsidR="00A16279" w:rsidRPr="00BA14EB" w:rsidRDefault="00A16279" w:rsidP="00BA14EB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BA14EB">
              <w:rPr>
                <w:rStyle w:val="Other"/>
                <w:rFonts w:ascii="Verdana" w:hAnsi="Verdana"/>
                <w:sz w:val="20"/>
                <w:szCs w:val="20"/>
              </w:rPr>
              <w:t>Sklop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88C" w14:textId="77777777" w:rsidR="00A16279" w:rsidRPr="00BA14EB" w:rsidRDefault="00A16279" w:rsidP="00BA14EB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BA14EB">
              <w:rPr>
                <w:rStyle w:val="Other"/>
                <w:rFonts w:ascii="Verdana" w:hAnsi="Verdana"/>
                <w:sz w:val="20"/>
                <w:szCs w:val="20"/>
              </w:rPr>
              <w:t>Cerkev Gospodovega oznanjenja Mariji na Kostanjevici v Novi Gorici –Restavriranje glavnega oltarja v cerkvi Gospodovega oznanjenja Mariji na Kostanjevici</w:t>
            </w:r>
          </w:p>
        </w:tc>
      </w:tr>
      <w:tr w:rsidR="00A16279" w:rsidRPr="00BA14EB" w14:paraId="51A04826" w14:textId="77777777" w:rsidTr="00B85B45">
        <w:trPr>
          <w:trHeight w:val="283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6E4E" w14:textId="77777777" w:rsidR="00A16279" w:rsidRPr="00BA14EB" w:rsidRDefault="00A16279" w:rsidP="00BA14EB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BA14EB">
              <w:rPr>
                <w:rStyle w:val="Other"/>
                <w:rFonts w:ascii="Verdana" w:hAnsi="Verdana"/>
                <w:sz w:val="20"/>
                <w:szCs w:val="20"/>
              </w:rPr>
              <w:t>Župnija Prvačina</w:t>
            </w:r>
          </w:p>
          <w:p w14:paraId="488A5817" w14:textId="77777777" w:rsidR="00A16279" w:rsidRPr="00BA14EB" w:rsidRDefault="00A16279" w:rsidP="00BA14EB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3535" w14:textId="77777777" w:rsidR="00A16279" w:rsidRPr="00BA14EB" w:rsidRDefault="00A16279" w:rsidP="00BA14EB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BA14EB">
              <w:rPr>
                <w:rStyle w:val="Other"/>
                <w:rFonts w:ascii="Verdana" w:hAnsi="Verdana"/>
                <w:sz w:val="20"/>
                <w:szCs w:val="20"/>
              </w:rPr>
              <w:t xml:space="preserve">Sklop 2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DB4" w14:textId="77777777" w:rsidR="00A16279" w:rsidRPr="00BA14EB" w:rsidRDefault="00A16279" w:rsidP="00BA14EB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BA14EB">
              <w:rPr>
                <w:rStyle w:val="Other"/>
                <w:rFonts w:ascii="Verdana" w:hAnsi="Verdana"/>
                <w:sz w:val="20"/>
                <w:szCs w:val="20"/>
              </w:rPr>
              <w:t>Cerkev sv. Andreja v Prvačini – Konzervatorsko – restavratorski posegi na stropnih poslikavah in ornamentih na stropu ladje v cerkvi sv. Andreja</w:t>
            </w:r>
          </w:p>
        </w:tc>
      </w:tr>
    </w:tbl>
    <w:p w14:paraId="41B8F331" w14:textId="77777777" w:rsidR="007F7B1C" w:rsidRDefault="007F7B1C" w:rsidP="008863F9">
      <w:pPr>
        <w:spacing w:after="0" w:line="264" w:lineRule="auto"/>
        <w:ind w:left="0"/>
      </w:pPr>
    </w:p>
    <w:p w14:paraId="5C16AF9F" w14:textId="77777777" w:rsidR="00DC628D" w:rsidRPr="00017816" w:rsidRDefault="00DC628D" w:rsidP="008863F9">
      <w:pPr>
        <w:spacing w:after="0" w:line="264" w:lineRule="auto"/>
        <w:jc w:val="center"/>
        <w:rPr>
          <w:b/>
          <w:szCs w:val="20"/>
        </w:rPr>
      </w:pPr>
      <w:r w:rsidRPr="00017816">
        <w:rPr>
          <w:b/>
          <w:szCs w:val="20"/>
        </w:rPr>
        <w:t>Seznam izbranih kulturnih projektov ter višina odobrenih sredstev</w:t>
      </w:r>
    </w:p>
    <w:p w14:paraId="6D5C579A" w14:textId="77777777" w:rsidR="00DC628D" w:rsidRPr="00017816" w:rsidRDefault="00DC628D" w:rsidP="008863F9">
      <w:pPr>
        <w:spacing w:after="0" w:line="264" w:lineRule="auto"/>
        <w:jc w:val="both"/>
        <w:rPr>
          <w:bCs w:val="0"/>
          <w:szCs w:val="20"/>
        </w:rPr>
      </w:pPr>
    </w:p>
    <w:p w14:paraId="0A999DEB" w14:textId="77777777" w:rsidR="00DC628D" w:rsidRPr="00017816" w:rsidRDefault="00DC628D" w:rsidP="008863F9">
      <w:pPr>
        <w:spacing w:after="0" w:line="264" w:lineRule="auto"/>
        <w:ind w:right="74"/>
        <w:jc w:val="both"/>
        <w:rPr>
          <w:b/>
          <w:szCs w:val="20"/>
        </w:rPr>
      </w:pPr>
      <w:r w:rsidRPr="00017816">
        <w:rPr>
          <w:szCs w:val="20"/>
        </w:rPr>
        <w:t>Glede na višino razpoložljivih sredstev se sofinancira 4 projekte v višini zaprošenih sredstev prijaviteljev in sicer: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5228"/>
        <w:gridCol w:w="1842"/>
      </w:tblGrid>
      <w:tr w:rsidR="00D973EE" w:rsidRPr="00362E81" w14:paraId="15A62B5F" w14:textId="77777777" w:rsidTr="00EB533A">
        <w:trPr>
          <w:trHeight w:val="737"/>
        </w:trPr>
        <w:tc>
          <w:tcPr>
            <w:tcW w:w="1997" w:type="dxa"/>
          </w:tcPr>
          <w:p w14:paraId="4E54FBA2" w14:textId="77777777" w:rsidR="00D973EE" w:rsidRPr="00362E81" w:rsidRDefault="00D973EE" w:rsidP="00362E81">
            <w:pPr>
              <w:pStyle w:val="Naslov2"/>
              <w:keepLines w:val="0"/>
              <w:spacing w:before="0" w:after="0" w:line="240" w:lineRule="auto"/>
              <w:ind w:left="0"/>
              <w:jc w:val="center"/>
              <w:rPr>
                <w:rFonts w:eastAsia="Times New Roman" w:cs="Arial"/>
                <w:bCs w:val="0"/>
                <w:noProof w:val="0"/>
                <w:color w:val="auto"/>
                <w:sz w:val="20"/>
                <w:szCs w:val="20"/>
              </w:rPr>
            </w:pPr>
          </w:p>
          <w:p w14:paraId="2D46438E" w14:textId="77777777" w:rsidR="00D973EE" w:rsidRPr="00362E81" w:rsidRDefault="00D973EE" w:rsidP="00362E81">
            <w:pPr>
              <w:pStyle w:val="Naslov2"/>
              <w:keepLines w:val="0"/>
              <w:spacing w:before="0" w:after="0" w:line="240" w:lineRule="auto"/>
              <w:ind w:left="0"/>
              <w:jc w:val="center"/>
              <w:rPr>
                <w:rFonts w:eastAsia="Times New Roman" w:cs="Arial"/>
                <w:bCs w:val="0"/>
                <w:noProof w:val="0"/>
                <w:color w:val="auto"/>
                <w:sz w:val="20"/>
                <w:szCs w:val="20"/>
              </w:rPr>
            </w:pPr>
            <w:r w:rsidRPr="00362E81">
              <w:rPr>
                <w:rFonts w:eastAsia="Times New Roman" w:cs="Arial"/>
                <w:bCs w:val="0"/>
                <w:noProof w:val="0"/>
                <w:color w:val="auto"/>
                <w:sz w:val="20"/>
                <w:szCs w:val="20"/>
              </w:rPr>
              <w:t>Izvajalec</w:t>
            </w:r>
          </w:p>
        </w:tc>
        <w:tc>
          <w:tcPr>
            <w:tcW w:w="5228" w:type="dxa"/>
          </w:tcPr>
          <w:p w14:paraId="7B9A5FEC" w14:textId="77777777" w:rsidR="00D973EE" w:rsidRPr="00362E81" w:rsidRDefault="00D973EE" w:rsidP="00362E81">
            <w:pPr>
              <w:pStyle w:val="Naslov2"/>
              <w:keepLines w:val="0"/>
              <w:spacing w:before="0" w:after="0" w:line="240" w:lineRule="auto"/>
              <w:ind w:left="0"/>
              <w:jc w:val="center"/>
              <w:rPr>
                <w:rFonts w:eastAsia="Times New Roman" w:cs="Arial"/>
                <w:bCs w:val="0"/>
                <w:noProof w:val="0"/>
                <w:color w:val="auto"/>
                <w:sz w:val="20"/>
                <w:szCs w:val="20"/>
              </w:rPr>
            </w:pPr>
          </w:p>
          <w:p w14:paraId="6C5EC98F" w14:textId="77777777" w:rsidR="00D973EE" w:rsidRPr="00362E81" w:rsidRDefault="00D973EE" w:rsidP="00362E81">
            <w:pPr>
              <w:pStyle w:val="Naslov2"/>
              <w:keepLines w:val="0"/>
              <w:spacing w:before="0" w:after="0" w:line="240" w:lineRule="auto"/>
              <w:ind w:left="0"/>
              <w:jc w:val="center"/>
              <w:rPr>
                <w:rFonts w:eastAsia="Times New Roman" w:cs="Arial"/>
                <w:bCs w:val="0"/>
                <w:noProof w:val="0"/>
                <w:color w:val="auto"/>
                <w:sz w:val="20"/>
                <w:szCs w:val="20"/>
              </w:rPr>
            </w:pPr>
            <w:r w:rsidRPr="00362E81">
              <w:rPr>
                <w:rFonts w:eastAsia="Times New Roman" w:cs="Arial"/>
                <w:bCs w:val="0"/>
                <w:noProof w:val="0"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842" w:type="dxa"/>
          </w:tcPr>
          <w:p w14:paraId="0B67514A" w14:textId="77777777" w:rsidR="00D973EE" w:rsidRPr="00362E81" w:rsidRDefault="00D973EE" w:rsidP="00362E81">
            <w:pPr>
              <w:pStyle w:val="Naslov2"/>
              <w:keepLines w:val="0"/>
              <w:spacing w:before="0" w:after="0" w:line="240" w:lineRule="auto"/>
              <w:ind w:left="0"/>
              <w:jc w:val="center"/>
              <w:rPr>
                <w:rFonts w:eastAsia="Times New Roman" w:cs="Arial"/>
                <w:bCs w:val="0"/>
                <w:noProof w:val="0"/>
                <w:color w:val="auto"/>
                <w:sz w:val="20"/>
                <w:szCs w:val="20"/>
              </w:rPr>
            </w:pPr>
            <w:r w:rsidRPr="00362E81">
              <w:rPr>
                <w:rFonts w:eastAsia="Times New Roman" w:cs="Arial"/>
                <w:bCs w:val="0"/>
                <w:noProof w:val="0"/>
                <w:color w:val="auto"/>
                <w:sz w:val="20"/>
                <w:szCs w:val="20"/>
              </w:rPr>
              <w:t>Višina odobrenih sredstev</w:t>
            </w:r>
          </w:p>
        </w:tc>
      </w:tr>
      <w:tr w:rsidR="00D973EE" w:rsidRPr="00DB454F" w14:paraId="3582F439" w14:textId="77777777" w:rsidTr="00B0742F">
        <w:trPr>
          <w:trHeight w:val="794"/>
        </w:trPr>
        <w:tc>
          <w:tcPr>
            <w:tcW w:w="1997" w:type="dxa"/>
          </w:tcPr>
          <w:p w14:paraId="22DAAACA" w14:textId="77777777" w:rsidR="00D973EE" w:rsidRPr="00DB454F" w:rsidRDefault="00D973EE" w:rsidP="00B85B45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DB454F">
              <w:rPr>
                <w:rStyle w:val="Other"/>
                <w:rFonts w:ascii="Verdana" w:hAnsi="Verdana"/>
                <w:sz w:val="20"/>
                <w:szCs w:val="20"/>
              </w:rPr>
              <w:t>Župnija Solkan</w:t>
            </w:r>
          </w:p>
          <w:p w14:paraId="39D6C19A" w14:textId="77777777" w:rsidR="00D973EE" w:rsidRPr="00DB454F" w:rsidRDefault="00D973EE" w:rsidP="00DB454F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</w:p>
        </w:tc>
        <w:tc>
          <w:tcPr>
            <w:tcW w:w="5228" w:type="dxa"/>
          </w:tcPr>
          <w:p w14:paraId="7ECE0FF3" w14:textId="77777777" w:rsidR="00D973EE" w:rsidRPr="00DB454F" w:rsidRDefault="00D973EE" w:rsidP="00DB454F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DB454F">
              <w:rPr>
                <w:rStyle w:val="Other"/>
                <w:rFonts w:ascii="Verdana" w:hAnsi="Verdana"/>
                <w:sz w:val="20"/>
                <w:szCs w:val="20"/>
              </w:rPr>
              <w:t>Cerkev sv. Štefana v Solkanu – Geološko-geomehanske raziskave za zagotovitev stabilnosti cerkve sv. Štefana v Solkanu</w:t>
            </w:r>
          </w:p>
        </w:tc>
        <w:tc>
          <w:tcPr>
            <w:tcW w:w="1842" w:type="dxa"/>
          </w:tcPr>
          <w:p w14:paraId="4246E9C5" w14:textId="77777777" w:rsidR="00D973EE" w:rsidRPr="00DB454F" w:rsidRDefault="00D973EE" w:rsidP="00544916">
            <w:pPr>
              <w:pStyle w:val="Other0"/>
              <w:spacing w:before="6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DB454F">
              <w:rPr>
                <w:rStyle w:val="Other"/>
                <w:rFonts w:ascii="Verdana" w:hAnsi="Verdana"/>
                <w:sz w:val="20"/>
                <w:szCs w:val="20"/>
              </w:rPr>
              <w:t>13.218,16 €</w:t>
            </w:r>
          </w:p>
        </w:tc>
      </w:tr>
      <w:tr w:rsidR="00D973EE" w:rsidRPr="00DB454F" w14:paraId="5D915F62" w14:textId="77777777" w:rsidTr="00B0742F">
        <w:trPr>
          <w:trHeight w:val="737"/>
        </w:trPr>
        <w:tc>
          <w:tcPr>
            <w:tcW w:w="1997" w:type="dxa"/>
          </w:tcPr>
          <w:p w14:paraId="7BDFF762" w14:textId="77777777" w:rsidR="00D973EE" w:rsidRPr="00DB454F" w:rsidRDefault="00D973EE" w:rsidP="00DB454F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DB454F">
              <w:rPr>
                <w:rStyle w:val="Other"/>
                <w:rFonts w:ascii="Verdana" w:hAnsi="Verdana"/>
                <w:sz w:val="20"/>
                <w:szCs w:val="20"/>
              </w:rPr>
              <w:t>Župnija Šempas</w:t>
            </w:r>
          </w:p>
          <w:p w14:paraId="5A227225" w14:textId="77777777" w:rsidR="00D973EE" w:rsidRPr="00DB454F" w:rsidRDefault="00D973EE" w:rsidP="00DB454F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</w:p>
        </w:tc>
        <w:tc>
          <w:tcPr>
            <w:tcW w:w="5228" w:type="dxa"/>
          </w:tcPr>
          <w:p w14:paraId="7681E5E8" w14:textId="77777777" w:rsidR="00D973EE" w:rsidRPr="00DB454F" w:rsidRDefault="00D973EE" w:rsidP="00DB454F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DB454F">
              <w:rPr>
                <w:rStyle w:val="Other"/>
                <w:rFonts w:ascii="Verdana" w:hAnsi="Verdana"/>
                <w:sz w:val="20"/>
                <w:szCs w:val="20"/>
              </w:rPr>
              <w:t>Cerkev sv. Mihaela v Šmihelu – Zamenjava gotskega okna (zasteklitve) v prezbiteriju cerkve sv. Mihaela v Šmihelu</w:t>
            </w:r>
          </w:p>
        </w:tc>
        <w:tc>
          <w:tcPr>
            <w:tcW w:w="1842" w:type="dxa"/>
          </w:tcPr>
          <w:p w14:paraId="705DE7C5" w14:textId="77777777" w:rsidR="00D973EE" w:rsidRPr="00DB454F" w:rsidRDefault="00D973EE" w:rsidP="00544916">
            <w:pPr>
              <w:pStyle w:val="Other0"/>
              <w:spacing w:before="6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DB454F">
              <w:rPr>
                <w:rStyle w:val="Other"/>
                <w:rFonts w:ascii="Verdana" w:hAnsi="Verdana"/>
                <w:sz w:val="20"/>
                <w:szCs w:val="20"/>
              </w:rPr>
              <w:t>3.074,00 €</w:t>
            </w:r>
          </w:p>
        </w:tc>
      </w:tr>
      <w:tr w:rsidR="00D973EE" w:rsidRPr="00DB454F" w14:paraId="7D19C51F" w14:textId="77777777" w:rsidTr="00B0742F">
        <w:trPr>
          <w:trHeight w:val="96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2551" w14:textId="77777777" w:rsidR="00D973EE" w:rsidRPr="00DB454F" w:rsidRDefault="00D973EE" w:rsidP="00B85B45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DB454F">
              <w:rPr>
                <w:rStyle w:val="Other"/>
                <w:rFonts w:ascii="Verdana" w:hAnsi="Verdana"/>
                <w:sz w:val="20"/>
                <w:szCs w:val="20"/>
              </w:rPr>
              <w:t>Frančiškanski samostan Kostanjevica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1CA" w14:textId="77777777" w:rsidR="00D973EE" w:rsidRPr="00DB454F" w:rsidRDefault="00D973EE" w:rsidP="00DB454F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DB454F">
              <w:rPr>
                <w:rStyle w:val="Other"/>
                <w:rFonts w:ascii="Verdana" w:hAnsi="Verdana"/>
                <w:sz w:val="20"/>
                <w:szCs w:val="20"/>
              </w:rPr>
              <w:t>Cerkev Gospodovega oznanjenja Mariji na Kostanjevici v Novi Gorici –Restavriranje glavnega oltarja v cerkvi Gospodovega oznanjenja Mariji na Kostanjevici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124B" w14:textId="77777777" w:rsidR="00D973EE" w:rsidRPr="00DB454F" w:rsidRDefault="00D973EE" w:rsidP="00544916">
            <w:pPr>
              <w:pStyle w:val="Other0"/>
              <w:spacing w:before="6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DB454F">
              <w:rPr>
                <w:rStyle w:val="Other"/>
                <w:rFonts w:ascii="Verdana" w:hAnsi="Verdana"/>
                <w:sz w:val="20"/>
                <w:szCs w:val="20"/>
              </w:rPr>
              <w:t>16.649,32 €</w:t>
            </w:r>
          </w:p>
        </w:tc>
      </w:tr>
      <w:tr w:rsidR="00D973EE" w:rsidRPr="00DB454F" w14:paraId="1EC64493" w14:textId="77777777" w:rsidTr="00B0742F">
        <w:trPr>
          <w:trHeight w:val="85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3C75" w14:textId="77777777" w:rsidR="00D973EE" w:rsidRPr="00DB454F" w:rsidRDefault="00D973EE" w:rsidP="00DB454F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DB454F">
              <w:rPr>
                <w:rStyle w:val="Other"/>
                <w:rFonts w:ascii="Verdana" w:hAnsi="Verdana"/>
                <w:sz w:val="20"/>
                <w:szCs w:val="20"/>
              </w:rPr>
              <w:t>Župnija Prvačina</w:t>
            </w:r>
          </w:p>
          <w:p w14:paraId="4A983AA1" w14:textId="77777777" w:rsidR="00D973EE" w:rsidRPr="00DB454F" w:rsidRDefault="00D973EE" w:rsidP="00DB454F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226E" w14:textId="77777777" w:rsidR="00D973EE" w:rsidRPr="00DB454F" w:rsidRDefault="00D973EE" w:rsidP="00DB454F">
            <w:pPr>
              <w:pStyle w:val="Other0"/>
              <w:spacing w:before="4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DB454F">
              <w:rPr>
                <w:rStyle w:val="Other"/>
                <w:rFonts w:ascii="Verdana" w:hAnsi="Verdana"/>
                <w:sz w:val="20"/>
                <w:szCs w:val="20"/>
              </w:rPr>
              <w:t>Cerkev sv. Andreja v Prvačini – Konzervatorsko – restavratorski posegi na stropnih poslikavah in ornamentih na stropu ladje v cerkvi sv. Andreja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BE0A" w14:textId="77777777" w:rsidR="00D973EE" w:rsidRPr="00DB454F" w:rsidRDefault="00D973EE" w:rsidP="00544916">
            <w:pPr>
              <w:pStyle w:val="Other0"/>
              <w:spacing w:before="60" w:after="120"/>
              <w:rPr>
                <w:rStyle w:val="Other"/>
                <w:rFonts w:ascii="Verdana" w:hAnsi="Verdana"/>
                <w:sz w:val="20"/>
                <w:szCs w:val="20"/>
              </w:rPr>
            </w:pPr>
            <w:r w:rsidRPr="00DB454F">
              <w:rPr>
                <w:rStyle w:val="Other"/>
                <w:rFonts w:ascii="Verdana" w:hAnsi="Verdana"/>
                <w:sz w:val="20"/>
                <w:szCs w:val="20"/>
              </w:rPr>
              <w:t xml:space="preserve">19.444,86 €  </w:t>
            </w:r>
          </w:p>
        </w:tc>
      </w:tr>
    </w:tbl>
    <w:p w14:paraId="4CFAA7CC" w14:textId="77777777" w:rsidR="00A04FB4" w:rsidRDefault="00A04FB4" w:rsidP="00E33063">
      <w:pPr>
        <w:rPr>
          <w:szCs w:val="20"/>
        </w:rPr>
      </w:pPr>
    </w:p>
    <w:sectPr w:rsidR="00A04FB4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1A24D" w14:textId="77777777" w:rsidR="00F57D28" w:rsidRDefault="00F57D28" w:rsidP="003F3284">
      <w:r>
        <w:separator/>
      </w:r>
    </w:p>
  </w:endnote>
  <w:endnote w:type="continuationSeparator" w:id="0">
    <w:p w14:paraId="0204BFB3" w14:textId="77777777" w:rsidR="00F57D28" w:rsidRDefault="00F57D28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40A5" w14:textId="77777777" w:rsidR="00F57D28" w:rsidRDefault="00F57D28" w:rsidP="003F3284">
      <w:r>
        <w:separator/>
      </w:r>
    </w:p>
  </w:footnote>
  <w:footnote w:type="continuationSeparator" w:id="0">
    <w:p w14:paraId="2B5AEEBE" w14:textId="77777777" w:rsidR="00F57D28" w:rsidRDefault="00F57D28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3"/>
  </w:num>
  <w:num w:numId="2" w16cid:durableId="1564440524">
    <w:abstractNumId w:val="5"/>
  </w:num>
  <w:num w:numId="3" w16cid:durableId="1989281952">
    <w:abstractNumId w:val="0"/>
  </w:num>
  <w:num w:numId="4" w16cid:durableId="457340087">
    <w:abstractNumId w:val="2"/>
  </w:num>
  <w:num w:numId="5" w16cid:durableId="2029018289">
    <w:abstractNumId w:val="4"/>
  </w:num>
  <w:num w:numId="6" w16cid:durableId="1927811028">
    <w:abstractNumId w:val="6"/>
  </w:num>
  <w:num w:numId="7" w16cid:durableId="115941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35268"/>
    <w:rsid w:val="0005406A"/>
    <w:rsid w:val="0005678C"/>
    <w:rsid w:val="00083CA2"/>
    <w:rsid w:val="000C64A0"/>
    <w:rsid w:val="000D6C77"/>
    <w:rsid w:val="00101B99"/>
    <w:rsid w:val="00110838"/>
    <w:rsid w:val="001137D1"/>
    <w:rsid w:val="00143CE4"/>
    <w:rsid w:val="00145A3D"/>
    <w:rsid w:val="00157C91"/>
    <w:rsid w:val="001776A5"/>
    <w:rsid w:val="00184E64"/>
    <w:rsid w:val="00192B9A"/>
    <w:rsid w:val="001B21C9"/>
    <w:rsid w:val="001B2389"/>
    <w:rsid w:val="001C3923"/>
    <w:rsid w:val="001C6438"/>
    <w:rsid w:val="001D7013"/>
    <w:rsid w:val="001F4732"/>
    <w:rsid w:val="0022273D"/>
    <w:rsid w:val="0022510F"/>
    <w:rsid w:val="00226E0E"/>
    <w:rsid w:val="0028430E"/>
    <w:rsid w:val="00287D4F"/>
    <w:rsid w:val="002B08B0"/>
    <w:rsid w:val="002B5D40"/>
    <w:rsid w:val="002D4D68"/>
    <w:rsid w:val="002F26F0"/>
    <w:rsid w:val="00305974"/>
    <w:rsid w:val="00345529"/>
    <w:rsid w:val="00361DC1"/>
    <w:rsid w:val="00362E81"/>
    <w:rsid w:val="00366240"/>
    <w:rsid w:val="00380955"/>
    <w:rsid w:val="0039457F"/>
    <w:rsid w:val="003A0AE4"/>
    <w:rsid w:val="003A2C22"/>
    <w:rsid w:val="003B11F7"/>
    <w:rsid w:val="003F3284"/>
    <w:rsid w:val="00404823"/>
    <w:rsid w:val="004129EE"/>
    <w:rsid w:val="004373A5"/>
    <w:rsid w:val="00454265"/>
    <w:rsid w:val="00463FA4"/>
    <w:rsid w:val="00486063"/>
    <w:rsid w:val="004953C5"/>
    <w:rsid w:val="00496EB1"/>
    <w:rsid w:val="004A325F"/>
    <w:rsid w:val="004A535E"/>
    <w:rsid w:val="004E242E"/>
    <w:rsid w:val="00501EB2"/>
    <w:rsid w:val="005210F0"/>
    <w:rsid w:val="005361AF"/>
    <w:rsid w:val="00544916"/>
    <w:rsid w:val="00581BE7"/>
    <w:rsid w:val="00592FB1"/>
    <w:rsid w:val="005C4702"/>
    <w:rsid w:val="005D6B51"/>
    <w:rsid w:val="00611F95"/>
    <w:rsid w:val="006200F0"/>
    <w:rsid w:val="006620F0"/>
    <w:rsid w:val="006752A2"/>
    <w:rsid w:val="006B14C5"/>
    <w:rsid w:val="006B42F9"/>
    <w:rsid w:val="007063A4"/>
    <w:rsid w:val="00722FAC"/>
    <w:rsid w:val="00734A18"/>
    <w:rsid w:val="0079172C"/>
    <w:rsid w:val="00791DB2"/>
    <w:rsid w:val="00793022"/>
    <w:rsid w:val="007C0DEA"/>
    <w:rsid w:val="007D3693"/>
    <w:rsid w:val="007E04A2"/>
    <w:rsid w:val="007F7B1C"/>
    <w:rsid w:val="00810854"/>
    <w:rsid w:val="008515CD"/>
    <w:rsid w:val="008548B0"/>
    <w:rsid w:val="00873CAB"/>
    <w:rsid w:val="008759F5"/>
    <w:rsid w:val="008802E3"/>
    <w:rsid w:val="008821D4"/>
    <w:rsid w:val="008863F9"/>
    <w:rsid w:val="008A5F4D"/>
    <w:rsid w:val="00901067"/>
    <w:rsid w:val="00905F98"/>
    <w:rsid w:val="00923A6E"/>
    <w:rsid w:val="00942356"/>
    <w:rsid w:val="009805C0"/>
    <w:rsid w:val="009D3904"/>
    <w:rsid w:val="00A04FB4"/>
    <w:rsid w:val="00A16279"/>
    <w:rsid w:val="00A4204C"/>
    <w:rsid w:val="00A9127C"/>
    <w:rsid w:val="00A95A58"/>
    <w:rsid w:val="00AA4BFD"/>
    <w:rsid w:val="00B0742F"/>
    <w:rsid w:val="00B754E3"/>
    <w:rsid w:val="00B84570"/>
    <w:rsid w:val="00BA14EB"/>
    <w:rsid w:val="00BA46CD"/>
    <w:rsid w:val="00BF7B56"/>
    <w:rsid w:val="00C072E2"/>
    <w:rsid w:val="00C10614"/>
    <w:rsid w:val="00C11A2E"/>
    <w:rsid w:val="00C12D30"/>
    <w:rsid w:val="00C7627D"/>
    <w:rsid w:val="00C762F1"/>
    <w:rsid w:val="00C77FDF"/>
    <w:rsid w:val="00C973E8"/>
    <w:rsid w:val="00CB7A6F"/>
    <w:rsid w:val="00CC3BEE"/>
    <w:rsid w:val="00CD0869"/>
    <w:rsid w:val="00CD1C81"/>
    <w:rsid w:val="00CE01CB"/>
    <w:rsid w:val="00D32794"/>
    <w:rsid w:val="00D731FF"/>
    <w:rsid w:val="00D81991"/>
    <w:rsid w:val="00D973EE"/>
    <w:rsid w:val="00DA69BC"/>
    <w:rsid w:val="00DB324B"/>
    <w:rsid w:val="00DB454F"/>
    <w:rsid w:val="00DC628D"/>
    <w:rsid w:val="00DD1372"/>
    <w:rsid w:val="00DE7B81"/>
    <w:rsid w:val="00E33063"/>
    <w:rsid w:val="00E57102"/>
    <w:rsid w:val="00E876FD"/>
    <w:rsid w:val="00EB533A"/>
    <w:rsid w:val="00EE5DDF"/>
    <w:rsid w:val="00EF0214"/>
    <w:rsid w:val="00EF54A1"/>
    <w:rsid w:val="00F12361"/>
    <w:rsid w:val="00F216E4"/>
    <w:rsid w:val="00F24C66"/>
    <w:rsid w:val="00F27F42"/>
    <w:rsid w:val="00F40810"/>
    <w:rsid w:val="00F4231E"/>
    <w:rsid w:val="00F516F2"/>
    <w:rsid w:val="00F57D28"/>
    <w:rsid w:val="00F66755"/>
    <w:rsid w:val="00F8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1C3923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1C3923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character" w:customStyle="1" w:styleId="Other">
    <w:name w:val="Other_"/>
    <w:link w:val="Other0"/>
    <w:rsid w:val="00A16279"/>
    <w:rPr>
      <w:rFonts w:ascii="Arial" w:eastAsia="Arial" w:hAnsi="Arial" w:cs="Arial"/>
    </w:rPr>
  </w:style>
  <w:style w:type="paragraph" w:customStyle="1" w:styleId="Other0">
    <w:name w:val="Other"/>
    <w:basedOn w:val="Navaden"/>
    <w:link w:val="Other"/>
    <w:rsid w:val="00A16279"/>
    <w:pPr>
      <w:widowControl w:val="0"/>
      <w:spacing w:after="0" w:line="240" w:lineRule="auto"/>
      <w:ind w:left="0" w:right="0"/>
      <w:jc w:val="center"/>
    </w:pPr>
    <w:rPr>
      <w:rFonts w:ascii="Arial" w:eastAsia="Arial" w:hAnsi="Arial"/>
      <w:bCs w:val="0"/>
      <w:noProof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8" ma:contentTypeDescription="Ustvari nov dokument." ma:contentTypeScope="" ma:versionID="3f4f3ef45558fb0369b5287551c948d9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11d2a4f0c4003dd1c7bc1faa9241204c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B212D-268D-4DBE-9467-26ECD9EC9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Andrejka Bašelj</cp:lastModifiedBy>
  <cp:revision>30</cp:revision>
  <cp:lastPrinted>2025-03-18T10:56:00Z</cp:lastPrinted>
  <dcterms:created xsi:type="dcterms:W3CDTF">2026-06-04T13:25:00Z</dcterms:created>
  <dcterms:modified xsi:type="dcterms:W3CDTF">2026-06-04T13:44:00Z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