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20786B80" w14:textId="177AE94A" w:rsidR="004C4C22" w:rsidRDefault="004C4C22" w:rsidP="004C4C22">
      <w:pPr>
        <w:spacing w:after="0"/>
        <w:ind w:right="0"/>
        <w:jc w:val="left"/>
        <w:rPr>
          <w:bCs w:val="0"/>
          <w:noProof w:val="0"/>
        </w:rPr>
      </w:pPr>
      <w:r>
        <w:rPr>
          <w:bCs w:val="0"/>
        </w:rPr>
        <w:t>Na podlagi četrtega odstavka 49. člena Zakona o javnih financah (Uradni list RS, št. </w:t>
      </w:r>
      <w:hyperlink r:id="rId10" w:tgtFrame="_blank" w:tooltip="Zakon o javnih financah (uradno prečiščeno besedilo)" w:history="1">
        <w:r>
          <w:rPr>
            <w:rStyle w:val="Hiperpovezava"/>
            <w:bCs w:val="0"/>
            <w:color w:val="auto"/>
            <w:u w:val="none"/>
          </w:rPr>
          <w:t>11/11</w:t>
        </w:r>
      </w:hyperlink>
      <w:r>
        <w:rPr>
          <w:bCs w:val="0"/>
        </w:rPr>
        <w:t> – uradno prečiščeno besedilo, </w:t>
      </w:r>
      <w:hyperlink r:id="rId11" w:tgtFrame="_blank" w:tooltip="Popravek Uradnega prečiščenega besedila Zakona  o javnih financah (ZJF-UPB4p)" w:history="1">
        <w:r>
          <w:rPr>
            <w:rStyle w:val="Hiperpovezava"/>
            <w:bCs w:val="0"/>
            <w:color w:val="auto"/>
            <w:u w:val="none"/>
          </w:rPr>
          <w:t>14/13 – popr.</w:t>
        </w:r>
      </w:hyperlink>
      <w:r>
        <w:rPr>
          <w:bCs w:val="0"/>
        </w:rPr>
        <w:t>, </w:t>
      </w:r>
      <w:hyperlink r:id="rId12" w:tgtFrame="_blank" w:tooltip="Zakon o dopolnitvi Zakona o javnih financah" w:history="1">
        <w:r>
          <w:rPr>
            <w:rStyle w:val="Hiperpovezava"/>
            <w:bCs w:val="0"/>
            <w:color w:val="auto"/>
            <w:u w:val="none"/>
          </w:rPr>
          <w:t>101/13</w:t>
        </w:r>
      </w:hyperlink>
      <w:r>
        <w:rPr>
          <w:bCs w:val="0"/>
        </w:rPr>
        <w:t>, </w:t>
      </w:r>
      <w:hyperlink r:id="rId13" w:tgtFrame="_blank" w:tooltip="Zakon o fiskalnem pravilu" w:history="1">
        <w:r>
          <w:rPr>
            <w:rStyle w:val="Hiperpovezava"/>
            <w:bCs w:val="0"/>
            <w:color w:val="auto"/>
            <w:u w:val="none"/>
          </w:rPr>
          <w:t>55/15</w:t>
        </w:r>
      </w:hyperlink>
      <w:r>
        <w:rPr>
          <w:bCs w:val="0"/>
        </w:rPr>
        <w:t> – ZFisP, </w:t>
      </w:r>
      <w:hyperlink r:id="rId14" w:tgtFrame="_blank" w:tooltip="Zakon o izvrševanju proračunov Republike Slovenije za leti 2016 in 2017" w:history="1">
        <w:r>
          <w:rPr>
            <w:rStyle w:val="Hiperpovezava"/>
            <w:bCs w:val="0"/>
            <w:color w:val="auto"/>
            <w:u w:val="none"/>
          </w:rPr>
          <w:t>96/15</w:t>
        </w:r>
      </w:hyperlink>
      <w:r>
        <w:rPr>
          <w:bCs w:val="0"/>
        </w:rPr>
        <w:t> – ZIPRS1617, </w:t>
      </w:r>
      <w:hyperlink r:id="rId15" w:tgtFrame="_blank" w:tooltip="Zakon o spremembah in dopolnitvah Zakona o javnih financah" w:history="1">
        <w:r>
          <w:rPr>
            <w:rStyle w:val="Hiperpovezava"/>
            <w:bCs w:val="0"/>
            <w:color w:val="auto"/>
            <w:u w:val="none"/>
          </w:rPr>
          <w:t>13/18</w:t>
        </w:r>
      </w:hyperlink>
      <w:r>
        <w:rPr>
          <w:bCs w:val="0"/>
        </w:rPr>
        <w:t>, </w:t>
      </w:r>
      <w:hyperlink r:id="rId16" w:tgtFrame="_blank" w:tooltip="Odločba o razveljavitvi 20. člena, drugega odstavka 40. člena, prvega odstavka 103. člena v zvezi s prvim in drugim odstavkom 102. člena Zakona o javnih financah, kolikor se nanašajo na Državni svet, Ustavno sodišče, Varuha človekovih pravic in Računsko s" w:history="1">
        <w:r>
          <w:rPr>
            <w:rStyle w:val="Hiperpovezava"/>
            <w:bCs w:val="0"/>
            <w:color w:val="auto"/>
            <w:u w:val="none"/>
          </w:rPr>
          <w:t>195/20</w:t>
        </w:r>
      </w:hyperlink>
      <w:r>
        <w:rPr>
          <w:bCs w:val="0"/>
        </w:rPr>
        <w:t> – odl. US in </w:t>
      </w:r>
      <w:hyperlink r:id="rId17" w:tgtFrame="_blank" w:tooltip="Zakon o spremembah in dopolnitvah Zakona o državni upravi" w:history="1">
        <w:r>
          <w:rPr>
            <w:rStyle w:val="Hiperpovezava"/>
            <w:bCs w:val="0"/>
            <w:color w:val="auto"/>
            <w:u w:val="none"/>
          </w:rPr>
          <w:t>18/23</w:t>
        </w:r>
      </w:hyperlink>
      <w:r>
        <w:rPr>
          <w:bCs w:val="0"/>
        </w:rPr>
        <w:t xml:space="preserve"> – ZDU-1O, 76/23, </w:t>
      </w:r>
      <w:bookmarkStart w:id="0" w:name="_Hlk228793273"/>
      <w:r>
        <w:rPr>
          <w:bCs w:val="0"/>
        </w:rPr>
        <w:t xml:space="preserve">24/25 – ZFisP-1, 39/25, </w:t>
      </w:r>
      <w:hyperlink r:id="rId18" w:tgtFrame="_blank" w:tooltip="Zakon o plačilnih in javnofinančnih storitvah (ZPJS)" w:history="1">
        <w:r>
          <w:rPr>
            <w:rStyle w:val="Hiperpovezava"/>
            <w:bCs w:val="0"/>
            <w:color w:val="auto"/>
            <w:u w:val="none"/>
            <w:shd w:val="clear" w:color="auto" w:fill="FFFFFF"/>
          </w:rPr>
          <w:t>85/25</w:t>
        </w:r>
      </w:hyperlink>
      <w:r>
        <w:rPr>
          <w:bCs w:val="0"/>
          <w:shd w:val="clear" w:color="auto" w:fill="FFFFFF"/>
        </w:rPr>
        <w:t> – ZPJS in </w:t>
      </w:r>
      <w:hyperlink r:id="rId19" w:tgtFrame="_blank" w:tooltip="Zakon o spremembah in dopolnitvah Zakona o javnih financah (ZJF-K)" w:history="1">
        <w:r>
          <w:rPr>
            <w:rStyle w:val="Hiperpovezava"/>
            <w:bCs w:val="0"/>
            <w:color w:val="auto"/>
            <w:u w:val="none"/>
            <w:shd w:val="clear" w:color="auto" w:fill="FFFFFF"/>
          </w:rPr>
          <w:t>112/25</w:t>
        </w:r>
      </w:hyperlink>
      <w:bookmarkEnd w:id="0"/>
      <w:r>
        <w:rPr>
          <w:bCs w:val="0"/>
          <w:shd w:val="clear" w:color="auto" w:fill="FFFFFF"/>
        </w:rPr>
        <w:t>),</w:t>
      </w:r>
      <w:r>
        <w:rPr>
          <w:bCs w:val="0"/>
        </w:rPr>
        <w:t xml:space="preserve"> četrtega odstavka 8. člena Odloka o proračunu Mestne občine Nova Gorica za leto 2026 </w:t>
      </w:r>
      <w:bookmarkStart w:id="1" w:name="_Hlk200965850"/>
      <w:r>
        <w:rPr>
          <w:bCs w:val="0"/>
        </w:rPr>
        <w:t>(Uradni list RS, št. 110/25)</w:t>
      </w:r>
      <w:bookmarkEnd w:id="1"/>
      <w:r>
        <w:rPr>
          <w:bCs w:val="0"/>
        </w:rPr>
        <w:t>, ter 1</w:t>
      </w:r>
      <w:r>
        <w:rPr>
          <w:bCs w:val="0"/>
          <w:shd w:val="clear" w:color="auto" w:fill="FFFFFF"/>
        </w:rPr>
        <w:t xml:space="preserve">9. člena </w:t>
      </w:r>
      <w:bookmarkStart w:id="2" w:name="_Hlk115246540"/>
      <w:r>
        <w:rPr>
          <w:bCs w:val="0"/>
          <w:shd w:val="clear" w:color="auto" w:fill="FFFFFF"/>
        </w:rPr>
        <w:t>Statuta Mestne občine Nova Gorica (Uradni list RS, št. 13/12, 18/17 in 19/18) </w:t>
      </w:r>
      <w:r>
        <w:rPr>
          <w:bCs w:val="0"/>
        </w:rPr>
        <w:t xml:space="preserve"> </w:t>
      </w:r>
      <w:bookmarkEnd w:id="2"/>
      <w:r>
        <w:rPr>
          <w:bCs w:val="0"/>
        </w:rPr>
        <w:t xml:space="preserve">je Mestni svet Mestne občine Nova Gorica na seji dne 21. maja 2026 sprejel </w:t>
      </w:r>
    </w:p>
    <w:p w14:paraId="46C0D68E" w14:textId="77777777" w:rsidR="004C4C22" w:rsidRDefault="004C4C22" w:rsidP="004C4C22">
      <w:pPr>
        <w:spacing w:after="0" w:line="240" w:lineRule="auto"/>
        <w:ind w:left="0" w:right="0"/>
        <w:rPr>
          <w:bCs w:val="0"/>
        </w:rPr>
      </w:pPr>
    </w:p>
    <w:p w14:paraId="6EF3E33E" w14:textId="77777777" w:rsidR="004C4C22" w:rsidRDefault="004C4C22" w:rsidP="004C4C22">
      <w:pPr>
        <w:spacing w:after="0" w:line="240" w:lineRule="auto"/>
        <w:ind w:left="0" w:right="0"/>
        <w:rPr>
          <w:bCs w:val="0"/>
        </w:rPr>
      </w:pPr>
    </w:p>
    <w:p w14:paraId="1D61C3AD" w14:textId="77777777" w:rsidR="004C4C22" w:rsidRDefault="004C4C22" w:rsidP="004C4C22">
      <w:pPr>
        <w:spacing w:after="0" w:line="240" w:lineRule="auto"/>
        <w:ind w:left="0" w:right="0"/>
        <w:rPr>
          <w:bCs w:val="0"/>
        </w:rPr>
      </w:pPr>
    </w:p>
    <w:p w14:paraId="4A9C8AF4" w14:textId="402A604B" w:rsidR="004C4C22" w:rsidRDefault="004C4C22" w:rsidP="004C4C22">
      <w:pPr>
        <w:pStyle w:val="Naslov1"/>
        <w:spacing w:before="0" w:after="0" w:line="288" w:lineRule="auto"/>
        <w:jc w:val="center"/>
        <w:rPr>
          <w:noProof w:val="0"/>
        </w:rPr>
      </w:pPr>
      <w:r>
        <w:rPr>
          <w:noProof w:val="0"/>
        </w:rPr>
        <w:t>ODLOK</w:t>
      </w:r>
    </w:p>
    <w:p w14:paraId="728B9AF0" w14:textId="77777777" w:rsidR="004C4C22" w:rsidRDefault="004C4C22" w:rsidP="004C4C22">
      <w:pPr>
        <w:pStyle w:val="Naslov1"/>
        <w:spacing w:before="0" w:after="0" w:line="288" w:lineRule="auto"/>
        <w:jc w:val="center"/>
        <w:rPr>
          <w:noProof w:val="0"/>
        </w:rPr>
      </w:pPr>
      <w:bookmarkStart w:id="3" w:name="_Hlk200965979"/>
      <w:r>
        <w:rPr>
          <w:noProof w:val="0"/>
        </w:rPr>
        <w:t>o uporabi sredstev proračunske rezerve Mestne občine Nova Gorica</w:t>
      </w:r>
    </w:p>
    <w:bookmarkEnd w:id="3"/>
    <w:p w14:paraId="70C3E365" w14:textId="77777777" w:rsidR="004C4C22" w:rsidRDefault="004C4C22" w:rsidP="004C4C22">
      <w:pPr>
        <w:spacing w:after="0" w:line="240" w:lineRule="auto"/>
        <w:ind w:left="0" w:right="0"/>
        <w:jc w:val="left"/>
        <w:rPr>
          <w:bCs w:val="0"/>
          <w:noProof w:val="0"/>
        </w:rPr>
      </w:pPr>
    </w:p>
    <w:p w14:paraId="25F77D6C" w14:textId="51AF5BD3" w:rsidR="004C4C22" w:rsidRDefault="004C4C22" w:rsidP="003E03FE">
      <w:pPr>
        <w:pStyle w:val="Odstavekseznama"/>
        <w:numPr>
          <w:ilvl w:val="0"/>
          <w:numId w:val="11"/>
        </w:numPr>
        <w:spacing w:after="0" w:line="240" w:lineRule="auto"/>
        <w:ind w:right="0"/>
        <w:jc w:val="center"/>
      </w:pPr>
      <w:hyperlink r:id="rId20" w:anchor="1.%C2%A0%C4%8Dlen" w:history="1">
        <w:r w:rsidRPr="003E03FE">
          <w:rPr>
            <w:rStyle w:val="Hiperpovezava"/>
            <w:bCs w:val="0"/>
            <w:color w:val="auto"/>
            <w:u w:val="none"/>
          </w:rPr>
          <w:t>člen </w:t>
        </w:r>
      </w:hyperlink>
    </w:p>
    <w:p w14:paraId="1B1A0E9D" w14:textId="3DBEF6FD" w:rsidR="003E03FE" w:rsidRPr="003E03FE" w:rsidRDefault="003E03FE" w:rsidP="003E03FE">
      <w:pPr>
        <w:spacing w:after="0" w:line="240" w:lineRule="auto"/>
        <w:ind w:left="708" w:right="0"/>
        <w:jc w:val="center"/>
        <w:rPr>
          <w:rStyle w:val="Hiperpovezava"/>
          <w:color w:val="auto"/>
        </w:rPr>
      </w:pPr>
      <w:r w:rsidRPr="00487D21">
        <w:t>(namen in višina porabe)</w:t>
      </w:r>
    </w:p>
    <w:p w14:paraId="22936916" w14:textId="77777777" w:rsidR="004C4C22" w:rsidRDefault="004C4C22" w:rsidP="004C4C22">
      <w:pPr>
        <w:spacing w:after="0" w:line="240" w:lineRule="auto"/>
        <w:ind w:left="0" w:right="0"/>
        <w:jc w:val="left"/>
      </w:pPr>
    </w:p>
    <w:p w14:paraId="0C332419" w14:textId="77777777" w:rsidR="004C4C22" w:rsidRDefault="004C4C22" w:rsidP="004C4C22">
      <w:pPr>
        <w:pStyle w:val="gradivo"/>
        <w:spacing w:line="288" w:lineRule="auto"/>
        <w:rPr>
          <w:noProof w:val="0"/>
        </w:rPr>
      </w:pPr>
      <w:r>
        <w:rPr>
          <w:noProof w:val="0"/>
        </w:rPr>
        <w:t>Sredstva proračunske rezerve do višine 60.000,00 EUR se uporabijo za financiranje izdatkov odprave posledic naravne nesreče - plazu, po obilnem deževju, jeseni 2025 in spomladi 2026 na območju Mestne občine Nova Gorica.</w:t>
      </w:r>
    </w:p>
    <w:p w14:paraId="028B2835" w14:textId="77777777" w:rsidR="004C4C22" w:rsidRDefault="004C4C22" w:rsidP="004C4C22">
      <w:pPr>
        <w:pStyle w:val="gradivo"/>
        <w:spacing w:line="288" w:lineRule="auto"/>
        <w:rPr>
          <w:noProof w:val="0"/>
        </w:rPr>
      </w:pPr>
    </w:p>
    <w:p w14:paraId="20FC81EA" w14:textId="6715BAD8" w:rsidR="004C4C22" w:rsidRDefault="004C4C22" w:rsidP="003E03FE">
      <w:pPr>
        <w:pStyle w:val="Odstavekseznama"/>
        <w:numPr>
          <w:ilvl w:val="0"/>
          <w:numId w:val="11"/>
        </w:numPr>
        <w:spacing w:after="0" w:line="240" w:lineRule="auto"/>
        <w:ind w:right="0"/>
        <w:jc w:val="center"/>
      </w:pPr>
      <w:hyperlink r:id="rId21" w:anchor="2.%C2%A0%C4%8Dlen" w:history="1">
        <w:r w:rsidRPr="003E03FE">
          <w:rPr>
            <w:rStyle w:val="Hiperpovezava"/>
            <w:bCs w:val="0"/>
            <w:color w:val="auto"/>
            <w:u w:val="none"/>
          </w:rPr>
          <w:t>člen </w:t>
        </w:r>
      </w:hyperlink>
    </w:p>
    <w:p w14:paraId="2208DC21" w14:textId="77777777" w:rsidR="003E03FE" w:rsidRPr="00487D21" w:rsidRDefault="003E03FE" w:rsidP="003E03FE">
      <w:pPr>
        <w:autoSpaceDE w:val="0"/>
        <w:autoSpaceDN w:val="0"/>
        <w:adjustRightInd w:val="0"/>
        <w:spacing w:after="0" w:line="240" w:lineRule="auto"/>
        <w:ind w:left="708"/>
        <w:jc w:val="center"/>
      </w:pPr>
      <w:r w:rsidRPr="00487D21">
        <w:t>(poročanje o porabi sredstev)</w:t>
      </w:r>
    </w:p>
    <w:p w14:paraId="68502E86" w14:textId="77777777" w:rsidR="003E03FE" w:rsidRPr="003E03FE" w:rsidRDefault="003E03FE" w:rsidP="003E03FE">
      <w:pPr>
        <w:pStyle w:val="Odstavekseznama"/>
        <w:spacing w:after="0" w:line="240" w:lineRule="auto"/>
        <w:ind w:left="1068" w:right="0"/>
        <w:rPr>
          <w:rStyle w:val="Hiperpovezava"/>
          <w:bCs w:val="0"/>
          <w:color w:val="auto"/>
        </w:rPr>
      </w:pPr>
    </w:p>
    <w:p w14:paraId="1210B5A4" w14:textId="77777777" w:rsidR="004C4C22" w:rsidRDefault="004C4C22" w:rsidP="004C4C22">
      <w:pPr>
        <w:spacing w:after="0" w:line="240" w:lineRule="auto"/>
        <w:ind w:right="0"/>
        <w:jc w:val="left"/>
      </w:pPr>
    </w:p>
    <w:p w14:paraId="261520EF" w14:textId="77777777" w:rsidR="004C4C22" w:rsidRDefault="004C4C22" w:rsidP="004C4C22">
      <w:pPr>
        <w:spacing w:after="0" w:line="240" w:lineRule="auto"/>
        <w:ind w:right="0"/>
        <w:rPr>
          <w:iCs/>
        </w:rPr>
      </w:pPr>
      <w:r>
        <w:rPr>
          <w:iCs/>
        </w:rPr>
        <w:t>Dejanska poraba bo v okviru zaključnega računa za leto 2026 posebej specificirana.</w:t>
      </w:r>
    </w:p>
    <w:p w14:paraId="70680BB9" w14:textId="77777777" w:rsidR="003E03FE" w:rsidRDefault="003E03FE" w:rsidP="004C4C22">
      <w:pPr>
        <w:spacing w:after="0" w:line="240" w:lineRule="auto"/>
        <w:ind w:right="0"/>
        <w:rPr>
          <w:iCs/>
        </w:rPr>
      </w:pPr>
    </w:p>
    <w:p w14:paraId="139D27D3" w14:textId="77777777" w:rsidR="004C4C22" w:rsidRDefault="004C4C22" w:rsidP="004C4C22">
      <w:pPr>
        <w:spacing w:after="0" w:line="240" w:lineRule="auto"/>
        <w:ind w:right="0"/>
        <w:jc w:val="left"/>
        <w:rPr>
          <w:bCs w:val="0"/>
        </w:rPr>
      </w:pPr>
    </w:p>
    <w:p w14:paraId="0F0D8992" w14:textId="77777777" w:rsidR="004C4C22" w:rsidRPr="003E03FE" w:rsidRDefault="004C4C22" w:rsidP="004C4C22">
      <w:pPr>
        <w:spacing w:after="0" w:line="240" w:lineRule="auto"/>
        <w:ind w:right="0"/>
        <w:jc w:val="center"/>
      </w:pPr>
      <w:hyperlink r:id="rId22" w:anchor="4.%C2%A0%C4%8Dlen" w:history="1">
        <w:r w:rsidRPr="003E03FE">
          <w:t>3. člen </w:t>
        </w:r>
      </w:hyperlink>
    </w:p>
    <w:p w14:paraId="52BA4BF1" w14:textId="430564CB" w:rsidR="003E03FE" w:rsidRPr="00487D21" w:rsidRDefault="003E03FE" w:rsidP="003E03FE">
      <w:pPr>
        <w:autoSpaceDE w:val="0"/>
        <w:autoSpaceDN w:val="0"/>
        <w:adjustRightInd w:val="0"/>
        <w:jc w:val="center"/>
      </w:pPr>
      <w:r w:rsidRPr="00487D21">
        <w:t>(končna določba)</w:t>
      </w:r>
    </w:p>
    <w:p w14:paraId="15635732" w14:textId="77777777" w:rsidR="004C4C22" w:rsidRDefault="004C4C22" w:rsidP="004C4C22">
      <w:pPr>
        <w:spacing w:after="0" w:line="240" w:lineRule="auto"/>
        <w:ind w:right="0"/>
        <w:jc w:val="left"/>
      </w:pPr>
    </w:p>
    <w:p w14:paraId="1F14D2A3" w14:textId="77777777" w:rsidR="004C4C22" w:rsidRDefault="004C4C22" w:rsidP="004C4C22">
      <w:pPr>
        <w:spacing w:after="0" w:line="240" w:lineRule="auto"/>
        <w:ind w:right="0"/>
        <w:rPr>
          <w:bCs w:val="0"/>
        </w:rPr>
      </w:pPr>
      <w:r>
        <w:rPr>
          <w:bCs w:val="0"/>
        </w:rPr>
        <w:t>Ta odlok začne veljati naslednji dan po objavi v Uradnem listu Republike Slovenije.</w:t>
      </w:r>
    </w:p>
    <w:p w14:paraId="7CE176E7" w14:textId="77777777" w:rsidR="004C4C22" w:rsidRDefault="004C4C22" w:rsidP="004C4C22">
      <w:pPr>
        <w:spacing w:after="0" w:line="240" w:lineRule="auto"/>
        <w:ind w:right="0"/>
        <w:rPr>
          <w:bCs w:val="0"/>
        </w:rPr>
      </w:pPr>
    </w:p>
    <w:p w14:paraId="709B64E4" w14:textId="77777777" w:rsidR="004C4C22" w:rsidRDefault="004C4C22" w:rsidP="004C4C22">
      <w:pPr>
        <w:tabs>
          <w:tab w:val="center" w:pos="6803"/>
        </w:tabs>
        <w:spacing w:after="0" w:line="240" w:lineRule="auto"/>
        <w:ind w:right="0"/>
        <w:rPr>
          <w:bCs w:val="0"/>
        </w:rPr>
      </w:pPr>
    </w:p>
    <w:p w14:paraId="147A6B1A" w14:textId="77777777" w:rsidR="004C4C22" w:rsidRDefault="004C4C22" w:rsidP="004C4C22">
      <w:pPr>
        <w:tabs>
          <w:tab w:val="center" w:pos="6803"/>
        </w:tabs>
        <w:spacing w:after="0" w:line="240" w:lineRule="auto"/>
        <w:ind w:right="0"/>
        <w:rPr>
          <w:bCs w:val="0"/>
        </w:rPr>
      </w:pPr>
    </w:p>
    <w:p w14:paraId="376B8A0E" w14:textId="34BCEC72" w:rsidR="004C4C22" w:rsidRDefault="004C4C22" w:rsidP="004C4C22">
      <w:pPr>
        <w:tabs>
          <w:tab w:val="center" w:pos="6803"/>
        </w:tabs>
        <w:spacing w:after="0" w:line="240" w:lineRule="auto"/>
        <w:ind w:right="0"/>
        <w:jc w:val="left"/>
        <w:rPr>
          <w:rStyle w:val="ZvezaZnak"/>
          <w:b/>
          <w:noProof w:val="0"/>
          <w:u w:val="none"/>
        </w:rPr>
      </w:pPr>
      <w:r w:rsidRPr="004C4C22">
        <w:rPr>
          <w:rStyle w:val="ZvezaZnak"/>
          <w:noProof w:val="0"/>
          <w:sz w:val="20"/>
          <w:u w:val="none"/>
        </w:rPr>
        <w:t>Številka: 846-6/2026-</w:t>
      </w:r>
      <w:r w:rsidR="00053DFC">
        <w:rPr>
          <w:rStyle w:val="ZvezaZnak"/>
          <w:noProof w:val="0"/>
          <w:sz w:val="20"/>
          <w:u w:val="none"/>
        </w:rPr>
        <w:t>5</w:t>
      </w:r>
      <w:r>
        <w:rPr>
          <w:bCs w:val="0"/>
        </w:rPr>
        <w:br/>
      </w:r>
      <w:r>
        <w:t>Nova Gorica, dne 21. maja 2026</w:t>
      </w:r>
    </w:p>
    <w:p w14:paraId="339C0B1C" w14:textId="77777777" w:rsidR="004C4C22" w:rsidRDefault="004C4C22" w:rsidP="004C4C22"/>
    <w:p w14:paraId="04630AB7" w14:textId="77777777" w:rsidR="004C4C22" w:rsidRDefault="004C4C22" w:rsidP="004C4C2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4C4C22" w14:paraId="73DCC1AA" w14:textId="77777777">
        <w:tc>
          <w:tcPr>
            <w:tcW w:w="3549" w:type="dxa"/>
            <w:hideMark/>
          </w:tcPr>
          <w:p w14:paraId="669EC447" w14:textId="77777777" w:rsidR="004C4C22" w:rsidRDefault="004C4C22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  <w:lang w:eastAsia="en-US"/>
              </w:rPr>
            </w:pPr>
            <w:proofErr w:type="spellStart"/>
            <w:r>
              <w:rPr>
                <w:b/>
                <w:noProof w:val="0"/>
                <w:color w:val="FFFFFF" w:themeColor="background1"/>
                <w:lang w:eastAsia="en-US"/>
              </w:rPr>
              <w:t>Desnik</w:t>
            </w:r>
            <w:proofErr w:type="spellEnd"/>
            <w:r>
              <w:rPr>
                <w:b/>
                <w:noProof w:val="0"/>
                <w:color w:val="FFFFFF" w:themeColor="background1"/>
                <w:lang w:eastAsia="en-US"/>
              </w:rPr>
              <w:t xml:space="preserve"> podpisnik</w:t>
            </w:r>
          </w:p>
        </w:tc>
      </w:tr>
      <w:tr w:rsidR="004C4C22" w14:paraId="1DFB23AC" w14:textId="77777777">
        <w:tc>
          <w:tcPr>
            <w:tcW w:w="3549" w:type="dxa"/>
            <w:hideMark/>
          </w:tcPr>
          <w:p w14:paraId="76FE89D8" w14:textId="77777777" w:rsidR="004C4C22" w:rsidRDefault="004C4C22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b/>
                <w:noProof w:val="0"/>
                <w:lang w:eastAsia="en-US"/>
              </w:rPr>
              <w:t>Samo Turel</w:t>
            </w:r>
          </w:p>
        </w:tc>
      </w:tr>
      <w:tr w:rsidR="004C4C22" w14:paraId="42B06ACB" w14:textId="77777777">
        <w:trPr>
          <w:trHeight w:val="530"/>
        </w:trPr>
        <w:tc>
          <w:tcPr>
            <w:tcW w:w="3549" w:type="dxa"/>
            <w:hideMark/>
          </w:tcPr>
          <w:p w14:paraId="46944F3B" w14:textId="77777777" w:rsidR="004C4C22" w:rsidRDefault="004C4C22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Župan</w:t>
            </w:r>
          </w:p>
        </w:tc>
      </w:tr>
    </w:tbl>
    <w:p w14:paraId="04FDB7DB" w14:textId="77777777" w:rsidR="004C4C22" w:rsidRDefault="004C4C22" w:rsidP="004C4C22">
      <w:pPr>
        <w:rPr>
          <w:noProof w:val="0"/>
        </w:rPr>
      </w:pPr>
    </w:p>
    <w:p w14:paraId="1482F253" w14:textId="77777777" w:rsidR="004C4C22" w:rsidRDefault="004C4C22" w:rsidP="004C4C22"/>
    <w:p w14:paraId="7E97229B" w14:textId="77777777" w:rsidR="004C4C22" w:rsidRDefault="004C4C22" w:rsidP="004C4C22"/>
    <w:p w14:paraId="58D8DDBC" w14:textId="77777777" w:rsidR="000E5815" w:rsidRDefault="000E5815" w:rsidP="00AE55C4">
      <w:pPr>
        <w:jc w:val="left"/>
      </w:pPr>
    </w:p>
    <w:sectPr w:rsidR="000E5815" w:rsidSect="00E217A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3B13" w14:textId="77777777" w:rsidR="00FF3776" w:rsidRDefault="00FF3776" w:rsidP="00352A82">
      <w:r>
        <w:separator/>
      </w:r>
    </w:p>
  </w:endnote>
  <w:endnote w:type="continuationSeparator" w:id="0">
    <w:p w14:paraId="76792FBA" w14:textId="77777777" w:rsidR="00FF3776" w:rsidRDefault="00FF377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3562" w14:textId="77777777" w:rsidR="00FF3776" w:rsidRDefault="00FF3776" w:rsidP="00352A82">
      <w:r>
        <w:separator/>
      </w:r>
    </w:p>
  </w:footnote>
  <w:footnote w:type="continuationSeparator" w:id="0">
    <w:p w14:paraId="2A8A3670" w14:textId="77777777" w:rsidR="00FF3776" w:rsidRDefault="00FF377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646FC0"/>
    <w:multiLevelType w:val="hybridMultilevel"/>
    <w:tmpl w:val="56AA1CC0"/>
    <w:lvl w:ilvl="0" w:tplc="8916A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FB370C"/>
    <w:multiLevelType w:val="hybridMultilevel"/>
    <w:tmpl w:val="C736EDC2"/>
    <w:lvl w:ilvl="0" w:tplc="E466C3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8"/>
  </w:num>
  <w:num w:numId="11" w16cid:durableId="666783600">
    <w:abstractNumId w:val="4"/>
  </w:num>
  <w:num w:numId="12" w16cid:durableId="102833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12936"/>
    <w:rsid w:val="000276AB"/>
    <w:rsid w:val="00053B54"/>
    <w:rsid w:val="00053DFC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83ED4"/>
    <w:rsid w:val="00192B9A"/>
    <w:rsid w:val="001A56DC"/>
    <w:rsid w:val="001B2389"/>
    <w:rsid w:val="001C491B"/>
    <w:rsid w:val="001C6438"/>
    <w:rsid w:val="001D7013"/>
    <w:rsid w:val="001F0AD8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03FE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C4C22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377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E0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radni-list.si/1/objava.jsp?sop=2015-01-2277" TargetMode="External"/><Relationship Id="rId18" Type="http://schemas.openxmlformats.org/officeDocument/2006/relationships/hyperlink" Target="https://www.uradni-list.si/glasilo-uradni-list-rs/vsebina/2025-01-303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0-01-0654/odlok-o-uporabi-sredstev-proracunske-rezerve-mestne-obcine-kranj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13-01-3677" TargetMode="External"/><Relationship Id="rId17" Type="http://schemas.openxmlformats.org/officeDocument/2006/relationships/hyperlink" Target="http://www.uradni-list.si/1/objava.jsp?sop=2023-01-0348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0-01-3501" TargetMode="External"/><Relationship Id="rId20" Type="http://schemas.openxmlformats.org/officeDocument/2006/relationships/hyperlink" Target="https://www.uradni-list.si/glasilo-uradni-list-rs/vsebina/2020-01-0654/odlok-o-uporabi-sredstev-proracunske-rezerve-mestne-obcine-kranj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13-21-0433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18-01-054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uradni-list.si/1/objava.jsp?sop=2011-01-0449" TargetMode="External"/><Relationship Id="rId19" Type="http://schemas.openxmlformats.org/officeDocument/2006/relationships/hyperlink" Target="https://www.uradni-list.si/glasilo-uradni-list-rs/vsebina/2025-01-398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15-01-3772" TargetMode="External"/><Relationship Id="rId22" Type="http://schemas.openxmlformats.org/officeDocument/2006/relationships/hyperlink" Target="https://www.uradni-list.si/glasilo-uradni-list-rs/vsebina/2020-01-0654/odlok-o-uporabi-sredstev-proracunske-rezerve-mestne-obcine-kranj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2026-02-27T08:37:00Z</cp:lastPrinted>
  <dcterms:created xsi:type="dcterms:W3CDTF">2026-05-19T06:19:00Z</dcterms:created>
  <dcterms:modified xsi:type="dcterms:W3CDTF">2026-05-22T08:14:00Z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