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8062087" w:rsidR="0066085E" w:rsidRPr="002C50A0" w:rsidRDefault="002A02B3" w:rsidP="0066085E">
      <w:pPr>
        <w:pStyle w:val="Nazivenote"/>
        <w:rPr>
          <w:b w:val="0"/>
          <w:bCs/>
        </w:rPr>
      </w:pPr>
      <w:r w:rsidRPr="002C50A0">
        <mc:AlternateContent>
          <mc:Choice Requires="wps">
            <w:drawing>
              <wp:anchor distT="45720" distB="45720" distL="114300" distR="114300" simplePos="0" relativeHeight="251658241" behindDoc="1" locked="0" layoutInCell="1" allowOverlap="1" wp14:anchorId="18D38E96" wp14:editId="05A0E6A0">
                <wp:simplePos x="0" y="0"/>
                <wp:positionH relativeFrom="column">
                  <wp:posOffset>4761230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79F4F78C" w:rsidR="00445A64" w:rsidRPr="000E5815" w:rsidRDefault="002A02B3" w:rsidP="00445A64">
                            <w:pPr>
                              <w:pStyle w:val="tevilka"/>
                              <w:rPr>
                                <w:sz w:val="80"/>
                                <w:szCs w:val="80"/>
                              </w:rPr>
                            </w:pPr>
                            <w:r>
                              <w:rPr>
                                <w:sz w:val="80"/>
                                <w:szCs w:val="8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4.9pt;margin-top:1.2pt;width:66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" stroked="f">
                <v:textbox>
                  <w:txbxContent>
                    <w:p w14:paraId="79C32D9A" w14:textId="79F4F78C" w:rsidR="00445A64" w:rsidRPr="000E5815" w:rsidRDefault="002A02B3" w:rsidP="00445A64">
                      <w:pPr>
                        <w:pStyle w:val="tevilka"/>
                        <w:rPr>
                          <w:sz w:val="80"/>
                          <w:szCs w:val="80"/>
                        </w:rPr>
                      </w:pPr>
                      <w:r>
                        <w:rPr>
                          <w:sz w:val="80"/>
                          <w:szCs w:val="80"/>
                        </w:rPr>
                        <w:t>10</w:t>
                      </w:r>
                    </w:p>
                  </w:txbxContent>
                </v:textbox>
                <w10:wrap type="tight"/>
              </v:shape>
            </w:pict>
          </mc:Fallback>
        </mc:AlternateContent>
      </w:r>
      <w:r w:rsidR="009060A3" w:rsidRPr="002C50A0">
        <mc:AlternateContent>
          <mc:Choice Requires="wps">
            <w:drawing>
              <wp:anchor distT="0" distB="0" distL="114300" distR="114300" simplePos="0" relativeHeight="251658240" behindDoc="0" locked="0" layoutInCell="1" allowOverlap="1" wp14:anchorId="4A5FC2D6" wp14:editId="6D4BB371">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1B90C"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rsidRPr="002C50A0">
        <w:t>Župan</w:t>
      </w:r>
      <w:r w:rsidR="00A7398A" w:rsidRPr="002C50A0">
        <w:t xml:space="preserve"> </w:t>
      </w:r>
      <w:r w:rsidR="00722FAC" w:rsidRPr="002C50A0">
        <w:br/>
      </w:r>
      <w:r w:rsidR="002B08B0" w:rsidRPr="002C50A0">
        <w:rPr>
          <w:b w:val="0"/>
          <w:bCs/>
        </w:rPr>
        <w:t>Trg Edvarda Kardelja 1, 5000 Nova Gorica</w:t>
      </w:r>
    </w:p>
    <w:p w14:paraId="77EDCABD" w14:textId="77777777" w:rsidR="0066085E" w:rsidRPr="002C50A0" w:rsidRDefault="0066085E" w:rsidP="0066085E">
      <w:pPr>
        <w:pStyle w:val="Nazivenote"/>
      </w:pPr>
    </w:p>
    <w:p w14:paraId="2B958570" w14:textId="77777777" w:rsidR="0041332E" w:rsidRPr="002C50A0" w:rsidRDefault="0041332E" w:rsidP="0041332E">
      <w:pPr>
        <w:pStyle w:val="stevilkadokumenta"/>
        <w:rPr>
          <w:rStyle w:val="ZvezaZnak"/>
          <w:sz w:val="20"/>
          <w:u w:val="none"/>
        </w:rPr>
      </w:pPr>
      <w:r w:rsidRPr="002C50A0">
        <w:rPr>
          <w:rStyle w:val="ZvezaZnak"/>
          <w:sz w:val="20"/>
          <w:u w:val="none"/>
        </w:rPr>
        <w:t>Številka: 610-28/2025 - 6</w:t>
      </w:r>
      <w:r w:rsidRPr="002C50A0">
        <w:rPr>
          <w:rStyle w:val="ZvezaZnak"/>
          <w:sz w:val="20"/>
          <w:u w:val="none"/>
        </w:rPr>
        <w:br/>
      </w:r>
      <w:r w:rsidRPr="002C50A0">
        <w:t xml:space="preserve">Nova Gorica, dne </w:t>
      </w:r>
      <w:r>
        <w:t>9.</w:t>
      </w:r>
      <w:r w:rsidRPr="002C50A0">
        <w:t xml:space="preserve"> januarja 2026</w:t>
      </w:r>
    </w:p>
    <w:p w14:paraId="2BEF2C5E" w14:textId="77777777" w:rsidR="001A6830" w:rsidRDefault="001A6830" w:rsidP="009B227A">
      <w:pPr>
        <w:pStyle w:val="gradivo"/>
        <w:spacing w:before="480" w:after="480"/>
        <w:rPr>
          <w:b/>
          <w:bCs w:val="0"/>
        </w:rPr>
      </w:pPr>
    </w:p>
    <w:p w14:paraId="2D9E2EAD" w14:textId="71141ED1" w:rsidR="000807CE" w:rsidRPr="002C50A0" w:rsidRDefault="000807CE" w:rsidP="009B227A">
      <w:pPr>
        <w:pStyle w:val="gradivo"/>
        <w:spacing w:before="480" w:after="480"/>
        <w:rPr>
          <w:b/>
          <w:bCs w:val="0"/>
        </w:rPr>
      </w:pPr>
      <w:r w:rsidRPr="002C50A0">
        <w:rPr>
          <w:b/>
          <w:bCs w:val="0"/>
        </w:rPr>
        <w:t>MESTNI SVET MESTNE OBČINE NOVA GORICA</w:t>
      </w:r>
    </w:p>
    <w:p w14:paraId="42663E32" w14:textId="598C01A2" w:rsidR="008802E3" w:rsidRPr="002C50A0" w:rsidRDefault="0066085E" w:rsidP="00FB7287">
      <w:pPr>
        <w:ind w:left="4395" w:hanging="3686"/>
      </w:pPr>
      <w:r w:rsidRPr="002C50A0">
        <w:rPr>
          <w:b/>
          <w:bCs w:val="0"/>
        </w:rPr>
        <w:t>ZADEVA</w:t>
      </w:r>
      <w:r w:rsidRPr="002C50A0">
        <w:t>:</w:t>
      </w:r>
      <w:r w:rsidRPr="002C50A0">
        <w:tab/>
        <w:t>PREDLOG ZA OBRAVNAVO NA SEJI MESTNEGA SVETA MESTNE OBČINE NOVA GORICA</w:t>
      </w:r>
    </w:p>
    <w:p w14:paraId="1D7223B1" w14:textId="7936F150" w:rsidR="0066085E" w:rsidRPr="002C50A0" w:rsidRDefault="0066085E" w:rsidP="009B227A">
      <w:pPr>
        <w:pStyle w:val="Naslov1"/>
        <w:spacing w:before="240" w:after="240"/>
        <w:ind w:left="4395" w:hanging="3686"/>
        <w:rPr>
          <w:sz w:val="20"/>
          <w:szCs w:val="20"/>
        </w:rPr>
      </w:pPr>
      <w:r w:rsidRPr="002C50A0">
        <w:rPr>
          <w:sz w:val="20"/>
          <w:szCs w:val="20"/>
        </w:rPr>
        <w:t>NASLOV:</w:t>
      </w:r>
      <w:r w:rsidRPr="002C50A0">
        <w:tab/>
      </w:r>
      <w:r w:rsidR="00E43C78" w:rsidRPr="008274F2">
        <w:rPr>
          <w:sz w:val="20"/>
          <w:szCs w:val="20"/>
        </w:rPr>
        <w:t>Predlog Sklepa o podaji s</w:t>
      </w:r>
      <w:r w:rsidR="00811DBF" w:rsidRPr="008274F2">
        <w:rPr>
          <w:sz w:val="20"/>
          <w:szCs w:val="20"/>
        </w:rPr>
        <w:t>oglasj</w:t>
      </w:r>
      <w:r w:rsidR="00E43C78" w:rsidRPr="008274F2">
        <w:rPr>
          <w:sz w:val="20"/>
          <w:szCs w:val="20"/>
        </w:rPr>
        <w:t>a</w:t>
      </w:r>
      <w:r w:rsidR="00811DBF" w:rsidRPr="008274F2">
        <w:rPr>
          <w:sz w:val="20"/>
          <w:szCs w:val="20"/>
        </w:rPr>
        <w:t xml:space="preserve"> </w:t>
      </w:r>
      <w:r w:rsidR="00E43C78" w:rsidRPr="008274F2">
        <w:rPr>
          <w:sz w:val="20"/>
          <w:szCs w:val="20"/>
        </w:rPr>
        <w:t>j</w:t>
      </w:r>
      <w:r w:rsidR="00811DBF" w:rsidRPr="008274F2">
        <w:rPr>
          <w:sz w:val="20"/>
          <w:szCs w:val="20"/>
        </w:rPr>
        <w:t>avnemu zavodu Goriški muzej Kromberk - Nova Gorica za najem revolving kredita</w:t>
      </w:r>
      <w:r w:rsidR="00811DBF" w:rsidRPr="002C50A0">
        <w:rPr>
          <w:sz w:val="20"/>
          <w:szCs w:val="20"/>
        </w:rPr>
        <w:t xml:space="preserve"> </w:t>
      </w:r>
    </w:p>
    <w:p w14:paraId="4EB48263" w14:textId="6DBBE526" w:rsidR="0066085E" w:rsidRPr="002C50A0" w:rsidRDefault="0066085E" w:rsidP="000E5815">
      <w:pPr>
        <w:ind w:left="4395" w:hanging="3686"/>
        <w:jc w:val="left"/>
      </w:pPr>
      <w:r w:rsidRPr="002C50A0">
        <w:rPr>
          <w:b/>
          <w:bCs w:val="0"/>
        </w:rPr>
        <w:t>GRADIVO PRIPRAVIL</w:t>
      </w:r>
      <w:r w:rsidRPr="002C50A0">
        <w:t>:</w:t>
      </w:r>
      <w:r w:rsidRPr="002C50A0">
        <w:tab/>
      </w:r>
      <w:r w:rsidRPr="002C50A0">
        <w:rPr>
          <w:rStyle w:val="gradivoZnak"/>
        </w:rPr>
        <w:t xml:space="preserve">Mestna občina Nova Gorica, </w:t>
      </w:r>
      <w:r w:rsidR="0045587F" w:rsidRPr="002C50A0">
        <w:rPr>
          <w:rStyle w:val="gradivoZnak"/>
        </w:rPr>
        <w:t>Oddelek za družbene dejavnosti</w:t>
      </w:r>
    </w:p>
    <w:p w14:paraId="2589E91B" w14:textId="6BA695E2" w:rsidR="0066085E" w:rsidRPr="002C50A0" w:rsidRDefault="0066085E" w:rsidP="00FB7287">
      <w:pPr>
        <w:ind w:left="4395" w:hanging="3686"/>
      </w:pPr>
      <w:r w:rsidRPr="002C50A0">
        <w:rPr>
          <w:b/>
          <w:bCs w:val="0"/>
        </w:rPr>
        <w:t>IZDELOVALEC GRADIVA:</w:t>
      </w:r>
      <w:r w:rsidR="00FB7287" w:rsidRPr="002C50A0">
        <w:tab/>
      </w:r>
      <w:r w:rsidR="005B0914" w:rsidRPr="002C50A0">
        <w:t>/</w:t>
      </w:r>
    </w:p>
    <w:p w14:paraId="11F58982" w14:textId="4A619992" w:rsidR="0066085E" w:rsidRPr="002C50A0" w:rsidRDefault="0066085E" w:rsidP="008274F2">
      <w:pPr>
        <w:ind w:left="4395" w:hanging="3686"/>
        <w:jc w:val="left"/>
        <w:rPr>
          <w:b/>
          <w:bCs w:val="0"/>
        </w:rPr>
      </w:pPr>
      <w:r w:rsidRPr="002C50A0">
        <w:rPr>
          <w:b/>
          <w:bCs w:val="0"/>
        </w:rPr>
        <w:t>POROČEVALEC:</w:t>
      </w:r>
      <w:r w:rsidR="00FB7287" w:rsidRPr="002C50A0">
        <w:t xml:space="preserve"> </w:t>
      </w:r>
      <w:r w:rsidR="00FB7287" w:rsidRPr="002C50A0">
        <w:tab/>
      </w:r>
      <w:r w:rsidR="007F6736" w:rsidRPr="002C50A0">
        <w:t>mag. Marinka Saksida</w:t>
      </w:r>
      <w:r w:rsidR="005B0914" w:rsidRPr="002C50A0">
        <w:t>, vodja Oddelka za družbene dejavnosti</w:t>
      </w:r>
    </w:p>
    <w:p w14:paraId="75A8D632" w14:textId="053F8669" w:rsidR="0066085E" w:rsidRPr="002C50A0" w:rsidRDefault="0066085E" w:rsidP="008274F2">
      <w:pPr>
        <w:ind w:left="4395" w:hanging="3686"/>
        <w:jc w:val="left"/>
      </w:pPr>
      <w:r w:rsidRPr="002C50A0">
        <w:rPr>
          <w:b/>
          <w:bCs w:val="0"/>
        </w:rPr>
        <w:t xml:space="preserve">PRISTOJNO DELOVNO </w:t>
      </w:r>
      <w:r w:rsidR="003924F9" w:rsidRPr="002C50A0">
        <w:rPr>
          <w:b/>
          <w:bCs w:val="0"/>
        </w:rPr>
        <w:t>TELO</w:t>
      </w:r>
      <w:r w:rsidRPr="002C50A0">
        <w:t xml:space="preserve">: </w:t>
      </w:r>
      <w:r w:rsidRPr="002C50A0">
        <w:tab/>
      </w:r>
      <w:r w:rsidR="005B0914" w:rsidRPr="002C50A0">
        <w:t xml:space="preserve">Odbor za kulturo, </w:t>
      </w:r>
      <w:r w:rsidR="00B71AF7" w:rsidRPr="002C50A0">
        <w:t>šolstvo in šport</w:t>
      </w:r>
      <w:r w:rsidR="001A6830">
        <w:t xml:space="preserve"> ter Odbor za gospodarstvo</w:t>
      </w:r>
    </w:p>
    <w:p w14:paraId="4C9319DA" w14:textId="7B5A35DC" w:rsidR="0066085E" w:rsidRPr="002C50A0" w:rsidRDefault="0066085E" w:rsidP="00352A82">
      <w:pPr>
        <w:rPr>
          <w:b/>
          <w:bCs w:val="0"/>
        </w:rPr>
      </w:pPr>
      <w:r w:rsidRPr="002C50A0">
        <w:rPr>
          <w:b/>
          <w:bCs w:val="0"/>
        </w:rPr>
        <w:t xml:space="preserve">PREDLOG SKLEPA: </w:t>
      </w:r>
    </w:p>
    <w:p w14:paraId="4AD67041" w14:textId="705EF248" w:rsidR="00FB7287" w:rsidRPr="002C50A0" w:rsidRDefault="005D075A" w:rsidP="008274F2">
      <w:pPr>
        <w:jc w:val="left"/>
      </w:pPr>
      <w:bookmarkStart w:id="0" w:name="_Hlk195615944"/>
      <w:r w:rsidRPr="002C50A0">
        <w:t xml:space="preserve">Mestni svet Mestne občine Nova Gorica </w:t>
      </w:r>
      <w:r w:rsidR="00B65909" w:rsidRPr="002C50A0">
        <w:t>sprejme</w:t>
      </w:r>
      <w:r w:rsidRPr="002C50A0">
        <w:t xml:space="preserve"> </w:t>
      </w:r>
      <w:r w:rsidR="00F93B2E">
        <w:t>S</w:t>
      </w:r>
      <w:r w:rsidR="0062687F" w:rsidRPr="002C50A0">
        <w:t>kl</w:t>
      </w:r>
      <w:r w:rsidR="000B3F28">
        <w:t>ep</w:t>
      </w:r>
      <w:r w:rsidR="0062687F" w:rsidRPr="002C50A0">
        <w:t xml:space="preserve"> o podaji soglasja</w:t>
      </w:r>
      <w:r w:rsidR="00811DBF" w:rsidRPr="002C50A0">
        <w:t xml:space="preserve"> Javnemu zavodu Goriški muzej Kromberk - Nova Gorica za najem revolving kredita v višini do 1</w:t>
      </w:r>
      <w:r w:rsidR="00696582">
        <w:t>3</w:t>
      </w:r>
      <w:r w:rsidR="00811DBF" w:rsidRPr="002C50A0">
        <w:t>0.000,00 EUR za poravnavo stroškov za izvedbo projektov za obdobje 1. 1. 2026 do 31. 12. 2026.</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2C50A0" w14:paraId="0FF38549" w14:textId="77777777" w:rsidTr="00FB7287">
        <w:tc>
          <w:tcPr>
            <w:tcW w:w="3549" w:type="dxa"/>
          </w:tcPr>
          <w:p w14:paraId="1D1D813B" w14:textId="77777777" w:rsidR="00FB7287" w:rsidRPr="002C50A0" w:rsidRDefault="00FB7287" w:rsidP="00C818D4">
            <w:pPr>
              <w:pStyle w:val="Podpisoseba"/>
              <w:spacing w:before="0" w:after="0"/>
              <w:rPr>
                <w:b/>
                <w:color w:val="FFFFFF" w:themeColor="background1"/>
              </w:rPr>
            </w:pPr>
            <w:r w:rsidRPr="002C50A0">
              <w:rPr>
                <w:b/>
                <w:color w:val="FFFFFF" w:themeColor="background1"/>
              </w:rPr>
              <w:t>Desnik podpisnik</w:t>
            </w:r>
          </w:p>
        </w:tc>
      </w:tr>
      <w:tr w:rsidR="00FB7287" w:rsidRPr="002C50A0" w14:paraId="6D021AA2" w14:textId="77777777" w:rsidTr="00FB7287">
        <w:tc>
          <w:tcPr>
            <w:tcW w:w="3549" w:type="dxa"/>
          </w:tcPr>
          <w:p w14:paraId="7F514CF4" w14:textId="77777777" w:rsidR="00FB7287" w:rsidRPr="002C50A0" w:rsidRDefault="00FB7287" w:rsidP="00C818D4">
            <w:pPr>
              <w:pStyle w:val="Podpisoseba"/>
              <w:spacing w:before="0" w:after="0"/>
              <w:rPr>
                <w:bCs w:val="0"/>
              </w:rPr>
            </w:pPr>
            <w:r w:rsidRPr="002C50A0">
              <w:rPr>
                <w:b/>
              </w:rPr>
              <w:t>Samo Turel</w:t>
            </w:r>
          </w:p>
        </w:tc>
      </w:tr>
      <w:tr w:rsidR="00FB7287" w:rsidRPr="002C50A0" w14:paraId="1EDB9A6B" w14:textId="77777777" w:rsidTr="00FB7287">
        <w:trPr>
          <w:trHeight w:val="530"/>
        </w:trPr>
        <w:tc>
          <w:tcPr>
            <w:tcW w:w="3549" w:type="dxa"/>
          </w:tcPr>
          <w:p w14:paraId="07F6B71D" w14:textId="7F8BA205" w:rsidR="00FB7287" w:rsidRPr="002C50A0" w:rsidRDefault="0036678D" w:rsidP="00C818D4">
            <w:pPr>
              <w:pStyle w:val="Podpisoseba"/>
              <w:spacing w:before="0" w:after="0"/>
              <w:rPr>
                <w:bCs w:val="0"/>
              </w:rPr>
            </w:pPr>
            <w:r>
              <w:t>Ž</w:t>
            </w:r>
            <w:r w:rsidR="00FB7287" w:rsidRPr="002C50A0">
              <w:t>upan</w:t>
            </w:r>
          </w:p>
        </w:tc>
      </w:tr>
      <w:bookmarkEnd w:id="0"/>
    </w:tbl>
    <w:p w14:paraId="44177559" w14:textId="77777777" w:rsidR="00FB7287" w:rsidRPr="002C50A0" w:rsidRDefault="00FB7287" w:rsidP="00BE5B70">
      <w:pPr>
        <w:rPr>
          <w:rStyle w:val="ZvezaZnak"/>
          <w:bCs/>
          <w:sz w:val="20"/>
          <w:u w:val="none"/>
        </w:rPr>
      </w:pPr>
    </w:p>
    <w:p w14:paraId="1C6841A1" w14:textId="0A7158D1" w:rsidR="0005678C" w:rsidRPr="002C50A0" w:rsidRDefault="0066085E" w:rsidP="00774DD1">
      <w:pPr>
        <w:pStyle w:val="gradivo"/>
      </w:pPr>
      <w:r w:rsidRPr="002C50A0">
        <w:t>Gradivo</w:t>
      </w:r>
      <w:r w:rsidR="00F12361" w:rsidRPr="002C50A0">
        <w:t>:</w:t>
      </w:r>
    </w:p>
    <w:p w14:paraId="08ABD712" w14:textId="2973740D" w:rsidR="00774DD1" w:rsidRPr="002C50A0" w:rsidRDefault="0066085E" w:rsidP="00774DD1">
      <w:pPr>
        <w:pStyle w:val="gradivo"/>
        <w:numPr>
          <w:ilvl w:val="0"/>
          <w:numId w:val="10"/>
        </w:numPr>
      </w:pPr>
      <w:r w:rsidRPr="002C50A0">
        <w:t>Gradivo</w:t>
      </w:r>
      <w:r w:rsidR="00F12361" w:rsidRPr="002C50A0">
        <w:t xml:space="preserve">: </w:t>
      </w:r>
      <w:r w:rsidRPr="002C50A0">
        <w:t>predlog sklepa</w:t>
      </w:r>
    </w:p>
    <w:p w14:paraId="27D6E6F6" w14:textId="64A0C9CE" w:rsidR="00952E39" w:rsidRPr="002C50A0" w:rsidRDefault="00777731" w:rsidP="00777731">
      <w:pPr>
        <w:pStyle w:val="gradivo"/>
        <w:ind w:left="1069" w:firstLine="347"/>
      </w:pPr>
      <w:r>
        <w:t>z obrazložitvijo</w:t>
      </w:r>
    </w:p>
    <w:p w14:paraId="35EBE53F" w14:textId="77777777" w:rsidR="001C491B" w:rsidRPr="002C50A0" w:rsidRDefault="001C491B" w:rsidP="00352A82">
      <w:pPr>
        <w:pStyle w:val="Odstavekseznama"/>
      </w:pPr>
    </w:p>
    <w:p w14:paraId="29F8F0D4" w14:textId="77777777" w:rsidR="001C491B" w:rsidRPr="002C50A0" w:rsidRDefault="001C491B" w:rsidP="00352A82">
      <w:pPr>
        <w:sectPr w:rsidR="001C491B" w:rsidRPr="002C50A0"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0AEF8064" w:rsidR="0066085E" w:rsidRPr="002C50A0" w:rsidRDefault="000E5815" w:rsidP="00355F3A">
      <w:pPr>
        <w:pStyle w:val="Nazivenote"/>
        <w:rPr>
          <w:b w:val="0"/>
          <w:bCs/>
        </w:rPr>
      </w:pPr>
      <w:r w:rsidRPr="002C50A0">
        <w:lastRenderedPageBreak/>
        <mc:AlternateContent>
          <mc:Choice Requires="wps">
            <w:drawing>
              <wp:anchor distT="45720" distB="45720" distL="114300" distR="114300" simplePos="0" relativeHeight="251658243" behindDoc="1" locked="0" layoutInCell="1" allowOverlap="1" wp14:anchorId="368F71C2" wp14:editId="79E7E776">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2C50A0">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130B"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2C50A0">
        <w:t xml:space="preserve">Mestni </w:t>
      </w:r>
      <w:r w:rsidR="005C6EAA" w:rsidRPr="002C50A0">
        <w:t>s</w:t>
      </w:r>
      <w:r w:rsidR="00731380" w:rsidRPr="002C50A0">
        <w:t>vet</w:t>
      </w:r>
      <w:r w:rsidR="00731380" w:rsidRPr="002C50A0">
        <w:br/>
      </w:r>
      <w:r w:rsidR="00731380" w:rsidRPr="002C50A0">
        <w:rPr>
          <w:b w:val="0"/>
          <w:bCs/>
        </w:rPr>
        <w:t>Trg Edvarda Kardelja 1, 5000 Nova Gorica</w:t>
      </w:r>
    </w:p>
    <w:p w14:paraId="4DA58669" w14:textId="77777777" w:rsidR="000E5815" w:rsidRPr="002C50A0" w:rsidRDefault="000E5815" w:rsidP="00BE5B70"/>
    <w:p w14:paraId="64C59ACA" w14:textId="77777777" w:rsidR="00682269" w:rsidRDefault="00682269" w:rsidP="00785D01"/>
    <w:p w14:paraId="2FB69C41" w14:textId="644A34E2" w:rsidR="00785D01" w:rsidRPr="002C50A0" w:rsidRDefault="00160499" w:rsidP="008274F2">
      <w:pPr>
        <w:jc w:val="left"/>
      </w:pPr>
      <w:r w:rsidRPr="002C50A0">
        <w:t>Na podlagi 10.g člena Zakona o financiranju občin (Uradni list RS, št. 123/06, 57/08, 36/11, 14/15 – ZUUJFO, 71/17, 21/18 – popr., 80/20 – ZIUOOPE, 189/20 – ZFRO, 207/21, 44/22 – ZVO-2, 17/25 in 93/25 – ZNUZJV), 19. člena Odloka o proračunu Mestne občine Nova Gorica za leto 2026 (Uradni list RS, št. 110/25) in  19. člena Statuta Mestne občine Nova Gorica (Uradni list RS, št. 13/12, 18/17 in 18/19) je Mestni svet Mestne občine Nova Gorica na seji dne _____________ sprejel naslednj</w:t>
      </w:r>
      <w:r w:rsidR="008274F2">
        <w:t>i</w:t>
      </w:r>
    </w:p>
    <w:p w14:paraId="500C863B" w14:textId="799C3C1D" w:rsidR="000E5815" w:rsidRDefault="00AA0E65" w:rsidP="000E5815">
      <w:pPr>
        <w:pStyle w:val="Naslov1"/>
        <w:jc w:val="center"/>
      </w:pPr>
      <w:r w:rsidRPr="002C50A0">
        <w:t>S</w:t>
      </w:r>
      <w:r w:rsidR="00682269">
        <w:t>KLEP</w:t>
      </w:r>
    </w:p>
    <w:p w14:paraId="60439EE8" w14:textId="23FD619C" w:rsidR="000D2A98" w:rsidRPr="006949F8" w:rsidRDefault="000D2A98" w:rsidP="000D2A98">
      <w:pPr>
        <w:jc w:val="center"/>
      </w:pPr>
      <w:r w:rsidRPr="006949F8">
        <w:t>1.</w:t>
      </w:r>
    </w:p>
    <w:p w14:paraId="524D6F04" w14:textId="16AF88B8" w:rsidR="00A55AB4" w:rsidRPr="006949F8" w:rsidRDefault="00A55AB4" w:rsidP="008274F2">
      <w:pPr>
        <w:jc w:val="left"/>
      </w:pPr>
      <w:r w:rsidRPr="006949F8">
        <w:t xml:space="preserve">Mestni svet mestne občine Nova Gorica daje soglasje Javnemu zavodu Goriški muzej </w:t>
      </w:r>
      <w:r w:rsidR="00074F95" w:rsidRPr="006949F8">
        <w:t>Krombrek – Nova Gorica za najem revolving kredita v višini 130.000,00 EUR za poravnavo stroškov z</w:t>
      </w:r>
      <w:r w:rsidR="00BA118E">
        <w:t>a</w:t>
      </w:r>
      <w:r w:rsidR="00074F95" w:rsidRPr="006949F8">
        <w:t xml:space="preserve"> izvedbo projektov za obdobje 1. 1. 2026 do 31. 12. 2026.</w:t>
      </w:r>
    </w:p>
    <w:p w14:paraId="683F6A78" w14:textId="546220AD" w:rsidR="009B461F" w:rsidRPr="006949F8" w:rsidRDefault="009B461F" w:rsidP="009B461F">
      <w:pPr>
        <w:jc w:val="center"/>
      </w:pPr>
      <w:r w:rsidRPr="006949F8">
        <w:t>2.</w:t>
      </w:r>
    </w:p>
    <w:p w14:paraId="51315D69" w14:textId="300344C2" w:rsidR="009B461F" w:rsidRDefault="009B461F" w:rsidP="008274F2">
      <w:pPr>
        <w:jc w:val="left"/>
      </w:pPr>
      <w:r w:rsidRPr="006949F8">
        <w:t>Soglasje iz 1. točke</w:t>
      </w:r>
      <w:r w:rsidR="00B23C7F">
        <w:t xml:space="preserve"> se daje pod naslednjimi pogoji:</w:t>
      </w:r>
    </w:p>
    <w:p w14:paraId="092B5907" w14:textId="7B7602BA" w:rsidR="00B23C7F" w:rsidRDefault="00B23C7F" w:rsidP="008274F2">
      <w:pPr>
        <w:pStyle w:val="Odstavekseznama"/>
        <w:numPr>
          <w:ilvl w:val="0"/>
          <w:numId w:val="12"/>
        </w:numPr>
        <w:jc w:val="left"/>
      </w:pPr>
      <w:r>
        <w:t>Javni zavod Goriški muzej Kromberk – Nova Gorica je dolžan vse obvez</w:t>
      </w:r>
      <w:r w:rsidR="000C30DB">
        <w:t>n</w:t>
      </w:r>
      <w:r>
        <w:t>osti iz naslova zadolževanja poravnati najkasneje do 31. 12. 202</w:t>
      </w:r>
      <w:r w:rsidR="006C55AD">
        <w:t>6;</w:t>
      </w:r>
    </w:p>
    <w:p w14:paraId="651C22D7" w14:textId="4ACEC155" w:rsidR="006C55AD" w:rsidRDefault="006C55AD" w:rsidP="008274F2">
      <w:pPr>
        <w:pStyle w:val="Odstavekseznama"/>
        <w:numPr>
          <w:ilvl w:val="0"/>
          <w:numId w:val="12"/>
        </w:numPr>
        <w:jc w:val="left"/>
      </w:pPr>
      <w:r w:rsidRPr="006C55AD">
        <w:t>Javni zavod Goriški muzej Kromberk – Nova Gorica</w:t>
      </w:r>
      <w:r>
        <w:t xml:space="preserve"> zagotavlja servisiranje dolga iz lastnih virov oz. iz neproračunskih virov;</w:t>
      </w:r>
    </w:p>
    <w:p w14:paraId="00BB7274" w14:textId="5A8CE080" w:rsidR="009060A3" w:rsidRPr="000C30DB" w:rsidRDefault="00CC6A20" w:rsidP="008274F2">
      <w:pPr>
        <w:pStyle w:val="Odstavekseznama"/>
        <w:numPr>
          <w:ilvl w:val="0"/>
          <w:numId w:val="12"/>
        </w:numPr>
        <w:jc w:val="left"/>
        <w:rPr>
          <w:rStyle w:val="ZvezaZnak"/>
          <w:bCs/>
          <w:sz w:val="20"/>
          <w:u w:val="none"/>
        </w:rPr>
      </w:pPr>
      <w:r>
        <w:t>Mestna občina Nova Gorica za prevzete obv</w:t>
      </w:r>
      <w:r w:rsidR="00BA1858">
        <w:t>eznosti iz naslova zadolževanja ne prevzema poroštva in ne daje zavarovanja</w:t>
      </w:r>
      <w:r w:rsidR="000A1BA0">
        <w:t>.</w:t>
      </w:r>
    </w:p>
    <w:p w14:paraId="7F35A8C6" w14:textId="3A12267C" w:rsidR="000E5815" w:rsidRPr="002C50A0" w:rsidRDefault="000E5815" w:rsidP="000634A1">
      <w:pPr>
        <w:rPr>
          <w:rStyle w:val="ZvezaZnak"/>
          <w:sz w:val="20"/>
          <w:u w:val="none"/>
        </w:rPr>
      </w:pPr>
    </w:p>
    <w:p w14:paraId="7D88DB35" w14:textId="2E873229" w:rsidR="00352A82" w:rsidRPr="00631FC9" w:rsidRDefault="00352A82" w:rsidP="00BE5B70">
      <w:pPr>
        <w:pStyle w:val="stevilkadokumenta"/>
        <w:rPr>
          <w:rStyle w:val="ZvezaZnak"/>
          <w:sz w:val="20"/>
          <w:u w:val="none"/>
        </w:rPr>
      </w:pPr>
      <w:r w:rsidRPr="002C50A0">
        <w:rPr>
          <w:rStyle w:val="ZvezaZnak"/>
          <w:sz w:val="20"/>
          <w:u w:val="none"/>
        </w:rPr>
        <w:t xml:space="preserve">Številka: </w:t>
      </w:r>
      <w:r w:rsidR="0093225B" w:rsidRPr="002C50A0">
        <w:rPr>
          <w:rStyle w:val="ZvezaZnak"/>
          <w:sz w:val="20"/>
          <w:u w:val="none"/>
        </w:rPr>
        <w:t>610-28/2025</w:t>
      </w:r>
      <w:r w:rsidRPr="00631FC9">
        <w:rPr>
          <w:rStyle w:val="ZvezaZnak"/>
          <w:sz w:val="20"/>
          <w:u w:val="none"/>
        </w:rPr>
        <w:br/>
      </w:r>
      <w:r w:rsidRPr="00631FC9">
        <w:t xml:space="preserve">Nova Gorica, dne </w:t>
      </w:r>
    </w:p>
    <w:p w14:paraId="2AA2FCC7" w14:textId="6E241C97" w:rsidR="00731380" w:rsidRPr="002C50A0" w:rsidRDefault="00731380" w:rsidP="00352A82"/>
    <w:p w14:paraId="4549E1F2" w14:textId="3E6DD13D" w:rsidR="00714788" w:rsidRPr="002C50A0"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2C50A0" w14:paraId="3CD79ED9" w14:textId="77777777" w:rsidTr="009060A3">
        <w:tc>
          <w:tcPr>
            <w:tcW w:w="3549" w:type="dxa"/>
          </w:tcPr>
          <w:p w14:paraId="3281E915" w14:textId="77777777" w:rsidR="009060A3" w:rsidRPr="002C50A0" w:rsidRDefault="009060A3" w:rsidP="009060A3">
            <w:pPr>
              <w:pStyle w:val="Podpisoseba"/>
              <w:spacing w:before="0" w:after="0"/>
              <w:rPr>
                <w:b/>
                <w:color w:val="FFFFFF" w:themeColor="background1"/>
              </w:rPr>
            </w:pPr>
            <w:r w:rsidRPr="002C50A0">
              <w:rPr>
                <w:b/>
                <w:color w:val="FFFFFF" w:themeColor="background1"/>
              </w:rPr>
              <w:t>Desnik podpisnik</w:t>
            </w:r>
          </w:p>
        </w:tc>
      </w:tr>
      <w:tr w:rsidR="009060A3" w:rsidRPr="002C50A0" w14:paraId="0E78414C" w14:textId="77777777" w:rsidTr="009060A3">
        <w:tc>
          <w:tcPr>
            <w:tcW w:w="3549" w:type="dxa"/>
          </w:tcPr>
          <w:p w14:paraId="36F5CAF7" w14:textId="77777777" w:rsidR="009060A3" w:rsidRPr="002C50A0" w:rsidRDefault="009060A3" w:rsidP="009060A3">
            <w:pPr>
              <w:pStyle w:val="Podpisoseba"/>
              <w:spacing w:before="0" w:after="0"/>
              <w:rPr>
                <w:bCs w:val="0"/>
              </w:rPr>
            </w:pPr>
            <w:r w:rsidRPr="002C50A0">
              <w:rPr>
                <w:b/>
              </w:rPr>
              <w:t>Samo Turel</w:t>
            </w:r>
          </w:p>
        </w:tc>
      </w:tr>
      <w:tr w:rsidR="009060A3" w:rsidRPr="002C50A0" w14:paraId="296EC3FE" w14:textId="77777777" w:rsidTr="009060A3">
        <w:trPr>
          <w:trHeight w:val="530"/>
        </w:trPr>
        <w:tc>
          <w:tcPr>
            <w:tcW w:w="3549" w:type="dxa"/>
          </w:tcPr>
          <w:p w14:paraId="366DB2BD" w14:textId="4D450AE2" w:rsidR="009060A3" w:rsidRPr="002C50A0" w:rsidRDefault="00682269" w:rsidP="009060A3">
            <w:pPr>
              <w:pStyle w:val="Podpisoseba"/>
              <w:spacing w:before="0" w:after="0"/>
              <w:rPr>
                <w:bCs w:val="0"/>
              </w:rPr>
            </w:pPr>
            <w:r>
              <w:t>Ž</w:t>
            </w:r>
            <w:r w:rsidR="009060A3" w:rsidRPr="002C50A0">
              <w:t>upan</w:t>
            </w:r>
          </w:p>
        </w:tc>
      </w:tr>
    </w:tbl>
    <w:p w14:paraId="1600E036" w14:textId="3AA6434C" w:rsidR="00714788" w:rsidRPr="002C50A0" w:rsidRDefault="00714788" w:rsidP="00352A82"/>
    <w:p w14:paraId="021587B6" w14:textId="77777777" w:rsidR="00714788" w:rsidRPr="002C50A0" w:rsidRDefault="00714788" w:rsidP="000634A1"/>
    <w:p w14:paraId="06BE4516" w14:textId="77777777" w:rsidR="00731380" w:rsidRPr="002C50A0" w:rsidRDefault="00731380" w:rsidP="0093225B">
      <w:pPr>
        <w:ind w:left="0"/>
        <w:sectPr w:rsidR="00731380" w:rsidRPr="002C50A0" w:rsidSect="00E217AD">
          <w:pgSz w:w="11906" w:h="16838"/>
          <w:pgMar w:top="1418" w:right="1418" w:bottom="1418" w:left="1418" w:header="1304" w:footer="454" w:gutter="0"/>
          <w:cols w:space="708"/>
          <w:titlePg/>
          <w:docGrid w:linePitch="360"/>
        </w:sectPr>
      </w:pPr>
    </w:p>
    <w:p w14:paraId="5E21157B" w14:textId="22D750E5" w:rsidR="00731380" w:rsidRPr="002C50A0" w:rsidRDefault="00C50EB4" w:rsidP="00731380">
      <w:pPr>
        <w:pStyle w:val="Nazivenote"/>
        <w:rPr>
          <w:b w:val="0"/>
          <w:bCs/>
        </w:rPr>
      </w:pPr>
      <w:r w:rsidRPr="002C50A0">
        <w:lastRenderedPageBreak/>
        <w:t>Oddelek za družbene dejavnosti</w:t>
      </w:r>
      <w:r w:rsidR="00731380" w:rsidRPr="002C50A0">
        <w:br/>
      </w:r>
      <w:r w:rsidR="00731380" w:rsidRPr="002C50A0">
        <w:rPr>
          <w:b w:val="0"/>
          <w:bCs/>
        </w:rPr>
        <w:t>Trg Edvarda Kardelja 1, 5000 Nova Gorica</w:t>
      </w:r>
    </w:p>
    <w:p w14:paraId="31D67305" w14:textId="0CF87A69" w:rsidR="00731380" w:rsidRPr="002C50A0" w:rsidRDefault="009C4BA8" w:rsidP="00731380">
      <w:pPr>
        <w:pStyle w:val="Naslov1"/>
      </w:pPr>
      <w:r w:rsidRPr="002C50A0">
        <w:t>Obrazložitev</w:t>
      </w:r>
    </w:p>
    <w:p w14:paraId="772363BB" w14:textId="7C9DA74F" w:rsidR="0093225B" w:rsidRPr="002C50A0" w:rsidRDefault="0093225B" w:rsidP="008274F2">
      <w:pPr>
        <w:jc w:val="left"/>
        <w:rPr>
          <w:color w:val="000000" w:themeColor="text1"/>
        </w:rPr>
      </w:pPr>
      <w:r w:rsidRPr="002C50A0">
        <w:rPr>
          <w:color w:val="000000" w:themeColor="text1"/>
        </w:rPr>
        <w:t xml:space="preserve">Javni zavod Goriški muzej Kromberk-Nova Gorica (v nadaljevanju: Goriški muzej) je </w:t>
      </w:r>
      <w:r w:rsidR="00E910CA">
        <w:rPr>
          <w:color w:val="000000" w:themeColor="text1"/>
        </w:rPr>
        <w:t>7</w:t>
      </w:r>
      <w:r w:rsidRPr="002C50A0">
        <w:rPr>
          <w:color w:val="000000" w:themeColor="text1"/>
        </w:rPr>
        <w:t>.</w:t>
      </w:r>
      <w:r w:rsidR="00536FC9">
        <w:rPr>
          <w:color w:val="000000" w:themeColor="text1"/>
        </w:rPr>
        <w:t xml:space="preserve"> 1.</w:t>
      </w:r>
      <w:r w:rsidRPr="002C50A0">
        <w:rPr>
          <w:color w:val="000000" w:themeColor="text1"/>
        </w:rPr>
        <w:t xml:space="preserve"> 202</w:t>
      </w:r>
      <w:r w:rsidR="00536FC9">
        <w:rPr>
          <w:color w:val="000000" w:themeColor="text1"/>
        </w:rPr>
        <w:t>6</w:t>
      </w:r>
      <w:r w:rsidRPr="002C50A0">
        <w:rPr>
          <w:color w:val="000000" w:themeColor="text1"/>
        </w:rPr>
        <w:t xml:space="preserve"> Mestni občini Nova Gorica poslal vlogo za izdajo soglasja za najem revolving kredita za namen pokrivanja stroškov za tekoče poslovanje javnega zavoda za obdobje 1. 1. 2026 do 31. 1</w:t>
      </w:r>
      <w:r w:rsidR="004427D6">
        <w:rPr>
          <w:color w:val="000000" w:themeColor="text1"/>
        </w:rPr>
        <w:t>2</w:t>
      </w:r>
      <w:r w:rsidRPr="002C50A0">
        <w:rPr>
          <w:color w:val="000000" w:themeColor="text1"/>
        </w:rPr>
        <w:t>. 2026.</w:t>
      </w:r>
    </w:p>
    <w:p w14:paraId="185DF239" w14:textId="3460D840" w:rsidR="0093225B" w:rsidRPr="002C50A0" w:rsidRDefault="0093225B" w:rsidP="008274F2">
      <w:pPr>
        <w:jc w:val="left"/>
        <w:rPr>
          <w:color w:val="000000" w:themeColor="text1"/>
        </w:rPr>
      </w:pPr>
      <w:r w:rsidRPr="002C50A0">
        <w:rPr>
          <w:color w:val="000000" w:themeColor="text1"/>
        </w:rPr>
        <w:t>V Goriškem muzeju se v letu 2026 nadaljuje izvajanje projektov Taktilna galerija in DigaRegion, načrtuje se tudi izvedba novih projektov. Projekti so financirani preko zahtevkov, kar pomeni, da mora Goriški muzej pred izdajo zahtevka financerju, vse račune poravnati in poslati dokazila o poravnanih obveznostih v zahtevku. Teh sredstev na računu Goriški muzej nima dovolj, zato je nujno potrebno zagotoviti sredstva za tekoče poslovanje. Goriški muzej za projekte, ki so financirani s strani ustanoviteljice, Ministrstva za kulturo</w:t>
      </w:r>
      <w:r w:rsidR="004427D6">
        <w:rPr>
          <w:color w:val="000000" w:themeColor="text1"/>
        </w:rPr>
        <w:t>,</w:t>
      </w:r>
      <w:r w:rsidRPr="002C50A0">
        <w:rPr>
          <w:color w:val="000000" w:themeColor="text1"/>
        </w:rPr>
        <w:t xml:space="preserve"> nima večjih težav, ker je doba izplačila zahtevka običajno mesec dni ali krajša. Za ostale projekte pa so obračunska obdobja daljša, tudi do 6 mesecev.</w:t>
      </w:r>
    </w:p>
    <w:p w14:paraId="67222E1A" w14:textId="77777777" w:rsidR="0093225B" w:rsidRPr="002C50A0" w:rsidRDefault="0093225B" w:rsidP="008274F2">
      <w:pPr>
        <w:jc w:val="left"/>
        <w:rPr>
          <w:color w:val="000000" w:themeColor="text1"/>
        </w:rPr>
      </w:pPr>
      <w:r w:rsidRPr="002C50A0">
        <w:rPr>
          <w:color w:val="000000" w:themeColor="text1"/>
        </w:rPr>
        <w:t>Goriški muzej je k prošnji in obrazložitvi priložil Finančno specifikacijo za program 2026.</w:t>
      </w:r>
    </w:p>
    <w:p w14:paraId="751C7A23" w14:textId="623E2E96" w:rsidR="0093225B" w:rsidRPr="002C50A0" w:rsidRDefault="0093225B" w:rsidP="008274F2">
      <w:pPr>
        <w:jc w:val="left"/>
        <w:rPr>
          <w:color w:val="000000" w:themeColor="text1"/>
        </w:rPr>
      </w:pPr>
      <w:r w:rsidRPr="002C50A0">
        <w:rPr>
          <w:color w:val="000000" w:themeColor="text1"/>
        </w:rPr>
        <w:t>Goriški muzej ocenjuje, da za tekoče poslovanje potrebuje za obdobje 1. 1. 2026 do 31. 1</w:t>
      </w:r>
      <w:r w:rsidR="004427D6">
        <w:rPr>
          <w:color w:val="000000" w:themeColor="text1"/>
        </w:rPr>
        <w:t>2</w:t>
      </w:r>
      <w:r w:rsidRPr="002C50A0">
        <w:rPr>
          <w:color w:val="000000" w:themeColor="text1"/>
        </w:rPr>
        <w:t>. 2026 revolving kredit v višini do 1</w:t>
      </w:r>
      <w:r w:rsidR="00631FC9">
        <w:rPr>
          <w:color w:val="000000" w:themeColor="text1"/>
        </w:rPr>
        <w:t>3</w:t>
      </w:r>
      <w:r w:rsidRPr="002C50A0">
        <w:rPr>
          <w:color w:val="000000" w:themeColor="text1"/>
        </w:rPr>
        <w:t>0.000,00 EUR. Za izbiro banke bo Goriški muzej izvedel javno naročilo.</w:t>
      </w:r>
    </w:p>
    <w:p w14:paraId="22647C4C" w14:textId="7035D913" w:rsidR="0093225B" w:rsidRPr="002C50A0" w:rsidRDefault="0093225B" w:rsidP="008274F2">
      <w:pPr>
        <w:jc w:val="left"/>
        <w:rPr>
          <w:color w:val="000000" w:themeColor="text1"/>
        </w:rPr>
      </w:pPr>
      <w:r w:rsidRPr="002C50A0">
        <w:rPr>
          <w:color w:val="000000" w:themeColor="text1"/>
        </w:rPr>
        <w:t>Goriški muzej nima dovolj likvidnostnih sredstev, da bi lahko pokril stroške za uspešno izvajanje projektov, s kreditnimi sredstvi pa mu bo to omogočeno.</w:t>
      </w:r>
    </w:p>
    <w:p w14:paraId="04013200" w14:textId="693C2CB6" w:rsidR="0093225B" w:rsidRPr="002C50A0" w:rsidRDefault="0093225B" w:rsidP="008274F2">
      <w:pPr>
        <w:jc w:val="left"/>
        <w:rPr>
          <w:color w:val="000000" w:themeColor="text1"/>
        </w:rPr>
      </w:pPr>
      <w:r w:rsidRPr="002C50A0">
        <w:rPr>
          <w:color w:val="000000" w:themeColor="text1"/>
        </w:rPr>
        <w:t>10. g člen Zakona o financiranju občin (Uradni list RS, št. 123/06, 57/08, 36/11, 14/15 – ZUUJFO, 71/17, 21/18 – popr., 80/20 – ZIUOOPE, 189/20 – ZFRO, 207/21, 44/22 – ZVO-2, 17/25 in 93/25 – ZNUZJ</w:t>
      </w:r>
      <w:r w:rsidR="004427D6">
        <w:rPr>
          <w:color w:val="000000" w:themeColor="text1"/>
        </w:rPr>
        <w:t>V</w:t>
      </w:r>
      <w:r w:rsidRPr="002C50A0">
        <w:rPr>
          <w:color w:val="000000" w:themeColor="text1"/>
        </w:rPr>
        <w:t>) določa, da se lahko posredni proračunski uporabniki občinskega proračuna, javni gospodarski zavodi in javna podjetja, katerih ustanoviteljica je občina ter druge pravne osebe, v katerih ima občina neposredno ali posredno prevladujoč vpliv, zadolžujejo in izdajajo poroštva s soglasjem občine pod pogoji, ki jih določi občinski svet in če imajo te osebe zagotovljena sredstva za servisiranje dolga iz neproračunskih virov. Izdana soglasja se ne štejejo v največji obseg možnega zadolževanja občine.</w:t>
      </w:r>
    </w:p>
    <w:p w14:paraId="25C6A764" w14:textId="5AFBD27F" w:rsidR="0093225B" w:rsidRPr="002C50A0" w:rsidRDefault="0093225B" w:rsidP="008274F2">
      <w:pPr>
        <w:jc w:val="left"/>
        <w:rPr>
          <w:color w:val="000000" w:themeColor="text1"/>
        </w:rPr>
      </w:pPr>
      <w:r w:rsidRPr="002C50A0">
        <w:rPr>
          <w:color w:val="000000" w:themeColor="text1"/>
        </w:rPr>
        <w:t xml:space="preserve">Podobno določbo vsebuje tudi Odlok o proračunu Mestne občine Nova Gorica za leto 2026 v 19. členu, kjer je določeno, da se posredni proračunski uporabniki občinskega proračuna, javni gospodarski zavodi in javna podjetja, katerih ustanoviteljica je občina ter druge pravne osebe, v katerih ima občina neposredno ali posredno prevladujoč vpliv, lahko v letu 2026 zadolžujejo do skupne višine 6 mio EUR in izdajajo poroštva do skupine višine glavnic 0 EUR s soglasjem občine pod pogoji, ki jih določi mestni svet in če imajo te osebe zagotovljena sredstva za </w:t>
      </w:r>
      <w:r w:rsidRPr="002C50A0">
        <w:rPr>
          <w:color w:val="000000" w:themeColor="text1"/>
        </w:rPr>
        <w:lastRenderedPageBreak/>
        <w:t>servisiranje dolga iz neproračunskih virov. Izdana soglasja se ne štejejo v največji obseg možnega zadolževanja občine, ki je določen v zakonu, ki ureja financiranje občin. Soglasje izda mestni svet.</w:t>
      </w:r>
    </w:p>
    <w:p w14:paraId="1A8A130F" w14:textId="0C3ED977" w:rsidR="00BC068D" w:rsidRPr="002C50A0" w:rsidRDefault="0093225B" w:rsidP="008274F2">
      <w:pPr>
        <w:jc w:val="left"/>
        <w:rPr>
          <w:color w:val="000000" w:themeColor="text1"/>
        </w:rPr>
      </w:pPr>
      <w:r w:rsidRPr="002C50A0">
        <w:rPr>
          <w:color w:val="000000" w:themeColor="text1"/>
        </w:rPr>
        <w:t>S podajo predloženega soglasja k zadolževanju Goriškega muzeja Mestna občina Nova Gorica ne prevzema dodatnega bremena oz. tveganja, ampak samo omogoča nemoteno delovanje zavoda in izvajanje projektov, hkrati pa izdano soglasje ne šteje v največji obseg možnega zadolževanja mestne občine.</w:t>
      </w:r>
      <w:r w:rsidR="00B22EA6" w:rsidRPr="002C50A0">
        <w:rPr>
          <w:color w:val="000000" w:themeColor="text1"/>
        </w:rPr>
        <w:tab/>
      </w:r>
      <w:r w:rsidR="00B22EA6" w:rsidRPr="002C50A0">
        <w:rPr>
          <w:color w:val="000000" w:themeColor="text1"/>
        </w:rPr>
        <w:tab/>
      </w:r>
      <w:r w:rsidR="00B22EA6" w:rsidRPr="002C50A0">
        <w:rPr>
          <w:color w:val="000000" w:themeColor="text1"/>
        </w:rPr>
        <w:tab/>
      </w:r>
      <w:r w:rsidR="00B22EA6" w:rsidRPr="002C50A0">
        <w:rPr>
          <w:color w:val="000000" w:themeColor="text1"/>
        </w:rPr>
        <w:tab/>
      </w:r>
    </w:p>
    <w:p w14:paraId="0B3F9A3D" w14:textId="4F0772E0" w:rsidR="00731380" w:rsidRPr="002C50A0" w:rsidRDefault="00B22EA6" w:rsidP="008274F2">
      <w:pPr>
        <w:jc w:val="left"/>
        <w:rPr>
          <w:color w:val="000000" w:themeColor="text1"/>
        </w:rPr>
      </w:pPr>
      <w:r w:rsidRPr="002C50A0">
        <w:rPr>
          <w:color w:val="000000" w:themeColor="text1"/>
        </w:rPr>
        <w:t>Mestnemu svetu Mestne občine Nova Gorica predlagamo, da predlog sklepa obravnava in sprejme.</w:t>
      </w:r>
    </w:p>
    <w:p w14:paraId="054AB4AC" w14:textId="77777777" w:rsidR="006E0251" w:rsidRPr="002C50A0" w:rsidRDefault="006E0251" w:rsidP="00B22EA6"/>
    <w:p w14:paraId="17465817" w14:textId="78B67B1C" w:rsidR="00A03315" w:rsidRPr="002C50A0" w:rsidRDefault="00A03315" w:rsidP="00A03315">
      <w:pPr>
        <w:pStyle w:val="Podpisoseba"/>
        <w:spacing w:before="0" w:after="0"/>
        <w:ind w:left="709"/>
        <w:rPr>
          <w:bCs w:val="0"/>
        </w:rPr>
      </w:pPr>
      <w:r w:rsidRPr="002C50A0">
        <w:rPr>
          <w:bCs w:val="0"/>
        </w:rPr>
        <w:t>Pripravil</w:t>
      </w:r>
      <w:r w:rsidR="00A233B3">
        <w:rPr>
          <w:bCs w:val="0"/>
        </w:rPr>
        <w:t>i</w:t>
      </w:r>
      <w:r w:rsidR="00283A27" w:rsidRPr="002C50A0">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gridCol w:w="1407"/>
        <w:gridCol w:w="2142"/>
        <w:gridCol w:w="1407"/>
      </w:tblGrid>
      <w:tr w:rsidR="00A03315" w:rsidRPr="002C50A0" w14:paraId="5EDE9153" w14:textId="77777777" w:rsidTr="00C818D4">
        <w:tc>
          <w:tcPr>
            <w:tcW w:w="4956" w:type="dxa"/>
            <w:gridSpan w:val="2"/>
          </w:tcPr>
          <w:p w14:paraId="00AE3031" w14:textId="77777777" w:rsidR="00A03315" w:rsidRPr="002C50A0" w:rsidRDefault="00A03315" w:rsidP="00C818D4">
            <w:pPr>
              <w:pStyle w:val="Podpisoseba"/>
              <w:spacing w:before="0" w:after="0"/>
              <w:rPr>
                <w:b/>
                <w:color w:val="FFFFFF" w:themeColor="background1"/>
              </w:rPr>
            </w:pPr>
            <w:r w:rsidRPr="002C50A0">
              <w:rPr>
                <w:b/>
                <w:color w:val="FFFFFF" w:themeColor="background1"/>
              </w:rPr>
              <w:t>Levi podpisnik</w:t>
            </w:r>
          </w:p>
        </w:tc>
        <w:tc>
          <w:tcPr>
            <w:tcW w:w="3549" w:type="dxa"/>
            <w:gridSpan w:val="2"/>
          </w:tcPr>
          <w:p w14:paraId="357B865E" w14:textId="77777777" w:rsidR="00A03315" w:rsidRPr="002C50A0" w:rsidRDefault="00A03315" w:rsidP="00C818D4">
            <w:pPr>
              <w:pStyle w:val="Podpisoseba"/>
              <w:spacing w:before="0" w:after="0"/>
              <w:rPr>
                <w:b/>
                <w:color w:val="FFFFFF" w:themeColor="background1"/>
              </w:rPr>
            </w:pPr>
            <w:r w:rsidRPr="002C50A0">
              <w:rPr>
                <w:b/>
                <w:color w:val="FFFFFF" w:themeColor="background1"/>
              </w:rPr>
              <w:t>Desnik podpisnik</w:t>
            </w:r>
          </w:p>
        </w:tc>
      </w:tr>
      <w:tr w:rsidR="00A03315" w:rsidRPr="002C50A0" w14:paraId="6A2F508B" w14:textId="77777777" w:rsidTr="00C818D4">
        <w:tc>
          <w:tcPr>
            <w:tcW w:w="4956" w:type="dxa"/>
            <w:gridSpan w:val="2"/>
          </w:tcPr>
          <w:p w14:paraId="1B7A05E8" w14:textId="789C7DDC" w:rsidR="00A03315" w:rsidRPr="002C50A0" w:rsidRDefault="00A03315" w:rsidP="00C818D4">
            <w:pPr>
              <w:pStyle w:val="Podpisoseba"/>
              <w:spacing w:before="0" w:after="0"/>
              <w:rPr>
                <w:b/>
                <w:bCs w:val="0"/>
              </w:rPr>
            </w:pPr>
          </w:p>
        </w:tc>
        <w:tc>
          <w:tcPr>
            <w:tcW w:w="3549" w:type="dxa"/>
            <w:gridSpan w:val="2"/>
          </w:tcPr>
          <w:p w14:paraId="33414636" w14:textId="14069A75" w:rsidR="00A03315" w:rsidRPr="002C50A0" w:rsidRDefault="00A03315" w:rsidP="00C818D4">
            <w:pPr>
              <w:pStyle w:val="Podpisoseba"/>
              <w:spacing w:before="0" w:after="0"/>
              <w:rPr>
                <w:b/>
                <w:bCs w:val="0"/>
              </w:rPr>
            </w:pPr>
          </w:p>
        </w:tc>
      </w:tr>
      <w:tr w:rsidR="00024F37" w:rsidRPr="002C50A0" w14:paraId="04CA288A" w14:textId="77777777" w:rsidTr="00C818D4">
        <w:tc>
          <w:tcPr>
            <w:tcW w:w="4956" w:type="dxa"/>
            <w:gridSpan w:val="2"/>
          </w:tcPr>
          <w:p w14:paraId="3F3224E8" w14:textId="77777777" w:rsidR="00024F37" w:rsidRPr="00A233B3" w:rsidRDefault="00024F37" w:rsidP="00A233B3">
            <w:pPr>
              <w:pStyle w:val="Podpisoseba"/>
              <w:spacing w:before="0" w:after="0"/>
              <w:rPr>
                <w:b/>
              </w:rPr>
            </w:pPr>
            <w:r w:rsidRPr="00A233B3">
              <w:rPr>
                <w:b/>
              </w:rPr>
              <w:t>Majda Petejan</w:t>
            </w:r>
          </w:p>
          <w:p w14:paraId="3431D6EA" w14:textId="4522F4B9" w:rsidR="00024F37" w:rsidRPr="002C50A0" w:rsidRDefault="00024F37" w:rsidP="00024F37">
            <w:pPr>
              <w:pStyle w:val="Podpisoseba"/>
              <w:spacing w:before="0" w:after="0"/>
              <w:ind w:right="459"/>
              <w:rPr>
                <w:bCs w:val="0"/>
              </w:rPr>
            </w:pPr>
            <w:r w:rsidRPr="002C50A0">
              <w:t xml:space="preserve">Višja svetovalka za družbene dejavnosti                </w:t>
            </w:r>
          </w:p>
        </w:tc>
        <w:tc>
          <w:tcPr>
            <w:tcW w:w="3549" w:type="dxa"/>
            <w:gridSpan w:val="2"/>
          </w:tcPr>
          <w:p w14:paraId="224C12B6" w14:textId="77777777" w:rsidR="00024F37" w:rsidRDefault="00024F37" w:rsidP="00024F37">
            <w:pPr>
              <w:pStyle w:val="Podpisoseba"/>
              <w:spacing w:before="0" w:after="0"/>
              <w:rPr>
                <w:b/>
              </w:rPr>
            </w:pPr>
            <w:r w:rsidRPr="002C50A0">
              <w:rPr>
                <w:b/>
              </w:rPr>
              <w:t>Samo Turel</w:t>
            </w:r>
          </w:p>
          <w:p w14:paraId="770E907E" w14:textId="55E2EE00" w:rsidR="00C85C54" w:rsidRPr="002C50A0" w:rsidRDefault="00C7004D" w:rsidP="00024F37">
            <w:pPr>
              <w:pStyle w:val="Podpisoseba"/>
              <w:spacing w:before="0" w:after="0"/>
              <w:rPr>
                <w:bCs w:val="0"/>
              </w:rPr>
            </w:pPr>
            <w:r>
              <w:t>Ž</w:t>
            </w:r>
            <w:r w:rsidR="00C85C54">
              <w:t>upan</w:t>
            </w:r>
          </w:p>
        </w:tc>
      </w:tr>
      <w:tr w:rsidR="00024F37" w:rsidRPr="002C50A0" w14:paraId="29F83714" w14:textId="3FBBA781" w:rsidTr="006C153E">
        <w:trPr>
          <w:gridAfter w:val="1"/>
          <w:wAfter w:w="1407" w:type="dxa"/>
        </w:trPr>
        <w:tc>
          <w:tcPr>
            <w:tcW w:w="3549" w:type="dxa"/>
          </w:tcPr>
          <w:p w14:paraId="244CDAF8" w14:textId="77777777" w:rsidR="00024F37" w:rsidRPr="002C50A0" w:rsidRDefault="00024F37" w:rsidP="00024F37">
            <w:pPr>
              <w:pStyle w:val="Podpisoseba"/>
              <w:spacing w:before="0" w:after="0"/>
              <w:rPr>
                <w:b/>
                <w:bCs w:val="0"/>
              </w:rPr>
            </w:pPr>
          </w:p>
          <w:p w14:paraId="4856CEB1" w14:textId="77777777" w:rsidR="00024F37" w:rsidRPr="002C50A0" w:rsidRDefault="00024F37" w:rsidP="00024F37">
            <w:pPr>
              <w:pStyle w:val="Podpisoseba"/>
              <w:spacing w:before="0" w:after="0"/>
              <w:rPr>
                <w:b/>
                <w:bCs w:val="0"/>
              </w:rPr>
            </w:pPr>
          </w:p>
          <w:p w14:paraId="7257B644" w14:textId="33791CE8" w:rsidR="00024F37" w:rsidRPr="003108B9" w:rsidRDefault="00024F37" w:rsidP="00024F37">
            <w:pPr>
              <w:pStyle w:val="Podpisoseba"/>
              <w:spacing w:before="0" w:after="0"/>
            </w:pPr>
            <w:r w:rsidRPr="00A233B3">
              <w:rPr>
                <w:b/>
              </w:rPr>
              <w:t>mag. Marinka Saksida</w:t>
            </w:r>
          </w:p>
        </w:tc>
        <w:tc>
          <w:tcPr>
            <w:tcW w:w="3549" w:type="dxa"/>
            <w:gridSpan w:val="2"/>
          </w:tcPr>
          <w:p w14:paraId="1D15D416" w14:textId="045B69AB" w:rsidR="00024F37" w:rsidRPr="002C50A0" w:rsidRDefault="00024F37" w:rsidP="00024F37">
            <w:pPr>
              <w:spacing w:after="160" w:line="259" w:lineRule="auto"/>
              <w:ind w:left="0" w:right="0"/>
              <w:jc w:val="left"/>
              <w:rPr>
                <w:b/>
                <w:bCs w:val="0"/>
              </w:rPr>
            </w:pPr>
          </w:p>
        </w:tc>
      </w:tr>
      <w:tr w:rsidR="00024F37" w:rsidRPr="002C50A0" w14:paraId="07AF1FAC" w14:textId="77777777" w:rsidTr="00BA2996">
        <w:trPr>
          <w:gridAfter w:val="3"/>
          <w:wAfter w:w="4956" w:type="dxa"/>
        </w:trPr>
        <w:tc>
          <w:tcPr>
            <w:tcW w:w="3549" w:type="dxa"/>
          </w:tcPr>
          <w:p w14:paraId="3265D528" w14:textId="722714DD" w:rsidR="00024F37" w:rsidRPr="002C50A0" w:rsidRDefault="003108B9" w:rsidP="00024F37">
            <w:pPr>
              <w:pStyle w:val="Podpisoseba"/>
              <w:spacing w:before="0" w:after="0"/>
              <w:rPr>
                <w:bCs w:val="0"/>
              </w:rPr>
            </w:pPr>
            <w:r>
              <w:rPr>
                <w:bCs w:val="0"/>
              </w:rPr>
              <w:t>V</w:t>
            </w:r>
            <w:r w:rsidR="00024F37" w:rsidRPr="002C50A0">
              <w:rPr>
                <w:bCs w:val="0"/>
              </w:rPr>
              <w:t>odja Oddelka za družbene dejavnosti</w:t>
            </w:r>
          </w:p>
        </w:tc>
      </w:tr>
    </w:tbl>
    <w:p w14:paraId="3383A950" w14:textId="77777777" w:rsidR="00731380" w:rsidRPr="002C50A0" w:rsidRDefault="00731380" w:rsidP="00352A82"/>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505"/>
      </w:tblGrid>
      <w:tr w:rsidR="00BC068D" w:rsidRPr="002C50A0" w14:paraId="1638B046" w14:textId="77777777" w:rsidTr="003A69B1">
        <w:tc>
          <w:tcPr>
            <w:tcW w:w="3549" w:type="dxa"/>
          </w:tcPr>
          <w:p w14:paraId="69344B46" w14:textId="0592E2A2" w:rsidR="00BC068D" w:rsidRPr="003108B9" w:rsidRDefault="00BC068D" w:rsidP="003A69B1">
            <w:pPr>
              <w:pStyle w:val="Podpisoseba"/>
              <w:spacing w:before="0" w:after="0"/>
            </w:pPr>
            <w:r w:rsidRPr="00A233B3">
              <w:rPr>
                <w:b/>
              </w:rPr>
              <w:t>Mateja Mislej</w:t>
            </w:r>
          </w:p>
        </w:tc>
      </w:tr>
      <w:tr w:rsidR="00BC068D" w:rsidRPr="002C50A0" w14:paraId="7F20021B" w14:textId="77777777" w:rsidTr="003A69B1">
        <w:tc>
          <w:tcPr>
            <w:tcW w:w="3549" w:type="dxa"/>
          </w:tcPr>
          <w:p w14:paraId="17CF19DD" w14:textId="3754835A" w:rsidR="00BC068D" w:rsidRPr="002C50A0" w:rsidRDefault="003108B9" w:rsidP="003A69B1">
            <w:pPr>
              <w:pStyle w:val="Podpisoseba"/>
              <w:spacing w:before="0" w:after="0"/>
              <w:rPr>
                <w:bCs w:val="0"/>
              </w:rPr>
            </w:pPr>
            <w:r>
              <w:rPr>
                <w:bCs w:val="0"/>
              </w:rPr>
              <w:t>V</w:t>
            </w:r>
            <w:r w:rsidR="00BC068D" w:rsidRPr="002C50A0">
              <w:rPr>
                <w:bCs w:val="0"/>
              </w:rPr>
              <w:t>odja Finančno-računovodske službe</w:t>
            </w:r>
          </w:p>
        </w:tc>
      </w:tr>
    </w:tbl>
    <w:p w14:paraId="6CBBD400" w14:textId="77777777" w:rsidR="00BC068D" w:rsidRDefault="00BC068D" w:rsidP="00352A82"/>
    <w:p w14:paraId="6D29EDBA" w14:textId="77777777" w:rsidR="003108B9" w:rsidRPr="002C50A0" w:rsidRDefault="003108B9" w:rsidP="00352A82"/>
    <w:p w14:paraId="2E05ADC0" w14:textId="24A68BA7" w:rsidR="002F0C4D" w:rsidRPr="002C50A0" w:rsidRDefault="002F0C4D" w:rsidP="007F28B2">
      <w:pPr>
        <w:spacing w:after="0" w:line="240" w:lineRule="auto"/>
      </w:pPr>
      <w:r w:rsidRPr="002C50A0">
        <w:t xml:space="preserve">Priloge: </w:t>
      </w:r>
    </w:p>
    <w:p w14:paraId="2AE75C6B" w14:textId="77777777" w:rsidR="002F0C4D" w:rsidRPr="002C50A0" w:rsidRDefault="002F0C4D" w:rsidP="007F28B2">
      <w:pPr>
        <w:spacing w:after="0" w:line="240" w:lineRule="auto"/>
      </w:pPr>
      <w:r w:rsidRPr="002C50A0">
        <w:t>-</w:t>
      </w:r>
      <w:r w:rsidRPr="002C50A0">
        <w:tab/>
        <w:t>Vloga Goriškega muzeja z obrazložitvijo</w:t>
      </w:r>
    </w:p>
    <w:p w14:paraId="25030471" w14:textId="08D13B28" w:rsidR="002F0C4D" w:rsidRPr="002C50A0" w:rsidRDefault="002F0C4D" w:rsidP="007F28B2">
      <w:pPr>
        <w:spacing w:after="0" w:line="240" w:lineRule="auto"/>
      </w:pPr>
      <w:r w:rsidRPr="002C50A0">
        <w:t>-</w:t>
      </w:r>
      <w:r w:rsidRPr="002C50A0">
        <w:tab/>
        <w:t>Finančna specifikacija za program 2026</w:t>
      </w:r>
    </w:p>
    <w:p w14:paraId="24259DF8" w14:textId="77777777" w:rsidR="002F0C4D" w:rsidRPr="002C50A0" w:rsidRDefault="002F0C4D" w:rsidP="00352A82"/>
    <w:sectPr w:rsidR="002F0C4D" w:rsidRPr="002C50A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4433" w14:textId="77777777" w:rsidR="00601052" w:rsidRDefault="00601052" w:rsidP="00352A82">
      <w:r>
        <w:separator/>
      </w:r>
    </w:p>
  </w:endnote>
  <w:endnote w:type="continuationSeparator" w:id="0">
    <w:p w14:paraId="5B60F7D7" w14:textId="77777777" w:rsidR="00601052" w:rsidRDefault="00601052"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412E" w14:textId="77777777" w:rsidR="00601052" w:rsidRDefault="00601052" w:rsidP="00352A82">
      <w:r>
        <w:separator/>
      </w:r>
    </w:p>
  </w:footnote>
  <w:footnote w:type="continuationSeparator" w:id="0">
    <w:p w14:paraId="19CE5B09" w14:textId="77777777" w:rsidR="00601052" w:rsidRDefault="00601052"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A6E2B17"/>
    <w:multiLevelType w:val="hybridMultilevel"/>
    <w:tmpl w:val="6F768B1E"/>
    <w:lvl w:ilvl="0" w:tplc="669E5A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ADD0E0E"/>
    <w:multiLevelType w:val="hybridMultilevel"/>
    <w:tmpl w:val="D6228324"/>
    <w:lvl w:ilvl="0" w:tplc="FFE810EE">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6"/>
  </w:num>
  <w:num w:numId="2" w16cid:durableId="1164929981">
    <w:abstractNumId w:val="10"/>
  </w:num>
  <w:num w:numId="3" w16cid:durableId="1314213452">
    <w:abstractNumId w:val="0"/>
  </w:num>
  <w:num w:numId="4" w16cid:durableId="629288842">
    <w:abstractNumId w:val="4"/>
  </w:num>
  <w:num w:numId="5" w16cid:durableId="738939049">
    <w:abstractNumId w:val="8"/>
  </w:num>
  <w:num w:numId="6" w16cid:durableId="1657220828">
    <w:abstractNumId w:val="11"/>
  </w:num>
  <w:num w:numId="7" w16cid:durableId="1256210005">
    <w:abstractNumId w:val="1"/>
  </w:num>
  <w:num w:numId="8" w16cid:durableId="620721476">
    <w:abstractNumId w:val="2"/>
  </w:num>
  <w:num w:numId="9" w16cid:durableId="1223718357">
    <w:abstractNumId w:val="5"/>
  </w:num>
  <w:num w:numId="10" w16cid:durableId="767116328">
    <w:abstractNumId w:val="7"/>
  </w:num>
  <w:num w:numId="11" w16cid:durableId="377556790">
    <w:abstractNumId w:val="3"/>
  </w:num>
  <w:num w:numId="12" w16cid:durableId="493885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966"/>
    <w:rsid w:val="00024F37"/>
    <w:rsid w:val="000276AB"/>
    <w:rsid w:val="00053EC3"/>
    <w:rsid w:val="00055DC3"/>
    <w:rsid w:val="0005678C"/>
    <w:rsid w:val="000634A1"/>
    <w:rsid w:val="00074F95"/>
    <w:rsid w:val="00077FEF"/>
    <w:rsid w:val="000807CE"/>
    <w:rsid w:val="00083CA2"/>
    <w:rsid w:val="00084F6E"/>
    <w:rsid w:val="00096227"/>
    <w:rsid w:val="000A1BA0"/>
    <w:rsid w:val="000A4106"/>
    <w:rsid w:val="000A4D21"/>
    <w:rsid w:val="000A74EA"/>
    <w:rsid w:val="000B3F28"/>
    <w:rsid w:val="000C30DB"/>
    <w:rsid w:val="000D2A98"/>
    <w:rsid w:val="000D6C77"/>
    <w:rsid w:val="000E423D"/>
    <w:rsid w:val="000E5815"/>
    <w:rsid w:val="000F0101"/>
    <w:rsid w:val="00101B99"/>
    <w:rsid w:val="00110838"/>
    <w:rsid w:val="001121DC"/>
    <w:rsid w:val="001137D1"/>
    <w:rsid w:val="001166E7"/>
    <w:rsid w:val="00145A3D"/>
    <w:rsid w:val="00160499"/>
    <w:rsid w:val="00167093"/>
    <w:rsid w:val="001732D3"/>
    <w:rsid w:val="00180B7C"/>
    <w:rsid w:val="00192B9A"/>
    <w:rsid w:val="001A6830"/>
    <w:rsid w:val="001B2389"/>
    <w:rsid w:val="001C22C2"/>
    <w:rsid w:val="001C491B"/>
    <w:rsid w:val="001C6438"/>
    <w:rsid w:val="001D7013"/>
    <w:rsid w:val="0022510F"/>
    <w:rsid w:val="00226E0E"/>
    <w:rsid w:val="00246668"/>
    <w:rsid w:val="00283A27"/>
    <w:rsid w:val="0028430E"/>
    <w:rsid w:val="0028622D"/>
    <w:rsid w:val="002A02B3"/>
    <w:rsid w:val="002B08B0"/>
    <w:rsid w:val="002B500B"/>
    <w:rsid w:val="002C50A0"/>
    <w:rsid w:val="002C5788"/>
    <w:rsid w:val="002E5FEC"/>
    <w:rsid w:val="002F0C4D"/>
    <w:rsid w:val="002F7D8D"/>
    <w:rsid w:val="003108B9"/>
    <w:rsid w:val="00314063"/>
    <w:rsid w:val="00327DDF"/>
    <w:rsid w:val="003436F9"/>
    <w:rsid w:val="00351A62"/>
    <w:rsid w:val="00352A82"/>
    <w:rsid w:val="00355F3A"/>
    <w:rsid w:val="00366240"/>
    <w:rsid w:val="0036678D"/>
    <w:rsid w:val="003815F8"/>
    <w:rsid w:val="00381877"/>
    <w:rsid w:val="003924F9"/>
    <w:rsid w:val="003939D8"/>
    <w:rsid w:val="0039457F"/>
    <w:rsid w:val="003A0AE4"/>
    <w:rsid w:val="003B11F7"/>
    <w:rsid w:val="003B1CE4"/>
    <w:rsid w:val="003F3284"/>
    <w:rsid w:val="004129EE"/>
    <w:rsid w:val="0041332E"/>
    <w:rsid w:val="00440526"/>
    <w:rsid w:val="004427D6"/>
    <w:rsid w:val="00445A64"/>
    <w:rsid w:val="0045587F"/>
    <w:rsid w:val="00463FA4"/>
    <w:rsid w:val="00486063"/>
    <w:rsid w:val="004953C5"/>
    <w:rsid w:val="004D1B40"/>
    <w:rsid w:val="004D3A89"/>
    <w:rsid w:val="004E242E"/>
    <w:rsid w:val="005062D8"/>
    <w:rsid w:val="00517B03"/>
    <w:rsid w:val="005210F0"/>
    <w:rsid w:val="00521E9E"/>
    <w:rsid w:val="00536FC9"/>
    <w:rsid w:val="005447C4"/>
    <w:rsid w:val="0055743D"/>
    <w:rsid w:val="00581BE7"/>
    <w:rsid w:val="005B0914"/>
    <w:rsid w:val="005C21D3"/>
    <w:rsid w:val="005C6EAA"/>
    <w:rsid w:val="005D075A"/>
    <w:rsid w:val="005F39D5"/>
    <w:rsid w:val="00601052"/>
    <w:rsid w:val="00611051"/>
    <w:rsid w:val="00616351"/>
    <w:rsid w:val="0062687F"/>
    <w:rsid w:val="00631FC9"/>
    <w:rsid w:val="0064644F"/>
    <w:rsid w:val="00654E99"/>
    <w:rsid w:val="0066085E"/>
    <w:rsid w:val="006617AB"/>
    <w:rsid w:val="006620F0"/>
    <w:rsid w:val="00682269"/>
    <w:rsid w:val="006949F8"/>
    <w:rsid w:val="00696582"/>
    <w:rsid w:val="006B03B8"/>
    <w:rsid w:val="006B324E"/>
    <w:rsid w:val="006C2ACD"/>
    <w:rsid w:val="006C55AD"/>
    <w:rsid w:val="006E0251"/>
    <w:rsid w:val="006F1D44"/>
    <w:rsid w:val="007043F1"/>
    <w:rsid w:val="00714788"/>
    <w:rsid w:val="00722BD8"/>
    <w:rsid w:val="00722FAC"/>
    <w:rsid w:val="00731380"/>
    <w:rsid w:val="00734A18"/>
    <w:rsid w:val="00774DD1"/>
    <w:rsid w:val="00777731"/>
    <w:rsid w:val="00785D01"/>
    <w:rsid w:val="007905AE"/>
    <w:rsid w:val="0079172C"/>
    <w:rsid w:val="00791DB2"/>
    <w:rsid w:val="00793022"/>
    <w:rsid w:val="00796028"/>
    <w:rsid w:val="007971B6"/>
    <w:rsid w:val="007C13FC"/>
    <w:rsid w:val="007F28B2"/>
    <w:rsid w:val="007F6736"/>
    <w:rsid w:val="00810854"/>
    <w:rsid w:val="00811B8D"/>
    <w:rsid w:val="00811DBF"/>
    <w:rsid w:val="008121A7"/>
    <w:rsid w:val="0081298C"/>
    <w:rsid w:val="008274F2"/>
    <w:rsid w:val="00846D7A"/>
    <w:rsid w:val="008523A6"/>
    <w:rsid w:val="00873CAB"/>
    <w:rsid w:val="008749AC"/>
    <w:rsid w:val="008759F5"/>
    <w:rsid w:val="008802E3"/>
    <w:rsid w:val="008821D4"/>
    <w:rsid w:val="00894162"/>
    <w:rsid w:val="00896EAD"/>
    <w:rsid w:val="008B60DC"/>
    <w:rsid w:val="008C6575"/>
    <w:rsid w:val="008D4544"/>
    <w:rsid w:val="008F21D2"/>
    <w:rsid w:val="008F55B6"/>
    <w:rsid w:val="008F5DCA"/>
    <w:rsid w:val="009060A3"/>
    <w:rsid w:val="00914957"/>
    <w:rsid w:val="00922BEF"/>
    <w:rsid w:val="00923A6E"/>
    <w:rsid w:val="0093225B"/>
    <w:rsid w:val="009331C6"/>
    <w:rsid w:val="00952E39"/>
    <w:rsid w:val="0099692F"/>
    <w:rsid w:val="009A33C9"/>
    <w:rsid w:val="009B227A"/>
    <w:rsid w:val="009B461F"/>
    <w:rsid w:val="009C4BA8"/>
    <w:rsid w:val="009D3F77"/>
    <w:rsid w:val="009F260B"/>
    <w:rsid w:val="00A03315"/>
    <w:rsid w:val="00A233B3"/>
    <w:rsid w:val="00A424B9"/>
    <w:rsid w:val="00A545E0"/>
    <w:rsid w:val="00A55AB4"/>
    <w:rsid w:val="00A7398A"/>
    <w:rsid w:val="00A87CA7"/>
    <w:rsid w:val="00A9127C"/>
    <w:rsid w:val="00A9136F"/>
    <w:rsid w:val="00A95A58"/>
    <w:rsid w:val="00AA0E65"/>
    <w:rsid w:val="00AA4BFD"/>
    <w:rsid w:val="00AC2AC6"/>
    <w:rsid w:val="00AF675B"/>
    <w:rsid w:val="00B22EA6"/>
    <w:rsid w:val="00B23C7F"/>
    <w:rsid w:val="00B37641"/>
    <w:rsid w:val="00B53C94"/>
    <w:rsid w:val="00B65909"/>
    <w:rsid w:val="00B71AF7"/>
    <w:rsid w:val="00BA118E"/>
    <w:rsid w:val="00BA1858"/>
    <w:rsid w:val="00BB17F4"/>
    <w:rsid w:val="00BC00DF"/>
    <w:rsid w:val="00BC068D"/>
    <w:rsid w:val="00BC3A3D"/>
    <w:rsid w:val="00BC7966"/>
    <w:rsid w:val="00BD689A"/>
    <w:rsid w:val="00BE5B70"/>
    <w:rsid w:val="00C05F81"/>
    <w:rsid w:val="00C10614"/>
    <w:rsid w:val="00C50EB4"/>
    <w:rsid w:val="00C56046"/>
    <w:rsid w:val="00C60D3A"/>
    <w:rsid w:val="00C67D5C"/>
    <w:rsid w:val="00C7004D"/>
    <w:rsid w:val="00C7627D"/>
    <w:rsid w:val="00C85C54"/>
    <w:rsid w:val="00C973E8"/>
    <w:rsid w:val="00CA2FFD"/>
    <w:rsid w:val="00CB20E3"/>
    <w:rsid w:val="00CC3F17"/>
    <w:rsid w:val="00CC536B"/>
    <w:rsid w:val="00CC6A20"/>
    <w:rsid w:val="00CD0869"/>
    <w:rsid w:val="00CD37C5"/>
    <w:rsid w:val="00CF0B4F"/>
    <w:rsid w:val="00D078ED"/>
    <w:rsid w:val="00D42C66"/>
    <w:rsid w:val="00D51EE1"/>
    <w:rsid w:val="00D75C31"/>
    <w:rsid w:val="00D81991"/>
    <w:rsid w:val="00DA69BC"/>
    <w:rsid w:val="00DE2A35"/>
    <w:rsid w:val="00DE7B81"/>
    <w:rsid w:val="00DF779D"/>
    <w:rsid w:val="00E11C67"/>
    <w:rsid w:val="00E217AD"/>
    <w:rsid w:val="00E33D8E"/>
    <w:rsid w:val="00E411C6"/>
    <w:rsid w:val="00E43C78"/>
    <w:rsid w:val="00E57102"/>
    <w:rsid w:val="00E634DD"/>
    <w:rsid w:val="00E639CC"/>
    <w:rsid w:val="00E86A01"/>
    <w:rsid w:val="00E876FD"/>
    <w:rsid w:val="00E910CA"/>
    <w:rsid w:val="00EB38FC"/>
    <w:rsid w:val="00EC49DA"/>
    <w:rsid w:val="00ED7977"/>
    <w:rsid w:val="00EE5DDF"/>
    <w:rsid w:val="00EF04FA"/>
    <w:rsid w:val="00F12361"/>
    <w:rsid w:val="00F1637F"/>
    <w:rsid w:val="00F24C66"/>
    <w:rsid w:val="00F27B9D"/>
    <w:rsid w:val="00F27F42"/>
    <w:rsid w:val="00F34CC3"/>
    <w:rsid w:val="00F40810"/>
    <w:rsid w:val="00F4231E"/>
    <w:rsid w:val="00F5055D"/>
    <w:rsid w:val="00F5540D"/>
    <w:rsid w:val="00F67284"/>
    <w:rsid w:val="00F770B1"/>
    <w:rsid w:val="00F77F2C"/>
    <w:rsid w:val="00F811AF"/>
    <w:rsid w:val="00F93B2E"/>
    <w:rsid w:val="00FB7287"/>
    <w:rsid w:val="00FE5B48"/>
    <w:rsid w:val="00FF6DBC"/>
    <w:rsid w:val="00FF7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068D"/>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EB38FC"/>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EB38FC"/>
    <w:rPr>
      <w:sz w:val="16"/>
      <w:szCs w:val="16"/>
    </w:rPr>
  </w:style>
  <w:style w:type="paragraph" w:styleId="Pripombabesedilo">
    <w:name w:val="annotation text"/>
    <w:basedOn w:val="Navaden"/>
    <w:link w:val="PripombabesediloZnak"/>
    <w:uiPriority w:val="99"/>
    <w:semiHidden/>
    <w:unhideWhenUsed/>
    <w:rsid w:val="00EB38FC"/>
    <w:pPr>
      <w:spacing w:line="240" w:lineRule="auto"/>
    </w:pPr>
  </w:style>
  <w:style w:type="character" w:customStyle="1" w:styleId="PripombabesediloZnak">
    <w:name w:val="Pripomba – besedilo Znak"/>
    <w:basedOn w:val="Privzetapisavaodstavka"/>
    <w:link w:val="Pripombabesedilo"/>
    <w:uiPriority w:val="99"/>
    <w:semiHidden/>
    <w:rsid w:val="00EB38FC"/>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EB38FC"/>
    <w:rPr>
      <w:b/>
    </w:rPr>
  </w:style>
  <w:style w:type="character" w:customStyle="1" w:styleId="ZadevapripombeZnak">
    <w:name w:val="Zadeva pripombe Znak"/>
    <w:basedOn w:val="PripombabesediloZnak"/>
    <w:link w:val="Zadevapripombe"/>
    <w:uiPriority w:val="99"/>
    <w:semiHidden/>
    <w:rsid w:val="00EB38FC"/>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96C58821-E707-48B9-A023-B40D79E99D37}">
  <ds:schemaRefs>
    <ds:schemaRef ds:uri="http://schemas.openxmlformats.org/officeDocument/2006/bibliography"/>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4.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890</Words>
  <Characters>5076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31</cp:revision>
  <cp:lastPrinted>2025-02-19T07:16:00Z</cp:lastPrinted>
  <dcterms:created xsi:type="dcterms:W3CDTF">2026-01-07T11:26:00Z</dcterms:created>
  <dcterms:modified xsi:type="dcterms:W3CDTF">2026-01-15T12:31:00Z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