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CABD" w14:textId="798400AA" w:rsidR="0066085E" w:rsidRPr="00AE5377" w:rsidRDefault="003311D3" w:rsidP="00AE5377">
      <w:pPr>
        <w:pStyle w:val="Nazivenote"/>
        <w:rPr>
          <w:b w:val="0"/>
          <w:bCs/>
        </w:rPr>
      </w:pPr>
      <w:r>
        <mc:AlternateContent>
          <mc:Choice Requires="wps">
            <w:drawing>
              <wp:anchor distT="45720" distB="45720" distL="114300" distR="114300" simplePos="0" relativeHeight="251658241" behindDoc="1" locked="0" layoutInCell="1" allowOverlap="1" wp14:anchorId="18D38E96" wp14:editId="24351F5C">
                <wp:simplePos x="0" y="0"/>
                <wp:positionH relativeFrom="column">
                  <wp:posOffset>4738370</wp:posOffset>
                </wp:positionH>
                <wp:positionV relativeFrom="paragraph">
                  <wp:posOffset>15240</wp:posOffset>
                </wp:positionV>
                <wp:extent cx="853440" cy="622300"/>
                <wp:effectExtent l="0" t="0" r="3810" b="6350"/>
                <wp:wrapTight wrapText="bothSides">
                  <wp:wrapPolygon edited="0">
                    <wp:start x="0" y="0"/>
                    <wp:lineTo x="0" y="21159"/>
                    <wp:lineTo x="21214" y="21159"/>
                    <wp:lineTo x="21214"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622300"/>
                        </a:xfrm>
                        <a:prstGeom prst="rect">
                          <a:avLst/>
                        </a:prstGeom>
                        <a:solidFill>
                          <a:srgbClr val="FFFFFF"/>
                        </a:solidFill>
                        <a:ln w="9525">
                          <a:noFill/>
                          <a:miter lim="800000"/>
                          <a:headEnd/>
                          <a:tailEnd/>
                        </a:ln>
                      </wps:spPr>
                      <wps:txbx>
                        <w:txbxContent>
                          <w:p w14:paraId="79C32D9A" w14:textId="7AB0C5DE" w:rsidR="00445A64" w:rsidRPr="000E5815" w:rsidRDefault="003311D3" w:rsidP="00445A64">
                            <w:pPr>
                              <w:pStyle w:val="tevilka"/>
                              <w:rPr>
                                <w:sz w:val="80"/>
                                <w:szCs w:val="80"/>
                              </w:rPr>
                            </w:pPr>
                            <w:r>
                              <w:rPr>
                                <w:sz w:val="80"/>
                                <w:szCs w:val="80"/>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3.1pt;margin-top:1.2pt;width:67.2pt;height:49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" stroked="f">
                <v:textbox>
                  <w:txbxContent>
                    <w:p w14:paraId="79C32D9A" w14:textId="7AB0C5DE" w:rsidR="00445A64" w:rsidRPr="000E5815" w:rsidRDefault="003311D3" w:rsidP="00445A64">
                      <w:pPr>
                        <w:pStyle w:val="tevilka"/>
                        <w:rPr>
                          <w:sz w:val="80"/>
                          <w:szCs w:val="80"/>
                        </w:rPr>
                      </w:pPr>
                      <w:r>
                        <w:rPr>
                          <w:sz w:val="80"/>
                          <w:szCs w:val="80"/>
                        </w:rPr>
                        <w:t>13</w:t>
                      </w:r>
                    </w:p>
                  </w:txbxContent>
                </v:textbox>
                <w10:wrap type="tight"/>
              </v:shape>
            </w:pict>
          </mc:Fallback>
        </mc:AlternateContent>
      </w:r>
      <w:r w:rsidR="009060A3">
        <mc:AlternateContent>
          <mc:Choice Requires="wps">
            <w:drawing>
              <wp:anchor distT="0" distB="0" distL="114300" distR="114300" simplePos="0" relativeHeight="251658240" behindDoc="0" locked="0" layoutInCell="1" allowOverlap="1" wp14:anchorId="4A5FC2D6" wp14:editId="14784B91">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8B05D" id="Pravokotnik 18" o:spid="_x0000_s1026" alt="&quot;&quot;" style="position:absolute;margin-left:442pt;margin-top:85pt;width:1in;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8F5DCA">
        <w:t>Župan</w:t>
      </w:r>
      <w:r w:rsidR="00A7398A">
        <w:t xml:space="preserve"> </w:t>
      </w:r>
      <w:r w:rsidR="00722FAC">
        <w:br/>
      </w:r>
      <w:r w:rsidR="002B08B0" w:rsidRPr="008802E3">
        <w:rPr>
          <w:b w:val="0"/>
          <w:bCs/>
        </w:rPr>
        <w:t>Trg Edvarda Kardelja 1, 5000 Nova Gorica</w:t>
      </w:r>
    </w:p>
    <w:p w14:paraId="7731015D" w14:textId="2E06D0A2" w:rsidR="000807CE" w:rsidRPr="00BE5B70" w:rsidRDefault="0066085E" w:rsidP="00D977DC">
      <w:pPr>
        <w:pStyle w:val="stevilkadokumenta"/>
        <w:rPr>
          <w:rStyle w:val="ZvezaZnak"/>
          <w:bCs/>
          <w:sz w:val="20"/>
          <w:u w:val="none"/>
        </w:rPr>
      </w:pPr>
      <w:r w:rsidRPr="00BE5B70">
        <w:rPr>
          <w:rStyle w:val="ZvezaZnak"/>
          <w:bCs/>
          <w:sz w:val="20"/>
          <w:u w:val="none"/>
        </w:rPr>
        <w:t xml:space="preserve">Številka: </w:t>
      </w:r>
      <w:r w:rsidR="00E33D8E">
        <w:rPr>
          <w:rStyle w:val="ZvezaZnak"/>
          <w:bCs/>
          <w:sz w:val="20"/>
          <w:u w:val="none"/>
        </w:rPr>
        <w:t>014-23/2021</w:t>
      </w:r>
      <w:r w:rsidR="0061640A">
        <w:rPr>
          <w:rStyle w:val="ZvezaZnak"/>
          <w:bCs/>
          <w:sz w:val="20"/>
          <w:u w:val="none"/>
        </w:rPr>
        <w:t xml:space="preserve"> - </w:t>
      </w:r>
      <w:r w:rsidR="001921B6">
        <w:rPr>
          <w:rStyle w:val="ZvezaZnak"/>
          <w:bCs/>
          <w:sz w:val="20"/>
          <w:u w:val="none"/>
        </w:rPr>
        <w:t>660</w:t>
      </w:r>
      <w:r w:rsidR="00352A82" w:rsidRPr="00BE5B70">
        <w:rPr>
          <w:rStyle w:val="ZvezaZnak"/>
          <w:bCs/>
          <w:sz w:val="20"/>
          <w:u w:val="none"/>
        </w:rPr>
        <w:br/>
      </w:r>
      <w:r w:rsidRPr="00BE5B70">
        <w:t xml:space="preserve">Nova Gorica, dne </w:t>
      </w:r>
      <w:r w:rsidR="00B00D22">
        <w:t>1</w:t>
      </w:r>
      <w:r w:rsidR="000A2B20">
        <w:t>5</w:t>
      </w:r>
      <w:r w:rsidR="00B00D22">
        <w:t>. januarja 2026</w:t>
      </w: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2B28EF60" w:rsidR="0066085E" w:rsidRPr="00F5540D" w:rsidRDefault="0066085E" w:rsidP="009B227A">
      <w:pPr>
        <w:pStyle w:val="Naslov1"/>
        <w:spacing w:before="240" w:after="240"/>
        <w:ind w:left="4395" w:hanging="3686"/>
        <w:rPr>
          <w:sz w:val="20"/>
          <w:szCs w:val="20"/>
        </w:rPr>
      </w:pPr>
      <w:r w:rsidRPr="00A9136F">
        <w:rPr>
          <w:sz w:val="20"/>
          <w:szCs w:val="20"/>
        </w:rPr>
        <w:t>NASLOV:</w:t>
      </w:r>
      <w:r>
        <w:tab/>
      </w:r>
      <w:r w:rsidR="008C73BF" w:rsidRPr="005A4645">
        <w:rPr>
          <w:sz w:val="20"/>
          <w:szCs w:val="20"/>
        </w:rPr>
        <w:t xml:space="preserve">Predlog </w:t>
      </w:r>
      <w:r w:rsidR="00EE7C24">
        <w:rPr>
          <w:sz w:val="20"/>
          <w:szCs w:val="20"/>
        </w:rPr>
        <w:t>S</w:t>
      </w:r>
      <w:r w:rsidR="008C73BF" w:rsidRPr="005A4645">
        <w:rPr>
          <w:sz w:val="20"/>
          <w:szCs w:val="20"/>
        </w:rPr>
        <w:t xml:space="preserve">klepa o podaji </w:t>
      </w:r>
      <w:r w:rsidR="00E1207F">
        <w:rPr>
          <w:sz w:val="20"/>
          <w:szCs w:val="20"/>
        </w:rPr>
        <w:t xml:space="preserve">pozitivnega </w:t>
      </w:r>
      <w:r w:rsidR="005A4645" w:rsidRPr="005A4645">
        <w:rPr>
          <w:sz w:val="20"/>
          <w:szCs w:val="20"/>
        </w:rPr>
        <w:t>p</w:t>
      </w:r>
      <w:r w:rsidR="00F5540D" w:rsidRPr="005A4645">
        <w:rPr>
          <w:sz w:val="20"/>
          <w:szCs w:val="20"/>
        </w:rPr>
        <w:t>redhodn</w:t>
      </w:r>
      <w:r w:rsidR="005A4645" w:rsidRPr="005A4645">
        <w:rPr>
          <w:sz w:val="20"/>
          <w:szCs w:val="20"/>
        </w:rPr>
        <w:t>ega</w:t>
      </w:r>
      <w:r w:rsidR="00F5540D" w:rsidRPr="005A4645">
        <w:rPr>
          <w:sz w:val="20"/>
          <w:szCs w:val="20"/>
        </w:rPr>
        <w:t xml:space="preserve"> mnenj</w:t>
      </w:r>
      <w:r w:rsidR="005A4645" w:rsidRPr="005A4645">
        <w:rPr>
          <w:sz w:val="20"/>
          <w:szCs w:val="20"/>
        </w:rPr>
        <w:t>a</w:t>
      </w:r>
      <w:r w:rsidR="00F5540D" w:rsidRPr="005A4645">
        <w:rPr>
          <w:sz w:val="20"/>
          <w:szCs w:val="20"/>
        </w:rPr>
        <w:t xml:space="preserve"> k Strateškemu načrtu javnega zavoda GO!2025 - Evropska prestolnice kulture GO!2025, Nova Gorica, za obdobje 2027-2031</w:t>
      </w:r>
    </w:p>
    <w:p w14:paraId="4EB48263" w14:textId="6DBBE526"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45587F">
        <w:rPr>
          <w:rStyle w:val="gradivoZnak"/>
        </w:rPr>
        <w:t>Oddelek za družbene dejavnosti</w:t>
      </w:r>
    </w:p>
    <w:p w14:paraId="2589E91B" w14:textId="58719F5B" w:rsidR="0066085E" w:rsidRDefault="0066085E" w:rsidP="00FB7287">
      <w:pPr>
        <w:ind w:left="4395" w:hanging="3686"/>
      </w:pPr>
      <w:r w:rsidRPr="00FB7287">
        <w:rPr>
          <w:b/>
          <w:bCs w:val="0"/>
        </w:rPr>
        <w:t>IZDELOVALEC GRADIVA:</w:t>
      </w:r>
      <w:r w:rsidR="00FB7287">
        <w:tab/>
      </w:r>
      <w:r w:rsidR="00180A4B">
        <w:t>mag. Mija Lorbek</w:t>
      </w:r>
      <w:r w:rsidR="00AE5377">
        <w:t>, direktorica javnega zavoda GO! 2025</w:t>
      </w:r>
    </w:p>
    <w:p w14:paraId="788582FE" w14:textId="03BFCB54" w:rsidR="00180A4B" w:rsidRDefault="0066085E" w:rsidP="003F4D57">
      <w:pPr>
        <w:spacing w:after="0" w:line="240" w:lineRule="auto"/>
        <w:ind w:left="4395" w:hanging="3686"/>
      </w:pPr>
      <w:r w:rsidRPr="00FB7287">
        <w:rPr>
          <w:b/>
          <w:bCs w:val="0"/>
        </w:rPr>
        <w:t>POROČEVAL</w:t>
      </w:r>
      <w:r w:rsidR="003F4D57">
        <w:rPr>
          <w:b/>
          <w:bCs w:val="0"/>
        </w:rPr>
        <w:t>KI</w:t>
      </w:r>
      <w:r w:rsidRPr="00FB7287">
        <w:rPr>
          <w:b/>
          <w:bCs w:val="0"/>
        </w:rPr>
        <w:t>:</w:t>
      </w:r>
      <w:r w:rsidR="00FB7287" w:rsidRPr="00FB7287">
        <w:t xml:space="preserve"> </w:t>
      </w:r>
      <w:r w:rsidR="00FB7287">
        <w:tab/>
      </w:r>
      <w:r w:rsidR="007F6736">
        <w:t>mag. Marinka Saksida</w:t>
      </w:r>
      <w:r w:rsidR="005B0914">
        <w:t>, vodja Oddelka za družbene dejavnosti</w:t>
      </w:r>
    </w:p>
    <w:p w14:paraId="3B66EBE7" w14:textId="11E1D9DD" w:rsidR="00180A4B" w:rsidRDefault="00D977DC" w:rsidP="003F4D57">
      <w:pPr>
        <w:spacing w:after="0" w:line="240" w:lineRule="auto"/>
        <w:ind w:left="4395" w:hanging="3686"/>
      </w:pPr>
      <w:r>
        <w:rPr>
          <w:b/>
          <w:bCs w:val="0"/>
        </w:rPr>
        <w:t xml:space="preserve">                                                      </w:t>
      </w:r>
      <w:r>
        <w:t>m</w:t>
      </w:r>
      <w:r w:rsidRPr="00D977DC">
        <w:t>ag.</w:t>
      </w:r>
      <w:r>
        <w:t xml:space="preserve"> Mija Lorbek, direktorica javnega zavoda GO! 2025</w:t>
      </w:r>
    </w:p>
    <w:p w14:paraId="537DEF52" w14:textId="77777777" w:rsidR="003F4D57" w:rsidRPr="00D977DC" w:rsidRDefault="003F4D57" w:rsidP="003F4D57">
      <w:pPr>
        <w:spacing w:after="0" w:line="240" w:lineRule="auto"/>
        <w:ind w:left="4395" w:hanging="3686"/>
      </w:pPr>
    </w:p>
    <w:p w14:paraId="75A8D632" w14:textId="405E9A14" w:rsidR="0066085E" w:rsidRDefault="0066085E" w:rsidP="00FB7287">
      <w:pPr>
        <w:ind w:left="4395" w:hanging="3686"/>
      </w:pPr>
      <w:r w:rsidRPr="00FB7287">
        <w:rPr>
          <w:b/>
          <w:bCs w:val="0"/>
        </w:rPr>
        <w:t xml:space="preserve">PRISTOJNO DELOVNO </w:t>
      </w:r>
      <w:r w:rsidR="003924F9" w:rsidRPr="003924F9">
        <w:rPr>
          <w:b/>
          <w:bCs w:val="0"/>
        </w:rPr>
        <w:t>TELO</w:t>
      </w:r>
      <w:r>
        <w:t xml:space="preserve">: </w:t>
      </w:r>
      <w:r>
        <w:tab/>
      </w:r>
      <w:r w:rsidR="005B0914">
        <w:t xml:space="preserve">Odbor za kulturo, </w:t>
      </w:r>
      <w:r w:rsidR="00B71AF7">
        <w:t>šolstvo in šport</w:t>
      </w:r>
    </w:p>
    <w:p w14:paraId="4C9319DA" w14:textId="7B5A35DC" w:rsidR="0066085E" w:rsidRPr="00FB7287" w:rsidRDefault="0066085E" w:rsidP="00352A82">
      <w:pPr>
        <w:rPr>
          <w:b/>
          <w:bCs w:val="0"/>
        </w:rPr>
      </w:pPr>
      <w:r w:rsidRPr="00FB7287">
        <w:rPr>
          <w:b/>
          <w:bCs w:val="0"/>
        </w:rPr>
        <w:t xml:space="preserve">PREDLOG SKLEPA: </w:t>
      </w:r>
    </w:p>
    <w:p w14:paraId="7AA05322" w14:textId="38EC68B6" w:rsidR="000E5815" w:rsidRPr="00FB7287" w:rsidRDefault="005D075A" w:rsidP="00D977DC">
      <w:pPr>
        <w:jc w:val="left"/>
      </w:pPr>
      <w:bookmarkStart w:id="0" w:name="_Hlk195615944"/>
      <w:r w:rsidRPr="005D075A">
        <w:t xml:space="preserve">Mestni svet Mestne občine Nova Gorica </w:t>
      </w:r>
      <w:r w:rsidR="00B65909">
        <w:t>sprejme</w:t>
      </w:r>
      <w:r w:rsidRPr="005D075A">
        <w:t xml:space="preserve"> </w:t>
      </w:r>
      <w:r w:rsidR="005A4645">
        <w:t xml:space="preserve">sklep o </w:t>
      </w:r>
      <w:r w:rsidR="00E1207F">
        <w:t xml:space="preserve">podaji </w:t>
      </w:r>
      <w:r w:rsidRPr="005D075A">
        <w:t>pozitivn</w:t>
      </w:r>
      <w:r w:rsidR="00AB1AA0">
        <w:t>e</w:t>
      </w:r>
      <w:r w:rsidR="00E1207F">
        <w:t>ga</w:t>
      </w:r>
      <w:r w:rsidRPr="005D075A">
        <w:t xml:space="preserve"> predhodn</w:t>
      </w:r>
      <w:r w:rsidR="00AB1AA0">
        <w:t>e</w:t>
      </w:r>
      <w:r w:rsidR="00E1207F">
        <w:t>ga</w:t>
      </w:r>
      <w:r w:rsidRPr="005D075A">
        <w:t xml:space="preserve"> mnenj</w:t>
      </w:r>
      <w:r w:rsidR="00E1207F">
        <w:t>a</w:t>
      </w:r>
      <w:r w:rsidRPr="005D075A">
        <w:t xml:space="preserve"> k Strateškemu načrtu javnega zavoda GO!2025 - Evropska prestolnice kulture GO!2025, Nova Gorica, za obdobje 202</w:t>
      </w:r>
      <w:r>
        <w:t>7</w:t>
      </w:r>
      <w:r w:rsidRPr="005D075A">
        <w:t>-20</w:t>
      </w:r>
      <w:r>
        <w:t>31</w:t>
      </w:r>
      <w:r w:rsidRPr="005D075A">
        <w:t>.</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1773264A" w:rsidR="00FB7287" w:rsidRPr="00E639CC" w:rsidRDefault="002D3F6B" w:rsidP="00C818D4">
            <w:pPr>
              <w:pStyle w:val="Podpisoseba"/>
              <w:spacing w:before="0" w:after="0"/>
              <w:rPr>
                <w:bCs w:val="0"/>
              </w:rPr>
            </w:pPr>
            <w:r>
              <w:t>Ž</w:t>
            </w:r>
            <w:r w:rsidR="00FB7287" w:rsidRPr="00E639CC">
              <w:t>upan</w:t>
            </w:r>
          </w:p>
        </w:tc>
      </w:tr>
      <w:bookmarkEnd w:id="0"/>
    </w:tbl>
    <w:p w14:paraId="44177559" w14:textId="77777777" w:rsidR="00FB7287" w:rsidRPr="00BE5B70" w:rsidRDefault="00FB7287" w:rsidP="00D977DC">
      <w:pPr>
        <w:ind w:left="0"/>
        <w:rPr>
          <w:rStyle w:val="ZvezaZnak"/>
          <w:bCs/>
          <w:sz w:val="20"/>
          <w:u w:val="none"/>
        </w:rPr>
      </w:pPr>
    </w:p>
    <w:p w14:paraId="1C6841A1" w14:textId="0A7158D1" w:rsidR="0005678C" w:rsidRPr="00774DD1" w:rsidRDefault="0066085E" w:rsidP="00774DD1">
      <w:pPr>
        <w:pStyle w:val="gradivo"/>
      </w:pPr>
      <w:r w:rsidRPr="00774DD1">
        <w:t>Gradivo</w:t>
      </w:r>
      <w:r w:rsidR="00F12361" w:rsidRPr="00774DD1">
        <w:t>:</w:t>
      </w:r>
    </w:p>
    <w:p w14:paraId="08ABD712" w14:textId="77777777" w:rsidR="00774DD1" w:rsidRDefault="0066085E" w:rsidP="00774DD1">
      <w:pPr>
        <w:pStyle w:val="gradivo"/>
        <w:numPr>
          <w:ilvl w:val="0"/>
          <w:numId w:val="10"/>
        </w:numPr>
      </w:pPr>
      <w:r w:rsidRPr="00774DD1">
        <w:t>Gradivo</w:t>
      </w:r>
      <w:r w:rsidR="00F12361" w:rsidRPr="00774DD1">
        <w:t xml:space="preserve"> 1: </w:t>
      </w:r>
      <w:r w:rsidRPr="00774DD1">
        <w:t>predlog sklepa</w:t>
      </w:r>
    </w:p>
    <w:p w14:paraId="18184546" w14:textId="24B487B2" w:rsidR="001C491B" w:rsidRDefault="00C81A92" w:rsidP="00C81A92">
      <w:pPr>
        <w:pStyle w:val="gradivo"/>
        <w:ind w:left="1069" w:firstLine="347"/>
      </w:pPr>
      <w:r>
        <w:t>z obrazložitvijo</w:t>
      </w:r>
    </w:p>
    <w:p w14:paraId="27D6E6F6" w14:textId="25229D91" w:rsidR="00952E39" w:rsidRDefault="00952E39" w:rsidP="008B60DC">
      <w:pPr>
        <w:pStyle w:val="gradivo"/>
        <w:numPr>
          <w:ilvl w:val="0"/>
          <w:numId w:val="10"/>
        </w:numPr>
      </w:pPr>
      <w:r>
        <w:t xml:space="preserve">Gradivo </w:t>
      </w:r>
      <w:r w:rsidR="00C81A92">
        <w:t>2</w:t>
      </w:r>
      <w:r>
        <w:t xml:space="preserve">: </w:t>
      </w:r>
      <w:r w:rsidRPr="00952E39">
        <w:t>Stratešk</w:t>
      </w:r>
      <w:r>
        <w:t>i</w:t>
      </w:r>
      <w:r w:rsidRPr="00952E39">
        <w:t xml:space="preserve"> načrt javnega zavoda GO!2025 - Evropska prestolnic</w:t>
      </w:r>
      <w:r w:rsidR="00327DDF">
        <w:t>a</w:t>
      </w:r>
      <w:r w:rsidRPr="00952E39">
        <w:t xml:space="preserve"> kulture GO!2025, Nova Gorica, za obdobje 2027-2031</w:t>
      </w:r>
    </w:p>
    <w:p w14:paraId="35EBE53F" w14:textId="77777777" w:rsidR="001C491B" w:rsidRDefault="001C491B" w:rsidP="00352A82">
      <w:pPr>
        <w:pStyle w:val="Odstavekseznama"/>
      </w:pPr>
    </w:p>
    <w:p w14:paraId="29F8F0D4" w14:textId="77777777" w:rsidR="001C491B" w:rsidRPr="001C491B" w:rsidRDefault="001C491B" w:rsidP="00352A82">
      <w:pPr>
        <w:sectPr w:rsidR="001C491B" w:rsidRPr="001C491B"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68735223" w14:textId="0AEF8064"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58243"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58242"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0130B" id="Pravokotnik 21" o:spid="_x0000_s1026" style="position:absolute;margin-left:400pt;margin-top:76pt;width:131pt;height:1in;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 xml:space="preserve">Mestni </w:t>
      </w:r>
      <w:r w:rsidR="005C6EAA">
        <w:t>s</w:t>
      </w:r>
      <w:r w:rsidR="00731380">
        <w:t>vet</w:t>
      </w:r>
      <w:r w:rsidR="00731380">
        <w:br/>
      </w:r>
      <w:r w:rsidR="00731380" w:rsidRPr="008802E3">
        <w:rPr>
          <w:b w:val="0"/>
          <w:bCs/>
        </w:rPr>
        <w:t>Trg Edvarda Kardelja 1, 5000 Nova Gorica</w:t>
      </w:r>
    </w:p>
    <w:p w14:paraId="4DA58669" w14:textId="77777777" w:rsidR="000E5815" w:rsidRDefault="000E5815" w:rsidP="00BE5B70"/>
    <w:p w14:paraId="58D8DDBC" w14:textId="1BFE86F8" w:rsidR="000E5815" w:rsidRDefault="00DE2A35" w:rsidP="00AB01F8">
      <w:pPr>
        <w:jc w:val="left"/>
      </w:pPr>
      <w:r w:rsidRPr="00DE2A35">
        <w:t xml:space="preserve">Na podlagi </w:t>
      </w:r>
      <w:r w:rsidR="00D64C65">
        <w:t xml:space="preserve">35. člrna Zakona o uresničevanju </w:t>
      </w:r>
      <w:r w:rsidR="00E71096">
        <w:t>javnega interesa za kulturo (Uradni list RS, št. 77/07 – uradno prečiščeno besedilo</w:t>
      </w:r>
      <w:r w:rsidR="00105824">
        <w:t>, 56/08, 4/10, 20/11, 111/13, 68/16</w:t>
      </w:r>
      <w:r w:rsidR="000D6E7C">
        <w:t xml:space="preserve">, 61/17, 21/18 – ZNOrg, 3/33 </w:t>
      </w:r>
      <w:r w:rsidR="00A10B7D">
        <w:t>–</w:t>
      </w:r>
      <w:r w:rsidR="000D6E7C">
        <w:t xml:space="preserve"> </w:t>
      </w:r>
      <w:r w:rsidR="00A10B7D">
        <w:t>Zdeb, 105/22 – ZZNŠPP, 8/25 in 77/</w:t>
      </w:r>
      <w:r w:rsidR="00644C37">
        <w:t xml:space="preserve">25) in </w:t>
      </w:r>
      <w:r w:rsidRPr="00DE2A35">
        <w:t>19. člena Statuta Mestne občine Nova Gorica (Uradni list RS, št. 13/12, 18/17 in 18/19) je Mestni svet Mestne občine Nova Gorica na seji dne ____________                                                                                                   sprejel naslednji</w:t>
      </w:r>
    </w:p>
    <w:p w14:paraId="500C863B" w14:textId="67980EF1" w:rsidR="000E5815" w:rsidRPr="00352A82" w:rsidRDefault="00AA0E65" w:rsidP="000E5815">
      <w:pPr>
        <w:pStyle w:val="Naslov1"/>
        <w:jc w:val="center"/>
      </w:pPr>
      <w:r>
        <w:t>S</w:t>
      </w:r>
      <w:r w:rsidR="002D3F6B">
        <w:t>KLEP</w:t>
      </w:r>
    </w:p>
    <w:p w14:paraId="705A2F6D" w14:textId="77777777" w:rsidR="000E5815" w:rsidRDefault="000E5815" w:rsidP="000E5815">
      <w:pPr>
        <w:jc w:val="center"/>
      </w:pPr>
      <w:r>
        <w:t>1.</w:t>
      </w:r>
    </w:p>
    <w:p w14:paraId="0C93D4A6" w14:textId="7E0C2AD7" w:rsidR="00521E9E" w:rsidRDefault="00521E9E" w:rsidP="00AB01F8">
      <w:pPr>
        <w:jc w:val="left"/>
      </w:pPr>
      <w:r w:rsidRPr="00521E9E">
        <w:t>Mestni svet Mestne občine Nova Gorica daje pozitivno predhodno mnenje k Strateškemu načrtu javnega zavoda GO!2025 - Evropska prestolnic</w:t>
      </w:r>
      <w:r w:rsidR="00327DDF">
        <w:t>a</w:t>
      </w:r>
      <w:r w:rsidRPr="00521E9E">
        <w:t xml:space="preserve"> kulture GO!2025, Nova Gorica, za obdobje 202</w:t>
      </w:r>
      <w:r w:rsidR="000F0101">
        <w:t>7-2031</w:t>
      </w:r>
      <w:r w:rsidRPr="00521E9E">
        <w:t>.</w:t>
      </w:r>
    </w:p>
    <w:p w14:paraId="64C14F5A" w14:textId="77777777" w:rsidR="005C20E8" w:rsidRDefault="005C20E8" w:rsidP="005C20E8">
      <w:pPr>
        <w:spacing w:after="0"/>
        <w:jc w:val="left"/>
      </w:pPr>
    </w:p>
    <w:p w14:paraId="6309B0FA" w14:textId="7FDA1022" w:rsidR="000E5815" w:rsidRDefault="000E5815" w:rsidP="000E5815">
      <w:pPr>
        <w:jc w:val="center"/>
      </w:pPr>
      <w:r>
        <w:t>2.</w:t>
      </w:r>
    </w:p>
    <w:p w14:paraId="6BA9E1A8" w14:textId="1D232C8F" w:rsidR="000E5815" w:rsidRPr="00352A82" w:rsidRDefault="000E5815" w:rsidP="00D51EE1">
      <w:pPr>
        <w:jc w:val="left"/>
      </w:pPr>
      <w:r>
        <w:t>Ta sklep velja takoj.</w:t>
      </w:r>
    </w:p>
    <w:p w14:paraId="58396674" w14:textId="3F8FCBB7" w:rsidR="00BE5B70" w:rsidRDefault="00BE5B70" w:rsidP="00352A82">
      <w:pPr>
        <w:jc w:val="left"/>
        <w:rPr>
          <w:rStyle w:val="ZvezaZnak"/>
          <w:sz w:val="20"/>
          <w:u w:val="none"/>
        </w:rPr>
      </w:pPr>
    </w:p>
    <w:p w14:paraId="0A8700C1" w14:textId="6AAF4D8B" w:rsidR="000E5815" w:rsidRDefault="000E5815" w:rsidP="00352A82">
      <w:pPr>
        <w:jc w:val="left"/>
        <w:rPr>
          <w:rStyle w:val="ZvezaZnak"/>
          <w:sz w:val="20"/>
          <w:u w:val="none"/>
        </w:rPr>
      </w:pPr>
    </w:p>
    <w:p w14:paraId="4549E1F2" w14:textId="31B37E60" w:rsidR="00714788" w:rsidRDefault="00352A82" w:rsidP="005C20E8">
      <w:pPr>
        <w:pStyle w:val="stevilkadokumenta"/>
      </w:pPr>
      <w:r w:rsidRPr="0005678C">
        <w:rPr>
          <w:rStyle w:val="ZvezaZnak"/>
          <w:sz w:val="20"/>
          <w:u w:val="none"/>
        </w:rPr>
        <w:t xml:space="preserve">Številka: </w:t>
      </w:r>
      <w:r w:rsidR="00E33D8E">
        <w:rPr>
          <w:rStyle w:val="ZvezaZnak"/>
          <w:sz w:val="20"/>
          <w:u w:val="none"/>
        </w:rPr>
        <w:t>014-23/</w:t>
      </w:r>
      <w:r w:rsidR="00E33D8E" w:rsidRPr="000C6070">
        <w:rPr>
          <w:rStyle w:val="ZvezaZnak"/>
          <w:sz w:val="20"/>
          <w:u w:val="none"/>
        </w:rPr>
        <w:t>2021</w:t>
      </w:r>
      <w:r>
        <w:rPr>
          <w:rStyle w:val="ZvezaZnak"/>
          <w:sz w:val="20"/>
          <w:u w:val="none"/>
        </w:rPr>
        <w:br/>
      </w:r>
      <w:r>
        <w:t>Nova Gorica, dne</w:t>
      </w:r>
      <w:r w:rsidRPr="0005678C">
        <w:t xml:space="preserv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7933ACFE" w:rsidR="009060A3" w:rsidRPr="00E639CC" w:rsidRDefault="00AA4BC6" w:rsidP="009060A3">
            <w:pPr>
              <w:pStyle w:val="Podpisoseba"/>
              <w:spacing w:before="0" w:after="0"/>
              <w:rPr>
                <w:bCs w:val="0"/>
              </w:rPr>
            </w:pPr>
            <w:r>
              <w:t>Ž</w:t>
            </w:r>
            <w:r w:rsidR="009060A3" w:rsidRPr="00E639CC">
              <w:t>upan</w:t>
            </w:r>
          </w:p>
        </w:tc>
      </w:tr>
    </w:tbl>
    <w:p w14:paraId="1600E036" w14:textId="3AA6434C" w:rsidR="00714788" w:rsidRDefault="00714788" w:rsidP="00352A82"/>
    <w:p w14:paraId="021587B6" w14:textId="77777777" w:rsidR="00714788" w:rsidRDefault="00714788" w:rsidP="000634A1"/>
    <w:p w14:paraId="49C83A4E" w14:textId="77777777" w:rsidR="00731380" w:rsidRDefault="00731380" w:rsidP="00352A82"/>
    <w:p w14:paraId="06BE4516" w14:textId="77777777" w:rsidR="00731380" w:rsidRDefault="00731380" w:rsidP="00352A82">
      <w:pPr>
        <w:sectPr w:rsidR="00731380" w:rsidSect="00E217AD">
          <w:pgSz w:w="11906" w:h="16838"/>
          <w:pgMar w:top="1418" w:right="1418" w:bottom="1418" w:left="1418" w:header="1304" w:footer="454" w:gutter="0"/>
          <w:cols w:space="708"/>
          <w:titlePg/>
          <w:docGrid w:linePitch="360"/>
        </w:sectPr>
      </w:pPr>
    </w:p>
    <w:p w14:paraId="5E21157B" w14:textId="1F1921E1" w:rsidR="00731380" w:rsidRDefault="00C50EB4" w:rsidP="00731380">
      <w:pPr>
        <w:pStyle w:val="Nazivenote"/>
        <w:rPr>
          <w:b w:val="0"/>
          <w:bCs/>
        </w:rPr>
      </w:pPr>
      <w:r>
        <w:lastRenderedPageBreak/>
        <w:t>Oddelek za družbene dejavnosti</w:t>
      </w:r>
      <w:r w:rsidR="00731380">
        <w:br/>
      </w:r>
      <w:r w:rsidR="00731380" w:rsidRPr="008802E3">
        <w:rPr>
          <w:b w:val="0"/>
          <w:bCs/>
        </w:rPr>
        <w:t>Trg Edvarda Kardelja 1, 5000 Nova Gorica</w:t>
      </w:r>
    </w:p>
    <w:p w14:paraId="66A7B1C5" w14:textId="77777777" w:rsidR="005C20E8" w:rsidRDefault="005C20E8" w:rsidP="005C20E8">
      <w:pPr>
        <w:pStyle w:val="Naslov1"/>
        <w:spacing w:before="0" w:after="240" w:line="240" w:lineRule="exact"/>
      </w:pPr>
    </w:p>
    <w:p w14:paraId="31D67305" w14:textId="3315CEB5" w:rsidR="00731380" w:rsidRPr="0066085E" w:rsidRDefault="009C4BA8" w:rsidP="005C20E8">
      <w:pPr>
        <w:pStyle w:val="Naslov1"/>
        <w:spacing w:before="0" w:after="240" w:line="240" w:lineRule="exact"/>
      </w:pPr>
      <w:r>
        <w:t>Obrazložitev</w:t>
      </w:r>
    </w:p>
    <w:p w14:paraId="793E6041" w14:textId="130481C7" w:rsidR="00B22EA6" w:rsidRPr="00EF04FA" w:rsidRDefault="00B22EA6" w:rsidP="00A07C80">
      <w:pPr>
        <w:jc w:val="left"/>
        <w:rPr>
          <w:color w:val="000000" w:themeColor="text1"/>
        </w:rPr>
      </w:pPr>
      <w:r w:rsidRPr="00EF04FA">
        <w:rPr>
          <w:color w:val="000000" w:themeColor="text1"/>
        </w:rPr>
        <w:t xml:space="preserve">Javni zavod GO! </w:t>
      </w:r>
      <w:r w:rsidRPr="000A2B20">
        <w:t xml:space="preserve">2025 – Evropska prestolnica kulture, Nova Gorica (v nadaljevanju: javni zavod GO! 2025), </w:t>
      </w:r>
      <w:r w:rsidR="00A66908" w:rsidRPr="000A2B20">
        <w:t>je dne 14. januarja 2026</w:t>
      </w:r>
      <w:r w:rsidRPr="000A2B20">
        <w:t xml:space="preserve"> Mestno </w:t>
      </w:r>
      <w:r w:rsidRPr="00EF04FA">
        <w:rPr>
          <w:color w:val="000000" w:themeColor="text1"/>
        </w:rPr>
        <w:t>občino Nova Gorica zaprosil za izdajo predhodnega mnenja k Strateškemu načrtu javnega zavoda GO!2025 - Evropska prestolnica kulture, Nova Gorica, za obdobje 202</w:t>
      </w:r>
      <w:r w:rsidR="00EC49DA" w:rsidRPr="00EF04FA">
        <w:rPr>
          <w:color w:val="000000" w:themeColor="text1"/>
        </w:rPr>
        <w:t>7</w:t>
      </w:r>
      <w:r w:rsidR="00D42C66" w:rsidRPr="00EF04FA">
        <w:rPr>
          <w:color w:val="000000" w:themeColor="text1"/>
        </w:rPr>
        <w:t>-</w:t>
      </w:r>
      <w:r w:rsidRPr="00EF04FA">
        <w:rPr>
          <w:color w:val="000000" w:themeColor="text1"/>
        </w:rPr>
        <w:t>20</w:t>
      </w:r>
      <w:r w:rsidR="00EC49DA" w:rsidRPr="00EF04FA">
        <w:rPr>
          <w:color w:val="000000" w:themeColor="text1"/>
        </w:rPr>
        <w:t>31</w:t>
      </w:r>
      <w:r w:rsidR="000A4D21" w:rsidRPr="00EF04FA">
        <w:rPr>
          <w:color w:val="000000" w:themeColor="text1"/>
        </w:rPr>
        <w:t xml:space="preserve"> (v nadaljevanju: Strateški načrt</w:t>
      </w:r>
      <w:r w:rsidR="00F34CC3" w:rsidRPr="00EF04FA">
        <w:rPr>
          <w:color w:val="000000" w:themeColor="text1"/>
        </w:rPr>
        <w:t xml:space="preserve"> za obdobje 2027</w:t>
      </w:r>
      <w:r w:rsidR="00896EAD" w:rsidRPr="00EF04FA">
        <w:rPr>
          <w:color w:val="000000" w:themeColor="text1"/>
        </w:rPr>
        <w:t>-</w:t>
      </w:r>
      <w:r w:rsidR="00F34CC3" w:rsidRPr="00EF04FA">
        <w:rPr>
          <w:color w:val="000000" w:themeColor="text1"/>
        </w:rPr>
        <w:t>2031)</w:t>
      </w:r>
      <w:r w:rsidR="00EC49DA" w:rsidRPr="00EF04FA">
        <w:rPr>
          <w:color w:val="000000" w:themeColor="text1"/>
        </w:rPr>
        <w:t>.</w:t>
      </w:r>
    </w:p>
    <w:p w14:paraId="68FF8B4E" w14:textId="572EFBB5" w:rsidR="00B22EA6" w:rsidRPr="00EF04FA" w:rsidRDefault="00C05F81" w:rsidP="00A07C80">
      <w:pPr>
        <w:jc w:val="left"/>
        <w:rPr>
          <w:color w:val="000000" w:themeColor="text1"/>
        </w:rPr>
      </w:pPr>
      <w:r w:rsidRPr="00EF04FA">
        <w:rPr>
          <w:color w:val="000000" w:themeColor="text1"/>
        </w:rPr>
        <w:t>Zakon o uresničevanju javnega interesa za kulture (Uradni list RS, št. 77/07 – uradno prečiščeno besedilo, 56/08, 4/10, 20/11, 111/13, 68/16, 61/17, 21/18 – ZNOrg, 3/22 – ZDeb, 105/22 – ZZNŠPP, 8/25 in 77/25, v nadaljevanju: ZUJIK) določa, da je  s</w:t>
      </w:r>
      <w:r w:rsidR="00B22EA6" w:rsidRPr="00EF04FA">
        <w:rPr>
          <w:color w:val="000000" w:themeColor="text1"/>
        </w:rPr>
        <w:t>trateški načrt dokument srednjeročnega razvojnega načrtovanja, ki upošteva cilje in prioritete nacionalnega oziroma lokalnega programa za kulturo, program dela pa je njegov letni izvedbeni načrt, katerega sestavni del je finančni načrt. Dokument se  sprejme za obdobje petih let, pri čemer lahko vsebuje tudi dolgoročne usmeritve, ki presegajo to obdobje. Strateški načrt obsega programske usmeritve in predviden obseg programa, organizacijske usmeritve, opredelitev investicij in investicijskega vzdrževanja ter podlage za kadrovski načrt, ki  vključujejo tudi predvidene zunanje sodelavce. K strateškemu načrtu je treba pridobiti predhodno mnenje ustanovitelja in večinskega financerja javnega zavoda.</w:t>
      </w:r>
    </w:p>
    <w:p w14:paraId="74A60DAA" w14:textId="28D54526" w:rsidR="00440526" w:rsidRPr="00EF04FA" w:rsidRDefault="002B500B" w:rsidP="00A07C80">
      <w:pPr>
        <w:jc w:val="left"/>
        <w:rPr>
          <w:color w:val="000000" w:themeColor="text1"/>
        </w:rPr>
      </w:pPr>
      <w:r w:rsidRPr="00EF04FA">
        <w:rPr>
          <w:color w:val="000000" w:themeColor="text1"/>
        </w:rPr>
        <w:t>Veljavni Strateški načrt javnega zavoda GO!2025 - Evropska prestolnice kulture GO!2025, Nova Gorica</w:t>
      </w:r>
      <w:r w:rsidR="00F5055D" w:rsidRPr="00EF04FA">
        <w:rPr>
          <w:color w:val="000000" w:themeColor="text1"/>
        </w:rPr>
        <w:t>, za obdobje 2024-2026</w:t>
      </w:r>
      <w:r w:rsidR="007043F1" w:rsidRPr="00EF04FA">
        <w:rPr>
          <w:color w:val="000000" w:themeColor="text1"/>
        </w:rPr>
        <w:t xml:space="preserve"> je bil </w:t>
      </w:r>
      <w:r w:rsidR="007905AE" w:rsidRPr="00EF04FA">
        <w:rPr>
          <w:color w:val="000000" w:themeColor="text1"/>
        </w:rPr>
        <w:t xml:space="preserve">ob pripravi in sprejemanju </w:t>
      </w:r>
      <w:r w:rsidR="007043F1" w:rsidRPr="00EF04FA">
        <w:rPr>
          <w:color w:val="000000" w:themeColor="text1"/>
        </w:rPr>
        <w:t>zaradi specifičn</w:t>
      </w:r>
      <w:r w:rsidR="00440526" w:rsidRPr="00EF04FA">
        <w:rPr>
          <w:color w:val="000000" w:themeColor="text1"/>
        </w:rPr>
        <w:t>osti</w:t>
      </w:r>
      <w:r w:rsidR="00180B7C" w:rsidRPr="00EF04FA">
        <w:rPr>
          <w:color w:val="000000" w:themeColor="text1"/>
        </w:rPr>
        <w:t xml:space="preserve"> </w:t>
      </w:r>
      <w:r w:rsidR="008121A7" w:rsidRPr="00EF04FA">
        <w:rPr>
          <w:color w:val="000000" w:themeColor="text1"/>
        </w:rPr>
        <w:t xml:space="preserve">takratne </w:t>
      </w:r>
      <w:r w:rsidR="00F5055D" w:rsidRPr="00EF04FA">
        <w:rPr>
          <w:color w:val="000000" w:themeColor="text1"/>
        </w:rPr>
        <w:t>situacij</w:t>
      </w:r>
      <w:r w:rsidR="008121A7" w:rsidRPr="00EF04FA">
        <w:rPr>
          <w:color w:val="000000" w:themeColor="text1"/>
        </w:rPr>
        <w:t>e sprejet za krajše obdobje</w:t>
      </w:r>
      <w:r w:rsidR="00535F70">
        <w:rPr>
          <w:color w:val="000000" w:themeColor="text1"/>
        </w:rPr>
        <w:t>,</w:t>
      </w:r>
      <w:r w:rsidR="008121A7" w:rsidRPr="00EF04FA">
        <w:rPr>
          <w:color w:val="000000" w:themeColor="text1"/>
        </w:rPr>
        <w:t xml:space="preserve"> in sicer do leta 2026.</w:t>
      </w:r>
      <w:r w:rsidR="00180B7C" w:rsidRPr="00EF04FA">
        <w:rPr>
          <w:color w:val="000000" w:themeColor="text1"/>
        </w:rPr>
        <w:t xml:space="preserve"> Ob sprejemanju le-tega ni </w:t>
      </w:r>
      <w:r w:rsidR="008121A7" w:rsidRPr="00EF04FA">
        <w:rPr>
          <w:color w:val="000000" w:themeColor="text1"/>
        </w:rPr>
        <w:t xml:space="preserve">bil </w:t>
      </w:r>
      <w:r w:rsidR="00A424B9" w:rsidRPr="00EF04FA">
        <w:rPr>
          <w:color w:val="000000" w:themeColor="text1"/>
        </w:rPr>
        <w:t xml:space="preserve">podrobneje </w:t>
      </w:r>
      <w:r w:rsidR="00180B7C" w:rsidRPr="00EF04FA">
        <w:rPr>
          <w:color w:val="000000" w:themeColor="text1"/>
        </w:rPr>
        <w:t>definiran način prenosa zapuščine</w:t>
      </w:r>
      <w:r w:rsidR="00440526" w:rsidRPr="00EF04FA">
        <w:rPr>
          <w:color w:val="000000" w:themeColor="text1"/>
        </w:rPr>
        <w:t xml:space="preserve">, </w:t>
      </w:r>
      <w:r w:rsidR="00180B7C" w:rsidRPr="00EF04FA">
        <w:rPr>
          <w:color w:val="000000" w:themeColor="text1"/>
        </w:rPr>
        <w:t>je pa za uspešnost in doseganje dolgoročnih ciljev projekta</w:t>
      </w:r>
      <w:r w:rsidR="00440526" w:rsidRPr="00EF04FA">
        <w:rPr>
          <w:color w:val="000000" w:themeColor="text1"/>
        </w:rPr>
        <w:t xml:space="preserve"> </w:t>
      </w:r>
      <w:r w:rsidR="00A545E0" w:rsidRPr="00EF04FA">
        <w:rPr>
          <w:color w:val="000000" w:themeColor="text1"/>
        </w:rPr>
        <w:t>izjemnega pomena</w:t>
      </w:r>
      <w:r w:rsidR="00180B7C" w:rsidRPr="00EF04FA">
        <w:rPr>
          <w:color w:val="000000" w:themeColor="text1"/>
        </w:rPr>
        <w:t xml:space="preserve"> tudi obdobje dediščine/zapuščine EPK, torej obdobje po letu po letu 2026</w:t>
      </w:r>
      <w:r w:rsidR="00440526" w:rsidRPr="00EF04FA">
        <w:rPr>
          <w:color w:val="000000" w:themeColor="text1"/>
        </w:rPr>
        <w:t>.</w:t>
      </w:r>
    </w:p>
    <w:p w14:paraId="47183699" w14:textId="04F264BF" w:rsidR="00B22EA6" w:rsidRPr="00EF04FA" w:rsidRDefault="00DF779D" w:rsidP="00A07C80">
      <w:pPr>
        <w:jc w:val="left"/>
        <w:rPr>
          <w:b/>
          <w:bCs w:val="0"/>
          <w:color w:val="000000" w:themeColor="text1"/>
        </w:rPr>
      </w:pPr>
      <w:bookmarkStart w:id="1" w:name="_Hlk215059829"/>
      <w:r w:rsidRPr="00EF04FA">
        <w:rPr>
          <w:b/>
          <w:bCs w:val="0"/>
          <w:color w:val="000000" w:themeColor="text1"/>
        </w:rPr>
        <w:t xml:space="preserve">Temeljni razlogi za sprejem </w:t>
      </w:r>
      <w:r w:rsidR="00F34CC3" w:rsidRPr="00EF04FA">
        <w:rPr>
          <w:b/>
          <w:bCs w:val="0"/>
          <w:color w:val="000000" w:themeColor="text1"/>
        </w:rPr>
        <w:t>Strateš</w:t>
      </w:r>
      <w:r w:rsidR="00896EAD" w:rsidRPr="00EF04FA">
        <w:rPr>
          <w:b/>
          <w:bCs w:val="0"/>
          <w:color w:val="000000" w:themeColor="text1"/>
        </w:rPr>
        <w:t>k</w:t>
      </w:r>
      <w:r w:rsidRPr="00EF04FA">
        <w:rPr>
          <w:b/>
          <w:bCs w:val="0"/>
          <w:color w:val="000000" w:themeColor="text1"/>
        </w:rPr>
        <w:t>ega</w:t>
      </w:r>
      <w:r w:rsidR="00896EAD" w:rsidRPr="00EF04FA">
        <w:rPr>
          <w:b/>
          <w:bCs w:val="0"/>
          <w:color w:val="000000" w:themeColor="text1"/>
        </w:rPr>
        <w:t xml:space="preserve"> načrt</w:t>
      </w:r>
      <w:r w:rsidRPr="00EF04FA">
        <w:rPr>
          <w:b/>
          <w:bCs w:val="0"/>
          <w:color w:val="000000" w:themeColor="text1"/>
        </w:rPr>
        <w:t>a</w:t>
      </w:r>
      <w:r w:rsidR="00896EAD" w:rsidRPr="00EF04FA">
        <w:rPr>
          <w:b/>
          <w:bCs w:val="0"/>
          <w:color w:val="000000" w:themeColor="text1"/>
        </w:rPr>
        <w:t xml:space="preserve"> za obdobje 2027-2031 </w:t>
      </w:r>
      <w:bookmarkEnd w:id="1"/>
      <w:r w:rsidR="005C21D3" w:rsidRPr="00EF04FA">
        <w:rPr>
          <w:b/>
          <w:bCs w:val="0"/>
          <w:color w:val="000000" w:themeColor="text1"/>
        </w:rPr>
        <w:t>v decembru 202</w:t>
      </w:r>
      <w:r w:rsidRPr="00EF04FA">
        <w:rPr>
          <w:b/>
          <w:bCs w:val="0"/>
          <w:color w:val="000000" w:themeColor="text1"/>
        </w:rPr>
        <w:t>5</w:t>
      </w:r>
      <w:r w:rsidR="00722BD8" w:rsidRPr="00EF04FA">
        <w:rPr>
          <w:b/>
          <w:bCs w:val="0"/>
          <w:color w:val="000000" w:themeColor="text1"/>
        </w:rPr>
        <w:t>:</w:t>
      </w:r>
    </w:p>
    <w:p w14:paraId="4921B5E3" w14:textId="384F89AC" w:rsidR="002C5788" w:rsidRPr="00581F02" w:rsidRDefault="002C5788" w:rsidP="00A07C80">
      <w:pPr>
        <w:jc w:val="left"/>
        <w:rPr>
          <w:strike/>
          <w:color w:val="000000" w:themeColor="text1"/>
        </w:rPr>
      </w:pPr>
      <w:r w:rsidRPr="00EF04FA">
        <w:rPr>
          <w:color w:val="000000" w:themeColor="text1"/>
        </w:rPr>
        <w:t xml:space="preserve">Sprejem strateškega načrta za obdobje 2027–2031 </w:t>
      </w:r>
      <w:r w:rsidR="00276B79">
        <w:rPr>
          <w:color w:val="000000" w:themeColor="text1"/>
        </w:rPr>
        <w:t xml:space="preserve">je </w:t>
      </w:r>
      <w:r w:rsidRPr="00EF04FA">
        <w:rPr>
          <w:color w:val="000000" w:themeColor="text1"/>
        </w:rPr>
        <w:t>nujen pogoj za odgovorno in pravočasno upravljanje čezmejne zapuščine projekta Evropske prestolnice kulture ter za enakovredno sodelovanje v evropskem prostoru</w:t>
      </w:r>
      <w:r w:rsidRPr="006D40D5">
        <w:rPr>
          <w:color w:val="000000" w:themeColor="text1"/>
        </w:rPr>
        <w:t>.</w:t>
      </w:r>
      <w:r w:rsidR="006D40D5">
        <w:rPr>
          <w:color w:val="000000" w:themeColor="text1"/>
        </w:rPr>
        <w:t xml:space="preserve"> </w:t>
      </w:r>
      <w:r w:rsidR="006D40D5" w:rsidRPr="006D40D5">
        <w:rPr>
          <w:color w:val="000000" w:themeColor="text1"/>
        </w:rPr>
        <w:t>Dne 5</w:t>
      </w:r>
      <w:r w:rsidRPr="006D40D5">
        <w:rPr>
          <w:color w:val="000000" w:themeColor="text1"/>
        </w:rPr>
        <w:t>. decembra</w:t>
      </w:r>
      <w:r w:rsidRPr="00EF04FA">
        <w:rPr>
          <w:color w:val="000000" w:themeColor="text1"/>
        </w:rPr>
        <w:t xml:space="preserve"> 2025 </w:t>
      </w:r>
      <w:r w:rsidR="001D648E">
        <w:rPr>
          <w:color w:val="000000" w:themeColor="text1"/>
        </w:rPr>
        <w:t>je bil</w:t>
      </w:r>
      <w:r w:rsidRPr="00EF04FA">
        <w:rPr>
          <w:color w:val="000000" w:themeColor="text1"/>
        </w:rPr>
        <w:t xml:space="preserve"> podpisan tristranski memorandum med Chemnitzem, Novo Gorico in Gorico, ki opredel</w:t>
      </w:r>
      <w:r w:rsidR="001D648E">
        <w:rPr>
          <w:color w:val="000000" w:themeColor="text1"/>
        </w:rPr>
        <w:t>juje</w:t>
      </w:r>
      <w:r w:rsidRPr="00EF04FA">
        <w:rPr>
          <w:color w:val="000000" w:themeColor="text1"/>
        </w:rPr>
        <w:t xml:space="preserve"> skupne cilje in podlago za čezmejno delovanje v naslednjem petletnem obdobju. Memorandum temelji na strateškem dokumentu “Rahmenkonzept Legacy”, ki ga je mesto Chemnitz sprejelo za obdobje 2027–2031, in bo prinesel konkretne pozitivne finančne učinke ter postavil zahteve, ki želijo uravnoteženo odzivanje vseh podpisnic. </w:t>
      </w:r>
    </w:p>
    <w:p w14:paraId="2D4B9F28" w14:textId="0CAAB596" w:rsidR="002C5788" w:rsidRPr="00EF04FA" w:rsidRDefault="002C5788" w:rsidP="00A07C80">
      <w:pPr>
        <w:jc w:val="left"/>
        <w:rPr>
          <w:color w:val="000000" w:themeColor="text1"/>
        </w:rPr>
      </w:pPr>
      <w:r w:rsidRPr="00EF04FA">
        <w:rPr>
          <w:color w:val="000000" w:themeColor="text1"/>
        </w:rPr>
        <w:t xml:space="preserve">Prav tako je pravočasni sprejem strategije ključen za pridobivanje dodatnih državnih in drugih neobčinskih sredstev v letu 2026, ki bo predstavljalo premostitveno in načrtovalno fazo med zaključkom programskega leta EPK ter </w:t>
      </w:r>
      <w:r w:rsidRPr="00EF04FA">
        <w:rPr>
          <w:color w:val="000000" w:themeColor="text1"/>
        </w:rPr>
        <w:lastRenderedPageBreak/>
        <w:t>začetkom obdobja dolgoročnega razvoja zapuščine. Zavod GO! 2025 je v zadnjih dveh letih razvil obseg delovanja, ki presega lokalne okvire ter se po svojem namenu in strokovnosti že uveljavlja kot javni zavod širšega pomena. Ravno zato mora strateški dokument pravočasno vzpostaviti temelj za načrtovanje programov, ki bodo v letu 2027 lahko kandidirali za državna, evropska in druga razvojna sredstva. Brez sprejete strategije bi bili postopki pridobivanja financiranja v letu 2027 bistveno oteženi, v določenih primerih celo onemogočeni, zavod pa bi bil prisiljen delovati z omejenimi sredstvi in brez dolgoročno zastavljenih vsebinskih prioritet.</w:t>
      </w:r>
    </w:p>
    <w:p w14:paraId="56FA16BD" w14:textId="0257F0EA" w:rsidR="002C5788" w:rsidRPr="00EF04FA" w:rsidRDefault="002C5788" w:rsidP="00A07C80">
      <w:pPr>
        <w:jc w:val="left"/>
        <w:rPr>
          <w:color w:val="000000" w:themeColor="text1"/>
        </w:rPr>
      </w:pPr>
      <w:r w:rsidRPr="00EF04FA">
        <w:rPr>
          <w:color w:val="000000" w:themeColor="text1"/>
        </w:rPr>
        <w:t xml:space="preserve">Leto 2026 ima posebno vlogo kot leto, namenjeno strateškemu prehodu. </w:t>
      </w:r>
      <w:r w:rsidRPr="00FB5F10">
        <w:rPr>
          <w:strike/>
          <w:color w:val="000000" w:themeColor="text1"/>
        </w:rPr>
        <w:t>Takrat</w:t>
      </w:r>
      <w:r w:rsidRPr="00EF04FA">
        <w:rPr>
          <w:color w:val="000000" w:themeColor="text1"/>
        </w:rPr>
        <w:t xml:space="preserve"> </w:t>
      </w:r>
      <w:r w:rsidR="00FB5F10">
        <w:rPr>
          <w:color w:val="000000" w:themeColor="text1"/>
        </w:rPr>
        <w:t xml:space="preserve">V tem letu </w:t>
      </w:r>
      <w:r w:rsidRPr="00EF04FA">
        <w:rPr>
          <w:color w:val="000000" w:themeColor="text1"/>
        </w:rPr>
        <w:t>je treba premišljeno opredeliti usodo zavoda, njegove razvojne cilje ter dolgoročne vsebine kulturnega in čezmejnega programa, ki se bodo izvajale šele po zaključenem letu EPK. To fazo lahko upravljamo le, če obstaja jasen strateški okvir, ki določa smer razvoja in omogoča, da se načrtovanje izvaja skladno s cilji naslednjega petletnega cikla. Pravočasni sprejem dokumenta zato ni formalnost, temveč pogoj, da lahko zavod in celotno mesto Nova Gorica vstopijo v novo fazo delovanja pripravljeni, partnersko enakovredni in finančno vzdržni.</w:t>
      </w:r>
    </w:p>
    <w:p w14:paraId="6F721CEC" w14:textId="24A74B86" w:rsidR="002C5788" w:rsidRPr="00EF04FA" w:rsidRDefault="006B324E" w:rsidP="00A07C80">
      <w:pPr>
        <w:jc w:val="left"/>
        <w:rPr>
          <w:b/>
          <w:bCs w:val="0"/>
          <w:color w:val="000000" w:themeColor="text1"/>
        </w:rPr>
      </w:pPr>
      <w:r w:rsidRPr="00EF04FA">
        <w:rPr>
          <w:b/>
          <w:bCs w:val="0"/>
          <w:color w:val="000000" w:themeColor="text1"/>
        </w:rPr>
        <w:t>Utemeljitev potrebe Strateškega načrta javnega zavoda GO!2025 za obdobje 2027-2031</w:t>
      </w:r>
    </w:p>
    <w:p w14:paraId="4DB4CF9F" w14:textId="09092D69" w:rsidR="006B324E" w:rsidRPr="00B55891" w:rsidRDefault="006B324E" w:rsidP="00A07C80">
      <w:pPr>
        <w:jc w:val="left"/>
        <w:rPr>
          <w:strike/>
          <w:color w:val="000000" w:themeColor="text1"/>
        </w:rPr>
      </w:pPr>
      <w:r w:rsidRPr="00EF04FA">
        <w:rPr>
          <w:color w:val="000000" w:themeColor="text1"/>
        </w:rPr>
        <w:t>Za javni zavod, ustanovljen v okviru projekta Evropske prestolnice kulture 2025, je sprejetje razvojne strategije za obdobje 2027–2031 ključnega pomena, saj omogoča nadaljevanje uresničevanja ciljev, ki so bili zastavljeni mnogo širše od kratkoročnih programskih aktivnosti. Projekt EPK v svojem bistvu ni zasnovan kot enkraten dogodek, omejen na določeno koledarsko leto, temveč kot dolgoročna preobrazba Nove Gorice in širše Goriške regije, ki temelji na investicijah v kulturo, urbano okolje, čezmejno sodelovanje, turistični razvoj ter krepitev identitete mesta in širše regije. Prav ta dolgoročna narava postavlja zahtevo po nadaljevanju delovanja javnega zavoda, saj številni ključni cilji, opredeljeni v DIIP in NIIP, zaradi kratkosti izvedbenega obdobja ali objektivnih omejitev, še niso bili realizirani. Med njimi so arhitekturne in kulturne revitalizacije z visoko razvojno vrednostjo, kot sta ureditev Laščakove vile in gradu Rihemberk, pa tudi strateški razvoj mestne identitete (“city brand”) in celostne podobe mesta, ki sta temelj za nadaljnji kulturno-turistični razvoj regije. Ti cilji so zasnovani kot trajnostni procesi, ki zahtevajo strokovno koordinacijo, strateško načrtovanje in nadaljnje institucionalno upravljanje</w:t>
      </w:r>
      <w:r w:rsidR="003E53BB">
        <w:rPr>
          <w:color w:val="000000" w:themeColor="text1"/>
        </w:rPr>
        <w:t>.</w:t>
      </w:r>
    </w:p>
    <w:p w14:paraId="2C8DF7FB" w14:textId="77777777" w:rsidR="006B324E" w:rsidRPr="00EF04FA" w:rsidRDefault="006B324E" w:rsidP="00A07C80">
      <w:pPr>
        <w:jc w:val="left"/>
        <w:rPr>
          <w:color w:val="000000" w:themeColor="text1"/>
        </w:rPr>
      </w:pPr>
      <w:r w:rsidRPr="00EF04FA">
        <w:rPr>
          <w:color w:val="000000" w:themeColor="text1"/>
        </w:rPr>
        <w:t xml:space="preserve">Javni zavod GO! 2025 deluje že sedaj kot institucija širšega pomena, saj presega lokalne meje tako geografsko kot kulturno. Programi in vsebine zavoda se namreč izvajajo na območju številnih slovenskih občin in so po svojem bistvu čezmejni, saj vključujejo območja, kjer deluje kulturno živahna slovenska skupnost v Italiji, hkrati pa utrjujejo sodelovanje v evropskem prostoru. Takšen obseg delovanja ustreza definiciji občinskega javnega zavoda širšega pomena po ZUJIK, kar prinaša možnosti pridobivanja dodatnih sredstev iz proračunov pristojnih ministrstev. Da pa bi se te možnosti lahko dejansko uresničile, je potrebna jasno zastavljena strateška </w:t>
      </w:r>
      <w:r w:rsidRPr="00EF04FA">
        <w:rPr>
          <w:color w:val="000000" w:themeColor="text1"/>
        </w:rPr>
        <w:lastRenderedPageBreak/>
        <w:t>vizija, ki presega lokalne okvire ter omogoča transparentno upravičevanje javnih vložkov na nacionalni ravni. Brez nadaljnjega delovanja javnega zavoda kot nosilca teh nalog bi bila izgubljena priložnost pridobivanja razvojnih sredstev, ki so vezana na dolgoročno čezmejno in nacionalno pomembno kulturno politiko.</w:t>
      </w:r>
    </w:p>
    <w:p w14:paraId="5D6F1D44" w14:textId="77777777" w:rsidR="006B324E" w:rsidRPr="00EF04FA" w:rsidRDefault="006B324E" w:rsidP="00A07C80">
      <w:pPr>
        <w:jc w:val="left"/>
        <w:rPr>
          <w:color w:val="000000" w:themeColor="text1"/>
        </w:rPr>
      </w:pPr>
      <w:r w:rsidRPr="00EF04FA">
        <w:rPr>
          <w:color w:val="000000" w:themeColor="text1"/>
        </w:rPr>
        <w:t>Poleg tega je vzpostavljeno sodelovanje med številnimi slovenskimi občinami, partnerskimi mesti ter evropskimi institucijami strukturiran proces, ki ga je treba negovati, nadgrajevati in strateško upravljati. Zavod je že vzpostavil močne povezave z občinami Ajdovščina, Vipava, Miren–Kostanjevica, Bovec, Brda, Kanal, Kobarid, Komen, Cerkno, Idrija, Slovenj Gradec, Šempeter–Vrtojba, Tolmin, Kostanjevica na Krki, Maribor in Ljubljana, kar bo pomemben argument pri uveljavljanju pridobivanja sredstev na ravni države. Na evropski ravni se je razvil krog sodelovanja predvsem z mestoma Gorica in Chemnitz, z nekdanjima EPK središčema Veszprémom in Ravellom ter s partnerskim mestom Casarsa della Delizia. Ta partnerstva so strateškega pomena, saj omogočajo prenos dobrih praks, skupne projekte, čezmejne investicije, mobilnost ustvarjalcev ter enakovredno vključevanje Slovenije v evropske kulturne tokove, ki bo prinesla dolgoročno prepoznavnost predvsem Novi Gorici. Njihova nadgradnja pa je možna le pod vodstvom stabilne institucije, ki ostaja nosilec teh mednarodnih procesov tudi po izteku naslova EPK.</w:t>
      </w:r>
    </w:p>
    <w:p w14:paraId="0AC2A5AE" w14:textId="77777777" w:rsidR="006B324E" w:rsidRPr="00EF04FA" w:rsidRDefault="006B324E" w:rsidP="00A07C80">
      <w:pPr>
        <w:jc w:val="left"/>
        <w:rPr>
          <w:color w:val="000000" w:themeColor="text1"/>
        </w:rPr>
      </w:pPr>
      <w:r w:rsidRPr="00EF04FA">
        <w:rPr>
          <w:color w:val="000000" w:themeColor="text1"/>
        </w:rPr>
        <w:t>Ključen argument za nadaljevanje delovanja zavoda je tudi obsežen finančni vložek italijanske Dežele Furlanije - Julijske krajine, ki je za razvoj čezmejne zapuščine GO! 2025 namenila skoraj osem milijonov evrov. Ta sredstva so usmerjena v nadaljnje kulturno-turistične programe ter urbane in intermedijske intervencije, ki se razvijajo kot dolgoročna čezmejna infrastruktura v javnem interesu. Tako velik strateški in trajnostni vložek italijanske strani zahteva primerljiv odgovor slovenske strani, če želi ta ohraniti razvojno ravnovesje prostora, ki si ga dva sosednja naroda delita in soustvarjata. Brez slovenske strateške zaveze in institucionalne prisotnosti bi se lahko razmerje investicij porušilo, kar bi dolgoročno oslabilo razvojni potencial Nove Gorice, regije in slovenske kulture kot povezovalnega elementa čezmejnega prostora.</w:t>
      </w:r>
    </w:p>
    <w:p w14:paraId="685AADDE" w14:textId="77777777" w:rsidR="006B324E" w:rsidRPr="00EF04FA" w:rsidRDefault="006B324E" w:rsidP="00A07C80">
      <w:pPr>
        <w:jc w:val="left"/>
        <w:rPr>
          <w:color w:val="000000" w:themeColor="text1"/>
        </w:rPr>
      </w:pPr>
      <w:r w:rsidRPr="00EF04FA">
        <w:rPr>
          <w:color w:val="000000" w:themeColor="text1"/>
        </w:rPr>
        <w:t xml:space="preserve">Ob tako visokem vložku v strateški projekt EPK, tako programskem kot infrastrukturnem, je smiselno in nujno podaljšati obdobje učinkov, ki ga lahko zagotavlja le javni zavod kot institucionalni nosilec razvoja. Pravočasno sprejeta strategija omogoča vzpostavitev primerljive ravni kakovosti kulturno-turistične ponudbe, utemeljuje zahteve po dodatnih javnih sredstvih in odpira priložnosti za pridobivanje državnih in evropskih virov. S tem se zagotavlja dolgoročni razvoj čezmejnega prostora, nadaljevanje skupnega kulturno-turističnega načrtovanja, konsistentna promocija ter enakovredna nadgradnja celotnega območja Evropske prestolnice kulture 2025 Nova Gorica – Gorica. </w:t>
      </w:r>
    </w:p>
    <w:p w14:paraId="75E6FE68" w14:textId="79CD1D8C" w:rsidR="006B324E" w:rsidRPr="00EF04FA" w:rsidRDefault="006B324E" w:rsidP="00A07C80">
      <w:pPr>
        <w:jc w:val="left"/>
        <w:rPr>
          <w:color w:val="000000" w:themeColor="text1"/>
        </w:rPr>
      </w:pPr>
      <w:r w:rsidRPr="00EF04FA">
        <w:rPr>
          <w:color w:val="000000" w:themeColor="text1"/>
        </w:rPr>
        <w:t xml:space="preserve">Nova Gorica je z organizacijo projekta EPK dosegla največjo evropsko prepoznavnost v svoji kratki zgodovini obstoja mesta. Prepoznavnost se krepko pozna pri turističnem obisku in splošnem ugledu mesta v širši regiji in Evropi. Zato obstoj zavoda tudi po zaključku projekta ni zgolj organizacijska možnost, temveč </w:t>
      </w:r>
      <w:r w:rsidRPr="00EF04FA">
        <w:rPr>
          <w:color w:val="000000" w:themeColor="text1"/>
        </w:rPr>
        <w:lastRenderedPageBreak/>
        <w:t>strateška nujnost, ki omogoča trajnostno uresničevanje rezultatov, na katerih temelji prihodnost Nove Gorice, čezmejnega sodelovanja, kulturnega razvoja ter regionalne konkurenčnosti.</w:t>
      </w:r>
    </w:p>
    <w:p w14:paraId="444CDD79" w14:textId="6AA68A2A" w:rsidR="00B22EA6" w:rsidRPr="00EF04FA" w:rsidRDefault="00B22EA6" w:rsidP="00A07C80">
      <w:pPr>
        <w:jc w:val="left"/>
        <w:rPr>
          <w:color w:val="000000" w:themeColor="text1"/>
        </w:rPr>
      </w:pPr>
      <w:r w:rsidRPr="00EF04FA">
        <w:rPr>
          <w:color w:val="000000" w:themeColor="text1"/>
        </w:rPr>
        <w:t xml:space="preserve">35. člen </w:t>
      </w:r>
      <w:bookmarkStart w:id="2" w:name="_Hlk215060193"/>
      <w:r w:rsidRPr="00EF04FA">
        <w:rPr>
          <w:color w:val="000000" w:themeColor="text1"/>
        </w:rPr>
        <w:t xml:space="preserve">ZUJIK </w:t>
      </w:r>
      <w:bookmarkEnd w:id="2"/>
      <w:r w:rsidRPr="00EF04FA">
        <w:rPr>
          <w:color w:val="000000" w:themeColor="text1"/>
        </w:rPr>
        <w:t>določa, da strateški načrt s soglasjem sveta javnega zavoda, po predhodnem mnenju ustanovitelja in večinskega financerja javnega zavoda, sprejme direktor javnega zavoda.</w:t>
      </w:r>
    </w:p>
    <w:p w14:paraId="53EA4832" w14:textId="40EE66F4" w:rsidR="00B22EA6" w:rsidRPr="00EF04FA" w:rsidRDefault="00B22EA6" w:rsidP="00A07C80">
      <w:pPr>
        <w:jc w:val="left"/>
        <w:rPr>
          <w:color w:val="000000" w:themeColor="text1"/>
        </w:rPr>
      </w:pPr>
      <w:r w:rsidRPr="00EF04FA">
        <w:rPr>
          <w:color w:val="000000" w:themeColor="text1"/>
        </w:rPr>
        <w:t>Mestna občina Nova Gorica ugotavlja, da je strateški načrt skladen z določbami četrtega odstavka 35. člena ZUJIK. Vsebuje programske usmeritve in predviden obseg programa, organizacijske usmeritve, opredelitev investicij in investicijskega vzdrževanja ter podlage za kadrovski načrt.</w:t>
      </w:r>
      <w:r w:rsidRPr="00EF04FA">
        <w:rPr>
          <w:color w:val="000000" w:themeColor="text1"/>
        </w:rPr>
        <w:tab/>
      </w:r>
      <w:r w:rsidRPr="00EF04FA">
        <w:rPr>
          <w:color w:val="000000" w:themeColor="text1"/>
        </w:rPr>
        <w:tab/>
      </w:r>
    </w:p>
    <w:p w14:paraId="0B3F9A3D" w14:textId="5DE08D1D" w:rsidR="00731380" w:rsidRPr="00EF04FA" w:rsidRDefault="00B22EA6" w:rsidP="00A07C80">
      <w:pPr>
        <w:jc w:val="left"/>
        <w:rPr>
          <w:color w:val="000000" w:themeColor="text1"/>
        </w:rPr>
      </w:pPr>
      <w:r w:rsidRPr="00EF04FA">
        <w:rPr>
          <w:color w:val="000000" w:themeColor="text1"/>
        </w:rPr>
        <w:t>Glede na navedeno Mestnemu svetu Mestne občine Nova Gorica predlagamo, da predlog sklepa obravnava in sprejme.</w:t>
      </w:r>
    </w:p>
    <w:p w14:paraId="054AB4AC" w14:textId="77777777" w:rsidR="006E0251" w:rsidRDefault="006E0251" w:rsidP="00B22EA6"/>
    <w:p w14:paraId="17465817" w14:textId="2C22C447" w:rsidR="00A03315" w:rsidRDefault="00A03315" w:rsidP="00A03315">
      <w:pPr>
        <w:pStyle w:val="Podpisoseba"/>
        <w:spacing w:before="0" w:after="0"/>
        <w:ind w:left="709"/>
        <w:rPr>
          <w:bCs w:val="0"/>
        </w:rPr>
      </w:pPr>
      <w:r w:rsidRPr="00110838">
        <w:rPr>
          <w:bCs w:val="0"/>
        </w:rPr>
        <w:t>Pripravil</w:t>
      </w:r>
      <w:r w:rsidR="00283A27">
        <w:rPr>
          <w:bCs w:val="0"/>
        </w:rPr>
        <w:t>a:</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5EDE9153" w14:textId="77777777" w:rsidTr="00C818D4">
        <w:tc>
          <w:tcPr>
            <w:tcW w:w="4956" w:type="dxa"/>
          </w:tcPr>
          <w:p w14:paraId="00AE3031" w14:textId="77777777" w:rsidR="00A03315" w:rsidRPr="00E639CC" w:rsidRDefault="00A03315" w:rsidP="00C818D4">
            <w:pPr>
              <w:pStyle w:val="Podpisoseba"/>
              <w:spacing w:before="0" w:after="0"/>
              <w:rPr>
                <w:b/>
                <w:color w:val="FFFFFF" w:themeColor="background1"/>
              </w:rPr>
            </w:pPr>
            <w:r w:rsidRPr="00E639CC">
              <w:rPr>
                <w:b/>
                <w:color w:val="FFFFFF" w:themeColor="background1"/>
              </w:rPr>
              <w:t>Levi podpisnik</w:t>
            </w:r>
          </w:p>
        </w:tc>
        <w:tc>
          <w:tcPr>
            <w:tcW w:w="3549" w:type="dxa"/>
          </w:tcPr>
          <w:p w14:paraId="357B865E" w14:textId="77777777" w:rsidR="00A03315" w:rsidRPr="00E639CC" w:rsidRDefault="00A03315" w:rsidP="00C818D4">
            <w:pPr>
              <w:pStyle w:val="Podpisoseba"/>
              <w:spacing w:before="0" w:after="0"/>
              <w:rPr>
                <w:b/>
                <w:color w:val="FFFFFF" w:themeColor="background1"/>
              </w:rPr>
            </w:pPr>
            <w:r w:rsidRPr="00E639CC">
              <w:rPr>
                <w:b/>
                <w:color w:val="FFFFFF" w:themeColor="background1"/>
              </w:rPr>
              <w:t>Desnik podpisnik</w:t>
            </w:r>
          </w:p>
        </w:tc>
      </w:tr>
      <w:tr w:rsidR="00A03315" w14:paraId="6A2F508B" w14:textId="77777777" w:rsidTr="00C818D4">
        <w:tc>
          <w:tcPr>
            <w:tcW w:w="4956" w:type="dxa"/>
          </w:tcPr>
          <w:p w14:paraId="1B7A05E8" w14:textId="0C79930D" w:rsidR="00A03315" w:rsidRPr="00D51EE1" w:rsidRDefault="00A03315" w:rsidP="00C818D4">
            <w:pPr>
              <w:pStyle w:val="Podpisoseba"/>
              <w:spacing w:before="0" w:after="0"/>
              <w:rPr>
                <w:b/>
                <w:bCs w:val="0"/>
              </w:rPr>
            </w:pPr>
          </w:p>
        </w:tc>
        <w:tc>
          <w:tcPr>
            <w:tcW w:w="3549" w:type="dxa"/>
          </w:tcPr>
          <w:p w14:paraId="33414636" w14:textId="43F2B6CB" w:rsidR="00A03315" w:rsidRPr="00D51EE1" w:rsidRDefault="0045587F" w:rsidP="00C818D4">
            <w:pPr>
              <w:pStyle w:val="Podpisoseba"/>
              <w:spacing w:before="0" w:after="0"/>
              <w:rPr>
                <w:b/>
                <w:bCs w:val="0"/>
              </w:rPr>
            </w:pPr>
            <w:r>
              <w:rPr>
                <w:b/>
                <w:bCs w:val="0"/>
              </w:rPr>
              <w:t>mag. Marinka Saksida</w:t>
            </w:r>
          </w:p>
        </w:tc>
      </w:tr>
      <w:tr w:rsidR="00A03315" w14:paraId="04CA288A" w14:textId="77777777" w:rsidTr="00C818D4">
        <w:tc>
          <w:tcPr>
            <w:tcW w:w="4956" w:type="dxa"/>
          </w:tcPr>
          <w:p w14:paraId="3F3224E8" w14:textId="77777777" w:rsidR="00A03315" w:rsidRPr="00334753" w:rsidRDefault="00F77F2C" w:rsidP="00C818D4">
            <w:pPr>
              <w:pStyle w:val="Podpisoseba"/>
              <w:spacing w:before="0" w:after="0"/>
              <w:ind w:right="459"/>
              <w:rPr>
                <w:b/>
                <w:bCs w:val="0"/>
              </w:rPr>
            </w:pPr>
            <w:r w:rsidRPr="00334753">
              <w:rPr>
                <w:b/>
                <w:bCs w:val="0"/>
              </w:rPr>
              <w:t>Majda Petejan</w:t>
            </w:r>
          </w:p>
          <w:p w14:paraId="3431D6EA" w14:textId="49CA1A99" w:rsidR="006E0251" w:rsidRPr="00E639CC" w:rsidRDefault="006E0251" w:rsidP="00C818D4">
            <w:pPr>
              <w:pStyle w:val="Podpisoseba"/>
              <w:spacing w:before="0" w:after="0"/>
              <w:ind w:right="459"/>
              <w:rPr>
                <w:bCs w:val="0"/>
              </w:rPr>
            </w:pPr>
            <w:r>
              <w:t>Višja svetovalka za družbene dejavn</w:t>
            </w:r>
            <w:r w:rsidR="00283A27">
              <w:t>osti</w:t>
            </w:r>
          </w:p>
        </w:tc>
        <w:tc>
          <w:tcPr>
            <w:tcW w:w="3549" w:type="dxa"/>
          </w:tcPr>
          <w:p w14:paraId="770E907E" w14:textId="4FE13AEF" w:rsidR="00A03315" w:rsidRPr="00E639CC" w:rsidRDefault="003436F9" w:rsidP="00C818D4">
            <w:pPr>
              <w:pStyle w:val="Podpisoseba"/>
              <w:spacing w:before="0" w:after="0"/>
              <w:rPr>
                <w:bCs w:val="0"/>
              </w:rPr>
            </w:pPr>
            <w:r>
              <w:rPr>
                <w:bCs w:val="0"/>
              </w:rPr>
              <w:t>v</w:t>
            </w:r>
            <w:r w:rsidR="0045587F">
              <w:rPr>
                <w:bCs w:val="0"/>
              </w:rPr>
              <w:t xml:space="preserve">odja Oddelka </w:t>
            </w:r>
            <w:r w:rsidR="001166E7">
              <w:rPr>
                <w:bCs w:val="0"/>
              </w:rPr>
              <w:t>za družbe</w:t>
            </w:r>
            <w:r>
              <w:rPr>
                <w:bCs w:val="0"/>
              </w:rPr>
              <w:t>ne dejavnosti</w:t>
            </w:r>
          </w:p>
        </w:tc>
      </w:tr>
    </w:tbl>
    <w:p w14:paraId="3383A950" w14:textId="77777777" w:rsidR="00731380" w:rsidRDefault="00731380" w:rsidP="00352A82"/>
    <w:sectPr w:rsidR="00731380"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EA6E" w14:textId="77777777" w:rsidR="00C258AE" w:rsidRDefault="00C258AE" w:rsidP="00352A82">
      <w:r>
        <w:separator/>
      </w:r>
    </w:p>
  </w:endnote>
  <w:endnote w:type="continuationSeparator" w:id="0">
    <w:p w14:paraId="5B07A6C0" w14:textId="77777777" w:rsidR="00C258AE" w:rsidRDefault="00C258AE"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6B265" w14:textId="77777777" w:rsidR="00C258AE" w:rsidRDefault="00C258AE" w:rsidP="00352A82">
      <w:r>
        <w:separator/>
      </w:r>
    </w:p>
  </w:footnote>
  <w:footnote w:type="continuationSeparator" w:id="0">
    <w:p w14:paraId="7475A23D" w14:textId="77777777" w:rsidR="00C258AE" w:rsidRDefault="00C258AE"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58240"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5"/>
  </w:num>
  <w:num w:numId="2" w16cid:durableId="1164929981">
    <w:abstractNumId w:val="8"/>
  </w:num>
  <w:num w:numId="3" w16cid:durableId="1314213452">
    <w:abstractNumId w:val="0"/>
  </w:num>
  <w:num w:numId="4" w16cid:durableId="629288842">
    <w:abstractNumId w:val="3"/>
  </w:num>
  <w:num w:numId="5" w16cid:durableId="738939049">
    <w:abstractNumId w:val="7"/>
  </w:num>
  <w:num w:numId="6" w16cid:durableId="1657220828">
    <w:abstractNumId w:val="9"/>
  </w:num>
  <w:num w:numId="7" w16cid:durableId="1256210005">
    <w:abstractNumId w:val="1"/>
  </w:num>
  <w:num w:numId="8" w16cid:durableId="620721476">
    <w:abstractNumId w:val="2"/>
  </w:num>
  <w:num w:numId="9" w16cid:durableId="1223718357">
    <w:abstractNumId w:val="4"/>
  </w:num>
  <w:num w:numId="10" w16cid:durableId="767116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3EC3"/>
    <w:rsid w:val="0005678C"/>
    <w:rsid w:val="000629C6"/>
    <w:rsid w:val="000634A1"/>
    <w:rsid w:val="00065C11"/>
    <w:rsid w:val="00077FEF"/>
    <w:rsid w:val="000807CE"/>
    <w:rsid w:val="00083CA2"/>
    <w:rsid w:val="00084F6E"/>
    <w:rsid w:val="000A2B20"/>
    <w:rsid w:val="000A4106"/>
    <w:rsid w:val="000A4D21"/>
    <w:rsid w:val="000C6070"/>
    <w:rsid w:val="000D6C77"/>
    <w:rsid w:val="000D6E7C"/>
    <w:rsid w:val="000E423D"/>
    <w:rsid w:val="000E5815"/>
    <w:rsid w:val="000F0101"/>
    <w:rsid w:val="00101B99"/>
    <w:rsid w:val="00105824"/>
    <w:rsid w:val="00110838"/>
    <w:rsid w:val="00111657"/>
    <w:rsid w:val="001121DC"/>
    <w:rsid w:val="001137D1"/>
    <w:rsid w:val="001166E7"/>
    <w:rsid w:val="00145A3D"/>
    <w:rsid w:val="00167093"/>
    <w:rsid w:val="001732D3"/>
    <w:rsid w:val="00180A4B"/>
    <w:rsid w:val="00180B7C"/>
    <w:rsid w:val="001921B6"/>
    <w:rsid w:val="00192B9A"/>
    <w:rsid w:val="001B2389"/>
    <w:rsid w:val="001C22C2"/>
    <w:rsid w:val="001C491B"/>
    <w:rsid w:val="001C6438"/>
    <w:rsid w:val="001D648E"/>
    <w:rsid w:val="001D7013"/>
    <w:rsid w:val="001F3A75"/>
    <w:rsid w:val="00223FFE"/>
    <w:rsid w:val="0022510F"/>
    <w:rsid w:val="00226E0E"/>
    <w:rsid w:val="00246668"/>
    <w:rsid w:val="00276B79"/>
    <w:rsid w:val="00283A27"/>
    <w:rsid w:val="0028430E"/>
    <w:rsid w:val="0028622D"/>
    <w:rsid w:val="002B08B0"/>
    <w:rsid w:val="002B500B"/>
    <w:rsid w:val="002C5788"/>
    <w:rsid w:val="002D3F6B"/>
    <w:rsid w:val="002E5FEC"/>
    <w:rsid w:val="002F7D8D"/>
    <w:rsid w:val="00327DDF"/>
    <w:rsid w:val="003311D3"/>
    <w:rsid w:val="00334753"/>
    <w:rsid w:val="003436F9"/>
    <w:rsid w:val="00351A62"/>
    <w:rsid w:val="00352A82"/>
    <w:rsid w:val="00355F3A"/>
    <w:rsid w:val="00356D58"/>
    <w:rsid w:val="00366240"/>
    <w:rsid w:val="003815F8"/>
    <w:rsid w:val="003924F9"/>
    <w:rsid w:val="003939D8"/>
    <w:rsid w:val="0039457F"/>
    <w:rsid w:val="003A0AE4"/>
    <w:rsid w:val="003B11F7"/>
    <w:rsid w:val="003B1CE4"/>
    <w:rsid w:val="003E53BB"/>
    <w:rsid w:val="003F3284"/>
    <w:rsid w:val="003F4D57"/>
    <w:rsid w:val="004129EE"/>
    <w:rsid w:val="00437881"/>
    <w:rsid w:val="00440526"/>
    <w:rsid w:val="00445A64"/>
    <w:rsid w:val="0045587F"/>
    <w:rsid w:val="00463FA4"/>
    <w:rsid w:val="00486063"/>
    <w:rsid w:val="004953C5"/>
    <w:rsid w:val="004B31A9"/>
    <w:rsid w:val="004D3A89"/>
    <w:rsid w:val="004E242E"/>
    <w:rsid w:val="005062D8"/>
    <w:rsid w:val="005210F0"/>
    <w:rsid w:val="00521E9E"/>
    <w:rsid w:val="00535F70"/>
    <w:rsid w:val="005447C4"/>
    <w:rsid w:val="00581BE7"/>
    <w:rsid w:val="00581F02"/>
    <w:rsid w:val="005A4645"/>
    <w:rsid w:val="005B0914"/>
    <w:rsid w:val="005C20E8"/>
    <w:rsid w:val="005C21D3"/>
    <w:rsid w:val="005C6EAA"/>
    <w:rsid w:val="005D075A"/>
    <w:rsid w:val="005F39D5"/>
    <w:rsid w:val="00611051"/>
    <w:rsid w:val="0061640A"/>
    <w:rsid w:val="00644C37"/>
    <w:rsid w:val="0064644F"/>
    <w:rsid w:val="0066085E"/>
    <w:rsid w:val="006620F0"/>
    <w:rsid w:val="006B03B8"/>
    <w:rsid w:val="006B324E"/>
    <w:rsid w:val="006D40D5"/>
    <w:rsid w:val="006E0251"/>
    <w:rsid w:val="007043F1"/>
    <w:rsid w:val="00714788"/>
    <w:rsid w:val="00722BD8"/>
    <w:rsid w:val="00722FAC"/>
    <w:rsid w:val="00731380"/>
    <w:rsid w:val="00734A18"/>
    <w:rsid w:val="0074560B"/>
    <w:rsid w:val="00774DD1"/>
    <w:rsid w:val="007905AE"/>
    <w:rsid w:val="0079172C"/>
    <w:rsid w:val="00791DB2"/>
    <w:rsid w:val="00793022"/>
    <w:rsid w:val="00794909"/>
    <w:rsid w:val="00796028"/>
    <w:rsid w:val="007F6736"/>
    <w:rsid w:val="00810854"/>
    <w:rsid w:val="00811B8D"/>
    <w:rsid w:val="008121A7"/>
    <w:rsid w:val="0081298C"/>
    <w:rsid w:val="008523A6"/>
    <w:rsid w:val="00873CAB"/>
    <w:rsid w:val="008749AC"/>
    <w:rsid w:val="008759F5"/>
    <w:rsid w:val="008802E3"/>
    <w:rsid w:val="008821D4"/>
    <w:rsid w:val="00896EAD"/>
    <w:rsid w:val="008B60DC"/>
    <w:rsid w:val="008C6575"/>
    <w:rsid w:val="008C73BF"/>
    <w:rsid w:val="008D4544"/>
    <w:rsid w:val="008F21D2"/>
    <w:rsid w:val="008F55B6"/>
    <w:rsid w:val="008F5DCA"/>
    <w:rsid w:val="009060A3"/>
    <w:rsid w:val="00923A6E"/>
    <w:rsid w:val="00952E39"/>
    <w:rsid w:val="009B227A"/>
    <w:rsid w:val="009C4BA8"/>
    <w:rsid w:val="009F260B"/>
    <w:rsid w:val="00A03315"/>
    <w:rsid w:val="00A07C80"/>
    <w:rsid w:val="00A10B7D"/>
    <w:rsid w:val="00A424B9"/>
    <w:rsid w:val="00A545E0"/>
    <w:rsid w:val="00A66908"/>
    <w:rsid w:val="00A7398A"/>
    <w:rsid w:val="00A9127C"/>
    <w:rsid w:val="00A9136F"/>
    <w:rsid w:val="00A95A58"/>
    <w:rsid w:val="00AA0E65"/>
    <w:rsid w:val="00AA4BC6"/>
    <w:rsid w:val="00AA4BFD"/>
    <w:rsid w:val="00AB01F8"/>
    <w:rsid w:val="00AB1AA0"/>
    <w:rsid w:val="00AC19AE"/>
    <w:rsid w:val="00AC2AC6"/>
    <w:rsid w:val="00AE5377"/>
    <w:rsid w:val="00AF675B"/>
    <w:rsid w:val="00B00D22"/>
    <w:rsid w:val="00B22EA6"/>
    <w:rsid w:val="00B53C94"/>
    <w:rsid w:val="00B55891"/>
    <w:rsid w:val="00B65909"/>
    <w:rsid w:val="00B71AF7"/>
    <w:rsid w:val="00BA109B"/>
    <w:rsid w:val="00BC00DF"/>
    <w:rsid w:val="00BC7966"/>
    <w:rsid w:val="00BD689A"/>
    <w:rsid w:val="00BE5B70"/>
    <w:rsid w:val="00C05F81"/>
    <w:rsid w:val="00C10614"/>
    <w:rsid w:val="00C258AE"/>
    <w:rsid w:val="00C33F87"/>
    <w:rsid w:val="00C463E5"/>
    <w:rsid w:val="00C50EB4"/>
    <w:rsid w:val="00C56046"/>
    <w:rsid w:val="00C60D3A"/>
    <w:rsid w:val="00C67D5C"/>
    <w:rsid w:val="00C7627D"/>
    <w:rsid w:val="00C81A92"/>
    <w:rsid w:val="00C973E8"/>
    <w:rsid w:val="00CA2FFD"/>
    <w:rsid w:val="00CB20E3"/>
    <w:rsid w:val="00CC3F17"/>
    <w:rsid w:val="00CD0869"/>
    <w:rsid w:val="00CD37C5"/>
    <w:rsid w:val="00CF0B4F"/>
    <w:rsid w:val="00D06F23"/>
    <w:rsid w:val="00D078ED"/>
    <w:rsid w:val="00D42C66"/>
    <w:rsid w:val="00D51EE1"/>
    <w:rsid w:val="00D5603A"/>
    <w:rsid w:val="00D64C65"/>
    <w:rsid w:val="00D81991"/>
    <w:rsid w:val="00D83B90"/>
    <w:rsid w:val="00D924E2"/>
    <w:rsid w:val="00D977DC"/>
    <w:rsid w:val="00DA69BC"/>
    <w:rsid w:val="00DE2A35"/>
    <w:rsid w:val="00DE566E"/>
    <w:rsid w:val="00DE7B81"/>
    <w:rsid w:val="00DF779D"/>
    <w:rsid w:val="00E1207F"/>
    <w:rsid w:val="00E217AD"/>
    <w:rsid w:val="00E33D8E"/>
    <w:rsid w:val="00E57102"/>
    <w:rsid w:val="00E6296A"/>
    <w:rsid w:val="00E634DD"/>
    <w:rsid w:val="00E639CC"/>
    <w:rsid w:val="00E71096"/>
    <w:rsid w:val="00E876FD"/>
    <w:rsid w:val="00EC49DA"/>
    <w:rsid w:val="00ED15C1"/>
    <w:rsid w:val="00ED7977"/>
    <w:rsid w:val="00EE5DDF"/>
    <w:rsid w:val="00EE7C24"/>
    <w:rsid w:val="00EF04FA"/>
    <w:rsid w:val="00F12361"/>
    <w:rsid w:val="00F1637F"/>
    <w:rsid w:val="00F24C66"/>
    <w:rsid w:val="00F27B9D"/>
    <w:rsid w:val="00F27F42"/>
    <w:rsid w:val="00F34CC3"/>
    <w:rsid w:val="00F40810"/>
    <w:rsid w:val="00F4231E"/>
    <w:rsid w:val="00F5055D"/>
    <w:rsid w:val="00F5540D"/>
    <w:rsid w:val="00F67284"/>
    <w:rsid w:val="00F770B1"/>
    <w:rsid w:val="00F77F2C"/>
    <w:rsid w:val="00F811AF"/>
    <w:rsid w:val="00FB5F10"/>
    <w:rsid w:val="00FB7287"/>
    <w:rsid w:val="00FE5B48"/>
    <w:rsid w:val="00FF6DBC"/>
    <w:rsid w:val="00FF70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FA82E-41FB-49D3-AEE3-3C45F0ED5BE6}">
  <ds:schemaRefs>
    <ds:schemaRef ds:uri="http://schemas.microsoft.com/sharepoint/v3/contenttype/forms"/>
  </ds:schemaRefs>
</ds:datastoreItem>
</file>

<file path=customXml/itemProps2.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1848</Words>
  <Characters>10536</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38</cp:revision>
  <cp:lastPrinted>2025-02-19T07:16:00Z</cp:lastPrinted>
  <dcterms:created xsi:type="dcterms:W3CDTF">2026-01-15T10:34:00Z</dcterms:created>
  <dcterms:modified xsi:type="dcterms:W3CDTF">2026-01-15T14:16:00Z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