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A28A0F5" w:rsidR="0066085E" w:rsidRDefault="00552454"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6E47D9F8">
                <wp:simplePos x="0" y="0"/>
                <wp:positionH relativeFrom="page">
                  <wp:posOffset>5572125</wp:posOffset>
                </wp:positionH>
                <wp:positionV relativeFrom="page">
                  <wp:posOffset>1076325</wp:posOffset>
                </wp:positionV>
                <wp:extent cx="981075" cy="923925"/>
                <wp:effectExtent l="0" t="0" r="28575" b="28575"/>
                <wp:wrapThrough wrapText="bothSides">
                  <wp:wrapPolygon edited="0">
                    <wp:start x="0" y="0"/>
                    <wp:lineTo x="0" y="21823"/>
                    <wp:lineTo x="21810" y="21823"/>
                    <wp:lineTo x="21810" y="0"/>
                    <wp:lineTo x="0" y="0"/>
                  </wp:wrapPolygon>
                </wp:wrapThrough>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1075" cy="9239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1C5D8" id="Pravokotnik 18" o:spid="_x0000_s1026" alt="&quot;&quot;" style="position:absolute;margin-left:438.75pt;margin-top:84.75pt;width:77.25pt;height:7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" fillcolor="white [3201]" strokecolor="black [3200]" strokeweight="1pt">
                <w10:wrap type="through" anchorx="page" anchory="page"/>
              </v:rect>
            </w:pict>
          </mc:Fallback>
        </mc:AlternateContent>
      </w:r>
      <w:r>
        <mc:AlternateContent>
          <mc:Choice Requires="wps">
            <w:drawing>
              <wp:anchor distT="45720" distB="45720" distL="114300" distR="114300" simplePos="0" relativeHeight="251661312" behindDoc="0" locked="0" layoutInCell="1" allowOverlap="1" wp14:anchorId="18D38E96" wp14:editId="79D3E363">
                <wp:simplePos x="0" y="0"/>
                <wp:positionH relativeFrom="column">
                  <wp:posOffset>4719320</wp:posOffset>
                </wp:positionH>
                <wp:positionV relativeFrom="paragraph">
                  <wp:posOffset>15240</wp:posOffset>
                </wp:positionV>
                <wp:extent cx="914400" cy="59055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solidFill>
                          <a:srgbClr val="FFFFFF"/>
                        </a:solidFill>
                        <a:ln w="9525">
                          <a:noFill/>
                          <a:miter lim="800000"/>
                          <a:headEnd/>
                          <a:tailEnd/>
                        </a:ln>
                      </wps:spPr>
                      <wps:txbx>
                        <w:txbxContent>
                          <w:p w14:paraId="79C32D9A" w14:textId="49780C96" w:rsidR="00445A64" w:rsidRPr="000E5815" w:rsidRDefault="001E7502" w:rsidP="00445A64">
                            <w:pPr>
                              <w:pStyle w:val="tevilka"/>
                              <w:rPr>
                                <w:sz w:val="80"/>
                                <w:szCs w:val="80"/>
                              </w:rPr>
                            </w:pPr>
                            <w:r>
                              <w:rPr>
                                <w:sz w:val="80"/>
                                <w:szCs w:val="8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1.6pt;margin-top:1.2pt;width:1in;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" stroked="f">
                <v:textbox>
                  <w:txbxContent>
                    <w:p w14:paraId="79C32D9A" w14:textId="49780C96" w:rsidR="00445A64" w:rsidRPr="000E5815" w:rsidRDefault="001E7502" w:rsidP="00445A64">
                      <w:pPr>
                        <w:pStyle w:val="tevilka"/>
                        <w:rPr>
                          <w:sz w:val="80"/>
                          <w:szCs w:val="80"/>
                        </w:rPr>
                      </w:pPr>
                      <w:r>
                        <w:rPr>
                          <w:sz w:val="80"/>
                          <w:szCs w:val="80"/>
                        </w:rPr>
                        <w:t>12</w:t>
                      </w:r>
                    </w:p>
                  </w:txbxContent>
                </v:textbox>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36FD8CEE" w:rsidR="0066085E" w:rsidRDefault="0066085E" w:rsidP="00BE5B70">
      <w:pPr>
        <w:pStyle w:val="stevilkadokumenta"/>
      </w:pPr>
      <w:r w:rsidRPr="00BE5B70">
        <w:rPr>
          <w:rStyle w:val="ZvezaZnak"/>
          <w:bCs/>
          <w:sz w:val="20"/>
          <w:u w:val="none"/>
        </w:rPr>
        <w:t xml:space="preserve">Številka: </w:t>
      </w:r>
      <w:r w:rsidR="006E4140" w:rsidRPr="006E4140">
        <w:rPr>
          <w:rStyle w:val="ZvezaZnak"/>
          <w:bCs/>
          <w:sz w:val="20"/>
          <w:u w:val="none"/>
        </w:rPr>
        <w:t>410-5/2023</w:t>
      </w:r>
      <w:r w:rsidR="00352A82" w:rsidRPr="00BE5B70">
        <w:rPr>
          <w:rStyle w:val="ZvezaZnak"/>
          <w:bCs/>
          <w:sz w:val="20"/>
          <w:u w:val="none"/>
        </w:rPr>
        <w:br/>
      </w:r>
      <w:r w:rsidRPr="00BE5B70">
        <w:t xml:space="preserve">Nova Gorica, dne </w:t>
      </w:r>
      <w:r w:rsidR="00792010">
        <w:t>3</w:t>
      </w:r>
      <w:r w:rsidR="001F323F">
        <w:t>.</w:t>
      </w:r>
      <w:r w:rsidR="00014BB2">
        <w:t xml:space="preserve"> </w:t>
      </w:r>
      <w:r w:rsidR="00792010">
        <w:t>decembra</w:t>
      </w:r>
      <w:r w:rsidR="00014BB2">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1E8511B9" w:rsidR="0066085E" w:rsidRDefault="0066085E" w:rsidP="009B227A">
      <w:pPr>
        <w:pStyle w:val="Naslov1"/>
        <w:spacing w:before="240" w:after="240"/>
        <w:ind w:left="4395" w:hanging="3686"/>
      </w:pPr>
      <w:r w:rsidRPr="00A9136F">
        <w:rPr>
          <w:sz w:val="20"/>
          <w:szCs w:val="20"/>
        </w:rPr>
        <w:t>NASLOV:</w:t>
      </w:r>
      <w:r>
        <w:tab/>
      </w:r>
      <w:r w:rsidR="00014BB2" w:rsidRPr="001F323F">
        <w:rPr>
          <w:sz w:val="20"/>
          <w:szCs w:val="20"/>
        </w:rPr>
        <w:t xml:space="preserve">Predlog </w:t>
      </w:r>
      <w:r w:rsidR="00B907CB" w:rsidRPr="001F323F">
        <w:rPr>
          <w:sz w:val="20"/>
          <w:szCs w:val="20"/>
        </w:rPr>
        <w:t>Sklepa o podaji soglasja k zadolževanju Stanovanjskega sklada Mestne občine Nova Gorica</w:t>
      </w:r>
      <w:r w:rsidR="00014BB2">
        <w:t xml:space="preserve"> </w:t>
      </w:r>
    </w:p>
    <w:p w14:paraId="4EB48263" w14:textId="118CE1D1"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3E2C39">
        <w:rPr>
          <w:rStyle w:val="gradivoZnak"/>
        </w:rPr>
        <w:t>Urad direktorja</w:t>
      </w:r>
    </w:p>
    <w:p w14:paraId="2589E91B" w14:textId="027765B0" w:rsidR="0066085E" w:rsidRDefault="0066085E" w:rsidP="00FB7287">
      <w:pPr>
        <w:ind w:left="4395" w:hanging="3686"/>
      </w:pPr>
      <w:r w:rsidRPr="00FB7287">
        <w:rPr>
          <w:b/>
          <w:bCs w:val="0"/>
        </w:rPr>
        <w:t>IZDELOVALEC GRADIVA:</w:t>
      </w:r>
      <w:r w:rsidR="00FB7287">
        <w:tab/>
      </w:r>
      <w:r w:rsidR="008B4D90">
        <w:t>/</w:t>
      </w:r>
    </w:p>
    <w:p w14:paraId="11F58982" w14:textId="3EF2E03E"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A90AA4">
        <w:t>Peter Jan, direktor Stanovanjskega sklada Mestne občine Nova Gorica</w:t>
      </w:r>
    </w:p>
    <w:p w14:paraId="75A8D632" w14:textId="61FE1EA1" w:rsidR="0066085E" w:rsidRDefault="0066085E" w:rsidP="00FB7287">
      <w:pPr>
        <w:ind w:left="4395" w:hanging="3686"/>
      </w:pPr>
      <w:r w:rsidRPr="00FB7287">
        <w:rPr>
          <w:b/>
          <w:bCs w:val="0"/>
        </w:rPr>
        <w:t xml:space="preserve">PRISTOJNO DELOVNO </w:t>
      </w:r>
      <w:r w:rsidR="002579A6" w:rsidRPr="002579A6">
        <w:rPr>
          <w:b/>
          <w:bCs w:val="0"/>
        </w:rPr>
        <w:t>TELO</w:t>
      </w:r>
      <w:r>
        <w:t xml:space="preserve">: </w:t>
      </w:r>
      <w:r>
        <w:tab/>
      </w:r>
      <w:r w:rsidR="00014BB2">
        <w:t>Odbor za prostor</w:t>
      </w:r>
      <w:r w:rsidR="003E19F4">
        <w:t>, Odbor za gospodarstvo</w:t>
      </w:r>
    </w:p>
    <w:p w14:paraId="4C9319DA" w14:textId="7B5A35DC" w:rsidR="0066085E" w:rsidRPr="00FB7287" w:rsidRDefault="0066085E" w:rsidP="00352A82">
      <w:pPr>
        <w:rPr>
          <w:b/>
          <w:bCs w:val="0"/>
        </w:rPr>
      </w:pPr>
      <w:r w:rsidRPr="00FB7287">
        <w:rPr>
          <w:b/>
          <w:bCs w:val="0"/>
        </w:rPr>
        <w:t xml:space="preserve">PREDLOG SKLEPA: </w:t>
      </w:r>
    </w:p>
    <w:p w14:paraId="267E24A6" w14:textId="01CD384B" w:rsidR="00FB7287" w:rsidRDefault="00FB7287" w:rsidP="000E5815">
      <w:r w:rsidRPr="0008026B">
        <w:t xml:space="preserve">Mestni svet Mestne občine Nova Gorica sprejme Sklep </w:t>
      </w:r>
      <w:bookmarkStart w:id="0" w:name="_Hlk195615944"/>
      <w:r w:rsidR="00A90AA4">
        <w:t xml:space="preserve">o </w:t>
      </w:r>
      <w:r w:rsidR="00B907CB">
        <w:t>podaji soglasja k zadolževanju Stanovnajskega sklada Mestne občine Nova Gorica</w:t>
      </w:r>
      <w:r w:rsidR="00700F65">
        <w:t>.</w:t>
      </w:r>
    </w:p>
    <w:p w14:paraId="4AD67041" w14:textId="78349459" w:rsidR="00FB7287" w:rsidRDefault="00FB7287"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1BC99AF4" w:rsidR="00FB7287" w:rsidRPr="00E639CC" w:rsidRDefault="006E4140" w:rsidP="00C818D4">
            <w:pPr>
              <w:pStyle w:val="Podpisoseba"/>
              <w:spacing w:before="0" w:after="0"/>
              <w:rPr>
                <w:bCs w:val="0"/>
              </w:rPr>
            </w:pPr>
            <w:r>
              <w:t>Ž</w:t>
            </w:r>
            <w:r w:rsidR="00FB7287" w:rsidRPr="00E639CC">
              <w:t>upan</w:t>
            </w:r>
          </w:p>
        </w:tc>
      </w:tr>
      <w:bookmarkEnd w:id="0"/>
    </w:tbl>
    <w:p w14:paraId="44177559" w14:textId="77777777" w:rsidR="00FB7287" w:rsidRDefault="00FB7287" w:rsidP="00BE5B70">
      <w:pPr>
        <w:rPr>
          <w:rStyle w:val="ZvezaZnak"/>
          <w:bCs/>
          <w:sz w:val="20"/>
          <w:u w:val="none"/>
        </w:rPr>
      </w:pPr>
    </w:p>
    <w:p w14:paraId="0AA99D03" w14:textId="77777777" w:rsidR="003E19F4" w:rsidRPr="00BE5B70" w:rsidRDefault="003E19F4"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06E92462" w:rsidR="00774DD1" w:rsidRPr="003F1BB6" w:rsidRDefault="0066085E" w:rsidP="00774DD1">
      <w:pPr>
        <w:pStyle w:val="gradivo"/>
        <w:numPr>
          <w:ilvl w:val="0"/>
          <w:numId w:val="10"/>
        </w:numPr>
      </w:pPr>
      <w:r w:rsidRPr="003F1BB6">
        <w:t>predlog sklepa</w:t>
      </w:r>
    </w:p>
    <w:p w14:paraId="35EBE53F" w14:textId="20D2FA9F" w:rsidR="001C491B" w:rsidRPr="003F1BB6" w:rsidRDefault="00014BB2" w:rsidP="001910BA">
      <w:pPr>
        <w:pStyle w:val="Odstavekseznama"/>
        <w:numPr>
          <w:ilvl w:val="0"/>
          <w:numId w:val="10"/>
        </w:numPr>
        <w:spacing w:after="0" w:line="240" w:lineRule="auto"/>
        <w:ind w:right="0"/>
        <w:jc w:val="left"/>
      </w:pPr>
      <w:r w:rsidRPr="003F1BB6">
        <w:t xml:space="preserve">Sklep Nadzornega sveta št. </w:t>
      </w:r>
      <w:r w:rsidR="003F1BB6" w:rsidRPr="003F1BB6">
        <w:t>471-2/2025-2 z dne 26.</w:t>
      </w:r>
      <w:r w:rsidR="003E19F4">
        <w:t xml:space="preserve"> </w:t>
      </w:r>
      <w:r w:rsidR="003F1BB6" w:rsidRPr="003F1BB6">
        <w:t>11.</w:t>
      </w:r>
      <w:r w:rsidR="003E19F4">
        <w:t xml:space="preserve"> </w:t>
      </w:r>
      <w:r w:rsidR="003F1BB6" w:rsidRPr="003F1BB6">
        <w:t>2025</w:t>
      </w:r>
    </w:p>
    <w:p w14:paraId="46780F20" w14:textId="77777777" w:rsidR="00014BB2" w:rsidRDefault="00014BB2"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544422C2"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74A84566" w:rsidR="000E5815" w:rsidRPr="000E5815" w:rsidRDefault="003E19F4" w:rsidP="000E5815">
                            <w:pPr>
                              <w:pStyle w:val="tevilka"/>
                              <w:rPr>
                                <w:sz w:val="50"/>
                                <w:szCs w:val="50"/>
                              </w:rPr>
                            </w:pPr>
                            <w:r>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74A84566" w:rsidR="000E5815" w:rsidRPr="000E5815" w:rsidRDefault="003E19F4" w:rsidP="000E5815">
                      <w:pPr>
                        <w:pStyle w:val="tevilka"/>
                        <w:rPr>
                          <w:sz w:val="50"/>
                          <w:szCs w:val="50"/>
                        </w:rPr>
                      </w:pPr>
                      <w:r>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4C370"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964AD4">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3520A72F" w14:textId="0D311C90" w:rsidR="0000149D" w:rsidRPr="0000149D" w:rsidRDefault="0000149D" w:rsidP="003E19F4">
      <w:pPr>
        <w:jc w:val="left"/>
      </w:pPr>
      <w:r w:rsidRPr="0000149D">
        <w:t xml:space="preserve">Na podlagi 10.g člena Zakona o financiranju občin (Uradni list RS, št. 123/06, 57/08, 36/11, 14/15 – ZUUJFO, 71/17, in 21/18 – popr., 80/20 - ZIUOOPE, </w:t>
      </w:r>
      <w:hyperlink r:id="rId16" w:tgtFrame="_blank" w:tooltip="Zakon o finančni razbremenitvi občin" w:history="1">
        <w:r w:rsidRPr="0000149D">
          <w:t>189/20</w:t>
        </w:r>
      </w:hyperlink>
      <w:r w:rsidRPr="0000149D">
        <w:t xml:space="preserve"> – ZFRO, </w:t>
      </w:r>
      <w:hyperlink r:id="rId17" w:tgtFrame="_blank" w:tooltip="Zakon o spremembah in dopolnitvi Zakona o financiranju občin" w:history="1">
        <w:r w:rsidRPr="0000149D">
          <w:t>207/21</w:t>
        </w:r>
      </w:hyperlink>
      <w:r w:rsidRPr="0000149D">
        <w:t xml:space="preserve"> in </w:t>
      </w:r>
      <w:hyperlink r:id="rId18" w:tgtFrame="_blank" w:tooltip="Zakon o varstvu okolja" w:history="1">
        <w:r w:rsidRPr="0000149D">
          <w:t>44/22</w:t>
        </w:r>
      </w:hyperlink>
      <w:r w:rsidRPr="0000149D">
        <w:t xml:space="preserve"> – ZVO-2), 19. člena Odloka o proračunu Mestne občine Nova Gorica za leto 2025 (Uradni list RS, št. 134/23 in 109/24) in 19. člena Statuta Mestne občine Nova Gorica (Uradni list RS, št. 13/12, 18/17 in 18/19) je Mestni svet Mestne občine Nova Gorica na seji dne</w:t>
      </w:r>
      <w:r w:rsidR="006E4140">
        <w:t xml:space="preserve"> </w:t>
      </w:r>
      <w:r w:rsidRPr="0000149D">
        <w:rPr>
          <w:u w:val="single"/>
        </w:rPr>
        <w:t xml:space="preserve">             </w:t>
      </w:r>
      <w:r w:rsidRPr="0000149D">
        <w:t xml:space="preserve"> sprejel naslednji  </w:t>
      </w:r>
    </w:p>
    <w:p w14:paraId="500C863B" w14:textId="1DB2C564" w:rsidR="000E5815" w:rsidRPr="00352A82" w:rsidRDefault="00014BB2" w:rsidP="000E5815">
      <w:pPr>
        <w:pStyle w:val="Naslov1"/>
        <w:jc w:val="center"/>
      </w:pPr>
      <w:r>
        <w:t>S K L E P</w:t>
      </w:r>
    </w:p>
    <w:p w14:paraId="705A2F6D" w14:textId="77777777" w:rsidR="000E5815" w:rsidRDefault="000E5815" w:rsidP="000E5815">
      <w:pPr>
        <w:jc w:val="center"/>
      </w:pPr>
      <w:r>
        <w:t>1.</w:t>
      </w:r>
    </w:p>
    <w:p w14:paraId="6F9F9A8E" w14:textId="783BC3E8" w:rsidR="00BA1CFA" w:rsidRDefault="00BA1CFA" w:rsidP="006E4140">
      <w:pPr>
        <w:spacing w:after="0"/>
        <w:jc w:val="left"/>
      </w:pPr>
      <w:r w:rsidRPr="00BA1CFA">
        <w:t>Mestni svet Mestne občine Nova Gorica daje soglasje Stanovanjskemu skladu Mestne občine Nova Gorica k zadolževanju, in sicer za dolgoročni kredit za izvedbo projekta izgradnje večstanovanjskega objekta Rezidenca ob Korn</w:t>
      </w:r>
      <w:r w:rsidR="00673661">
        <w:t>u</w:t>
      </w:r>
      <w:r w:rsidRPr="00BA1CFA">
        <w:t>, Nova Gorica pod naslednjimi pogoji:</w:t>
      </w:r>
    </w:p>
    <w:p w14:paraId="22FDD52E" w14:textId="77777777" w:rsidR="001E3B7B" w:rsidRPr="00BA1CFA" w:rsidRDefault="001E3B7B" w:rsidP="006E4140">
      <w:pPr>
        <w:spacing w:after="0"/>
        <w:jc w:val="left"/>
      </w:pPr>
    </w:p>
    <w:p w14:paraId="58F934D7" w14:textId="77777777" w:rsidR="00BA1CFA" w:rsidRPr="00BA1CFA" w:rsidRDefault="00BA1CFA" w:rsidP="006E4140">
      <w:pPr>
        <w:pStyle w:val="Odstavekseznama"/>
        <w:jc w:val="left"/>
      </w:pPr>
      <w:r w:rsidRPr="00BA1CFA">
        <w:t>- v višini največ 1.000.000,00 EUR,</w:t>
      </w:r>
    </w:p>
    <w:p w14:paraId="6B6D14AA" w14:textId="77777777" w:rsidR="00BA1CFA" w:rsidRPr="00BA1CFA" w:rsidRDefault="00BA1CFA" w:rsidP="006E4140">
      <w:pPr>
        <w:pStyle w:val="Odstavekseznama"/>
        <w:jc w:val="left"/>
      </w:pPr>
      <w:r w:rsidRPr="00BA1CFA">
        <w:t>- z odplačilno dobo največ 10 let,</w:t>
      </w:r>
    </w:p>
    <w:p w14:paraId="52BEA190" w14:textId="583FD538" w:rsidR="00BA1CFA" w:rsidRPr="00BA1CFA" w:rsidRDefault="00BA1CFA" w:rsidP="006E4140">
      <w:pPr>
        <w:pStyle w:val="Odstavekseznama"/>
        <w:ind w:left="851" w:hanging="142"/>
        <w:jc w:val="left"/>
      </w:pPr>
      <w:r w:rsidRPr="00BA1CFA">
        <w:t xml:space="preserve">- s spremenljivo obrestno mero do največ 12 mesečni EURIBOR + 1,5% oz. fiksno </w:t>
      </w:r>
      <w:r w:rsidR="006E4140">
        <w:t xml:space="preserve">      </w:t>
      </w:r>
      <w:r w:rsidRPr="00BA1CFA">
        <w:t>obrestno mero največ 3,5 %,</w:t>
      </w:r>
    </w:p>
    <w:p w14:paraId="7648E90D" w14:textId="77777777" w:rsidR="00BA1CFA" w:rsidRPr="00BA1CFA" w:rsidRDefault="00BA1CFA" w:rsidP="006E4140">
      <w:pPr>
        <w:pStyle w:val="Odstavekseznama"/>
        <w:jc w:val="left"/>
      </w:pPr>
      <w:r w:rsidRPr="00BA1CFA">
        <w:t>- z zavarovanjem posojila z zastavitvijo nepremičnin sklada,</w:t>
      </w:r>
    </w:p>
    <w:p w14:paraId="66218C75" w14:textId="77777777" w:rsidR="00BA1CFA" w:rsidRPr="00BA1CFA" w:rsidRDefault="00BA1CFA" w:rsidP="006E4140">
      <w:pPr>
        <w:pStyle w:val="Odstavekseznama"/>
        <w:jc w:val="left"/>
      </w:pPr>
      <w:r w:rsidRPr="00BA1CFA">
        <w:t>- da ima zagotovljena sredstva za servisiranje dolga iz neproračunskih virov.</w:t>
      </w:r>
    </w:p>
    <w:p w14:paraId="31AFA669" w14:textId="77777777" w:rsidR="00014BB2" w:rsidRPr="00014BB2" w:rsidRDefault="00014BB2" w:rsidP="00014BB2"/>
    <w:p w14:paraId="68B6B4EA" w14:textId="3A8FDAEB" w:rsidR="00014BB2" w:rsidRPr="00014BB2" w:rsidRDefault="00014BB2" w:rsidP="00014BB2">
      <w:pPr>
        <w:jc w:val="center"/>
      </w:pPr>
      <w:r w:rsidRPr="00014BB2">
        <w:t>2.</w:t>
      </w:r>
    </w:p>
    <w:p w14:paraId="6BA9E1A8" w14:textId="1D232C8F" w:rsidR="000E5815" w:rsidRDefault="000E5815" w:rsidP="00D51EE1">
      <w:pPr>
        <w:jc w:val="left"/>
      </w:pPr>
      <w:r>
        <w:t>Ta sklep velja takoj.</w:t>
      </w:r>
    </w:p>
    <w:p w14:paraId="789F3BFF" w14:textId="77777777" w:rsidR="006E4140" w:rsidRPr="00352A82" w:rsidRDefault="006E4140" w:rsidP="00D51EE1">
      <w:pPr>
        <w:jc w:val="left"/>
      </w:pPr>
    </w:p>
    <w:p w14:paraId="4549E1F2" w14:textId="2D7B7D3D" w:rsidR="00714788" w:rsidRDefault="00352A82" w:rsidP="006E4140">
      <w:pPr>
        <w:pStyle w:val="stevilkadokumenta"/>
      </w:pPr>
      <w:r w:rsidRPr="0005678C">
        <w:rPr>
          <w:rStyle w:val="ZvezaZnak"/>
          <w:sz w:val="20"/>
          <w:u w:val="none"/>
        </w:rPr>
        <w:t>Številka:</w:t>
      </w:r>
      <w:r w:rsidR="00014BB2">
        <w:rPr>
          <w:rStyle w:val="ZvezaZnak"/>
          <w:sz w:val="20"/>
          <w:u w:val="none"/>
        </w:rPr>
        <w:t xml:space="preserve"> 410-5/2023</w:t>
      </w:r>
      <w:r w:rsidRPr="0005678C">
        <w:rPr>
          <w:rStyle w:val="ZvezaZnak"/>
          <w:sz w:val="20"/>
          <w:u w:val="none"/>
        </w:rPr>
        <w:t xml:space="preserve"> </w:t>
      </w:r>
      <w:r>
        <w:rPr>
          <w:rStyle w:val="ZvezaZnak"/>
          <w:sz w:val="20"/>
          <w:u w:val="none"/>
        </w:rPr>
        <w:br/>
      </w:r>
      <w:r>
        <w:t>Nova Gorica,</w:t>
      </w:r>
      <w:r w:rsidR="006E4140">
        <w:t xml:space="preserve"> dne</w:t>
      </w:r>
      <w:r>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59C87F00" w:rsidR="009060A3" w:rsidRPr="00E639CC" w:rsidRDefault="006E4140" w:rsidP="009060A3">
            <w:pPr>
              <w:pStyle w:val="Podpisoseba"/>
              <w:spacing w:before="0" w:after="0"/>
              <w:rPr>
                <w:bCs w:val="0"/>
              </w:rPr>
            </w:pPr>
            <w:r>
              <w:t>Ž</w:t>
            </w:r>
            <w:r w:rsidR="009060A3" w:rsidRPr="00E639CC">
              <w:t>upan</w:t>
            </w:r>
          </w:p>
        </w:tc>
      </w:tr>
    </w:tbl>
    <w:p w14:paraId="17707F9F" w14:textId="51DCB567" w:rsidR="00714788" w:rsidRDefault="00714788" w:rsidP="00352A82"/>
    <w:p w14:paraId="6C2DE500" w14:textId="3724C442" w:rsidR="00714788" w:rsidRDefault="00714788" w:rsidP="00352A82"/>
    <w:p w14:paraId="06BE4516" w14:textId="77777777" w:rsidR="00731380" w:rsidRDefault="00731380" w:rsidP="005D78B5">
      <w:pPr>
        <w:ind w:left="0"/>
        <w:sectPr w:rsidR="00731380" w:rsidSect="00E217AD">
          <w:pgSz w:w="11906" w:h="16838"/>
          <w:pgMar w:top="1418" w:right="1418" w:bottom="1418" w:left="1418" w:header="1304" w:footer="454" w:gutter="0"/>
          <w:cols w:space="708"/>
          <w:titlePg/>
          <w:docGrid w:linePitch="360"/>
        </w:sectPr>
      </w:pPr>
    </w:p>
    <w:p w14:paraId="5E21157B" w14:textId="34D437DB" w:rsidR="00731380" w:rsidRDefault="006B201F" w:rsidP="00731380">
      <w:pPr>
        <w:pStyle w:val="Nazivenote"/>
        <w:rPr>
          <w:b w:val="0"/>
          <w:bCs/>
        </w:rPr>
      </w:pPr>
      <w:r>
        <w:lastRenderedPageBreak/>
        <w:t>Urad direktorja</w:t>
      </w:r>
      <w:r w:rsidR="00731380">
        <w:br/>
      </w:r>
      <w:r w:rsidR="00731380" w:rsidRPr="008802E3">
        <w:rPr>
          <w:b w:val="0"/>
          <w:bCs/>
        </w:rPr>
        <w:t>Trg Edvarda Kardelja 1, 5000 Nova Gorica</w:t>
      </w:r>
    </w:p>
    <w:p w14:paraId="1E15406F" w14:textId="77777777" w:rsidR="001E3B7B" w:rsidRDefault="001E3B7B" w:rsidP="006E4140">
      <w:pPr>
        <w:pStyle w:val="Naslov1"/>
        <w:spacing w:before="0" w:after="0" w:line="720" w:lineRule="auto"/>
      </w:pPr>
    </w:p>
    <w:p w14:paraId="31D67305" w14:textId="3D19B3D8" w:rsidR="00731380" w:rsidRPr="0066085E" w:rsidRDefault="00014BB2" w:rsidP="006E4140">
      <w:pPr>
        <w:pStyle w:val="Naslov1"/>
        <w:spacing w:before="0" w:after="0" w:line="720" w:lineRule="auto"/>
      </w:pPr>
      <w:r>
        <w:t>Obrazložitev</w:t>
      </w:r>
    </w:p>
    <w:p w14:paraId="139655F6" w14:textId="77777777" w:rsidR="00950217" w:rsidRPr="00950217" w:rsidRDefault="00950217" w:rsidP="006E4140">
      <w:pPr>
        <w:jc w:val="left"/>
      </w:pPr>
      <w:r w:rsidRPr="00950217">
        <w:t xml:space="preserve">Stanovanjski sklad Mestne občine Nova Gorica (v nadaljevanju »SS MONG«) je bil ustanovljen septembra 2001 z Odlokom o ustanovitvi Stanovanjskega sklada Mestne občine Nova Gorica (Uradne objave, Časopis OKO, 21/01, Uradni list RS, št. 114/05, 78/09, 80/11, 29/16 in 48/21) in je kot neprofitna organizacija vpisan v register neprofitnih stanovanjskih organizacij kot osrednja občinska institucija za izvajanje stanovanjske politike na lokalni ravni. </w:t>
      </w:r>
    </w:p>
    <w:p w14:paraId="1EF0ED4F" w14:textId="77777777" w:rsidR="00950217" w:rsidRPr="00950217" w:rsidRDefault="00950217" w:rsidP="0057097C">
      <w:pPr>
        <w:jc w:val="left"/>
      </w:pPr>
      <w:r w:rsidRPr="00950217">
        <w:t xml:space="preserve">Prvi odstavek 10.g. člen Zakona o financiranju občin (Uradni list RS, št. 123/06, 57/08, 36/11, 14/15 – ZUUJFO, 71/17, in 21/18 – popr., 80/20 - ZIUOOPE, </w:t>
      </w:r>
      <w:hyperlink r:id="rId19" w:tgtFrame="_blank" w:tooltip="Zakon o finančni razbremenitvi občin" w:history="1">
        <w:r w:rsidRPr="00950217">
          <w:t>189/20</w:t>
        </w:r>
      </w:hyperlink>
      <w:r w:rsidRPr="00950217">
        <w:t xml:space="preserve"> – ZFRO, </w:t>
      </w:r>
      <w:hyperlink r:id="rId20" w:tgtFrame="_blank" w:tooltip="Zakon o spremembah in dopolnitvi Zakona o financiranju občin" w:history="1">
        <w:r w:rsidRPr="00950217">
          <w:t>207/21</w:t>
        </w:r>
      </w:hyperlink>
      <w:r w:rsidRPr="00950217">
        <w:t xml:space="preserve"> in </w:t>
      </w:r>
      <w:hyperlink r:id="rId21" w:tgtFrame="_blank" w:tooltip="Zakon o varstvu okolja" w:history="1">
        <w:r w:rsidRPr="00950217">
          <w:t>44/22</w:t>
        </w:r>
      </w:hyperlink>
      <w:r w:rsidRPr="00950217">
        <w:t xml:space="preserve"> – ZVO-2) določa, da se posredni proračunski uporabniki občinskega proračuna, javni gospodarski zavodi in javna podjetja, katerih ustanoviteljica je občina ter druge pravne osebe, v katerih ima občina neposredno ali posredno prevladujoč vpliv, lahko zadolžujejo in izdajajo poroštva s soglasjem občine pod pogoji, ki jih določi občinski svet in če imajo te osebe zagotovljena sredstva za serviranje dolga iz neproračunskih virov. Izdana soglasja se ne štejejo v največji obseg možnega zadolževanja občine.</w:t>
      </w:r>
    </w:p>
    <w:p w14:paraId="17010B7A" w14:textId="4E533E56" w:rsidR="00950217" w:rsidRPr="00950217" w:rsidRDefault="00950217" w:rsidP="0057097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jc w:val="left"/>
      </w:pPr>
      <w:r>
        <w:tab/>
      </w:r>
      <w:r w:rsidRPr="00950217">
        <w:t>V prvem odstavku 19. člena Odloka o proračunu Mestne občine Nova Gorica za leto 2025 (Uradni list RS, št. 134/23 in 109/24;v nadaljevanju: Odlok o proračunu MONG) je določeno, da se lahko posredni proračunski uporabniki občinskega proračuna, javni gospodarski zavodi in javna podjetja, katerih ustanoviteljica je občina ter druge pravne osebe, v katerih ima občina neposredno ali posredno prevladujoč vpliv, v letu 2025 zadolžujejo do skupne višine 6 mio EUR in izdajajo poroštva do skupine višine glavnic 0 EUR s soglasjem občine pod pogoji, ki jih določi mestni svet in če imajo te osebe zagotovljena sredstva za servisiranje dolga iz neproračunskih virov. Izdana soglasja se ne štejejo v največji obseg možnega zadolževanja občine, ki je določen v zakonu, ki ureja financiranje občin. V drugem odstavku istega člena pa je določeno, da soglasje iz prejšnjega odstavka tega člena izda mestni svet.</w:t>
      </w:r>
    </w:p>
    <w:p w14:paraId="193D4EAC" w14:textId="77777777" w:rsidR="00950217" w:rsidRPr="00950217" w:rsidRDefault="00950217" w:rsidP="0057097C">
      <w:pPr>
        <w:jc w:val="left"/>
      </w:pPr>
      <w:r w:rsidRPr="00950217">
        <w:t xml:space="preserve">SS MONG pričenja z gradnjo načrtovanega projekta izgradnje 103 stanovanj - »Rezidenca ob Kornu«. </w:t>
      </w:r>
    </w:p>
    <w:p w14:paraId="744FBCBC" w14:textId="77777777" w:rsidR="00950217" w:rsidRPr="00950217" w:rsidRDefault="00950217" w:rsidP="0057097C">
      <w:pPr>
        <w:jc w:val="left"/>
      </w:pPr>
      <w:r w:rsidRPr="00950217">
        <w:t>SS MONG načrtuje gradnjo v 3 fazah (prva faza  - globoko temeljenje, druga faza - prvi Stolpič in infrastruktura, tretja faza  - drugi Stolpič), kar vse je SS MONG predvidel in pojasnil v svojem Finančnem načrtu za leto 2026, kakor tudi v Investicijski dokumentaciji (IP). Faznost gradnje je smiselna, ker se s tem takoj prične z izvedbo zgodnjih gradbenih del, dolgoročno pa se cilja na ugodne kreditne sheme, ki jih država namerava nameniti za neprofitno stanovanjsko gradnjo v letu 2026 (kreditiranje preko SID banke, Kohezijska politika in podobno).</w:t>
      </w:r>
    </w:p>
    <w:p w14:paraId="079F53DF" w14:textId="77777777" w:rsidR="00950217" w:rsidRPr="00950217" w:rsidRDefault="00950217" w:rsidP="0057097C">
      <w:pPr>
        <w:jc w:val="left"/>
      </w:pPr>
      <w:r w:rsidRPr="00950217">
        <w:lastRenderedPageBreak/>
        <w:t>V prej omenjenih dokumentih je SS MONG za izvedbo 1. faze (globoko temeljenje) predvidel zadolževanje v 1.000.000 EUR pri komercialnih bankah pod optimalnimi tržnimi pogoji s postopkom zbiranja zavezujočih ponudb. Zaradi boljšega dolgoročnega planiranja se predlaga fiksno obrestno mero.</w:t>
      </w:r>
    </w:p>
    <w:p w14:paraId="5E09AEB1" w14:textId="77777777" w:rsidR="00950217" w:rsidRPr="00950217" w:rsidRDefault="00950217" w:rsidP="0057097C">
      <w:pPr>
        <w:jc w:val="left"/>
      </w:pPr>
      <w:r w:rsidRPr="00950217">
        <w:t>Za ostali fazi in izgradnjo celotnega projekta bo SS MONG sklenil investitorsko pogodbo z republiškim Stanovanjskim skladom (SS RS), ki bo financiral polovico izgradnje navedenega projekta. V sam investitorski del SS MONG bo upoštevan (priznan) tudi omenjeni strošek globokega temeljenja.</w:t>
      </w:r>
    </w:p>
    <w:p w14:paraId="1EDD872C" w14:textId="77777777" w:rsidR="00950217" w:rsidRPr="00950217" w:rsidRDefault="00950217" w:rsidP="0057097C">
      <w:pPr>
        <w:jc w:val="left"/>
      </w:pPr>
      <w:r w:rsidRPr="00950217">
        <w:t>V trenutku obravnavanja tega predloga SS MONG še ne pozna končne verzije vseh finančnih parametrov posojila (obrestna mera, ročnost odplačevanja, pogoji in vrste zavarovanja posojila), saj je to odvisno od posamezne kreditne politike banke. SS MONG ocenjuje, da lahko kredit odplača v 10 letih iz lastnih sredstev.</w:t>
      </w:r>
    </w:p>
    <w:p w14:paraId="53F02F98" w14:textId="77777777" w:rsidR="00950217" w:rsidRPr="00950217" w:rsidRDefault="00950217" w:rsidP="0057097C">
      <w:pPr>
        <w:jc w:val="left"/>
      </w:pPr>
      <w:r w:rsidRPr="00950217">
        <w:t xml:space="preserve">SS MONG predlaga mestnemu svetu sprejetje naslednjih pogojev: </w:t>
      </w:r>
    </w:p>
    <w:p w14:paraId="405EB3D5" w14:textId="77777777" w:rsidR="00950217" w:rsidRPr="00950217" w:rsidRDefault="00950217" w:rsidP="00F21647">
      <w:pPr>
        <w:spacing w:after="0"/>
        <w:jc w:val="left"/>
      </w:pPr>
      <w:r w:rsidRPr="00950217">
        <w:t xml:space="preserve">- znesek zadolžitve 1.000.000 EUR; </w:t>
      </w:r>
    </w:p>
    <w:p w14:paraId="0C25D583" w14:textId="77777777" w:rsidR="00950217" w:rsidRPr="00950217" w:rsidRDefault="00950217" w:rsidP="00F21647">
      <w:pPr>
        <w:spacing w:after="0"/>
      </w:pPr>
      <w:r w:rsidRPr="00950217">
        <w:t xml:space="preserve">- odplačilna doba do največ 10 let; </w:t>
      </w:r>
    </w:p>
    <w:p w14:paraId="227CC1FB" w14:textId="77777777" w:rsidR="00950217" w:rsidRPr="00950217" w:rsidRDefault="00950217" w:rsidP="00950217">
      <w:pPr>
        <w:spacing w:after="0"/>
      </w:pPr>
      <w:r w:rsidRPr="00950217">
        <w:t xml:space="preserve">- spremenljiva obrestno mera do največ 12 mesečni EURIBOR + 1,5% oziroma fiksna obrestna mera največ 3,5%, </w:t>
      </w:r>
    </w:p>
    <w:p w14:paraId="272A8749" w14:textId="4FC73FDC" w:rsidR="00950217" w:rsidRPr="00950217" w:rsidRDefault="00950217" w:rsidP="00F21647">
      <w:pPr>
        <w:spacing w:after="0"/>
        <w:jc w:val="left"/>
      </w:pPr>
      <w:r w:rsidRPr="00950217">
        <w:t>- zavarovanje posojila z zastavitvijo nepremičnin</w:t>
      </w:r>
      <w:r w:rsidR="00673661">
        <w:t xml:space="preserve"> sklada</w:t>
      </w:r>
      <w:r w:rsidRPr="00950217">
        <w:t xml:space="preserve">, </w:t>
      </w:r>
    </w:p>
    <w:p w14:paraId="5942E22C" w14:textId="6F70AFE5" w:rsidR="00950217" w:rsidRDefault="00950217" w:rsidP="00F21647">
      <w:pPr>
        <w:spacing w:after="0"/>
        <w:jc w:val="left"/>
      </w:pPr>
      <w:r w:rsidRPr="00950217">
        <w:t xml:space="preserve">- SS MONG ima zagotovljena sredstva za servisiranje dolga iz ne-proračunskih virov. </w:t>
      </w:r>
    </w:p>
    <w:p w14:paraId="41161E6D" w14:textId="77777777" w:rsidR="007D00AA" w:rsidRPr="00950217" w:rsidRDefault="007D00AA" w:rsidP="007D00AA">
      <w:pPr>
        <w:spacing w:after="0"/>
      </w:pPr>
    </w:p>
    <w:p w14:paraId="75EB8D3E" w14:textId="77777777" w:rsidR="00950217" w:rsidRPr="00950217" w:rsidRDefault="00950217" w:rsidP="00F21647">
      <w:pPr>
        <w:jc w:val="left"/>
      </w:pPr>
      <w:r w:rsidRPr="00950217">
        <w:t xml:space="preserve">S podajo soglasja k zadolževanju mestna občina ne prevzema dodatnega bremena oz. tveganja, ampak samo omogoča nemoteno delo SS MONG, hkrati pa se izdano soglasje ne šteje v največji obseg možnega zadolževanja mestne občine. </w:t>
      </w:r>
    </w:p>
    <w:p w14:paraId="537E24E6" w14:textId="77777777" w:rsidR="00014BB2" w:rsidRPr="00014BB2" w:rsidRDefault="00014BB2" w:rsidP="00F21647">
      <w:pPr>
        <w:jc w:val="left"/>
        <w:rPr>
          <w:bCs w:val="0"/>
        </w:rPr>
      </w:pPr>
      <w:r w:rsidRPr="00014BB2">
        <w:t>Mestnemu svetu Mestne občine Nova Gorica predlagamo, da predloženi sklep obravnava in sprejme.</w:t>
      </w:r>
    </w:p>
    <w:p w14:paraId="0B3F9A3D" w14:textId="0B6E4ED9" w:rsidR="00731380" w:rsidRDefault="00731380" w:rsidP="00352A82"/>
    <w:p w14:paraId="17465817" w14:textId="77777777"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74E37404" w:rsidR="00A03315" w:rsidRPr="00D51EE1" w:rsidRDefault="005247B9" w:rsidP="00C818D4">
            <w:pPr>
              <w:pStyle w:val="Podpisoseba"/>
              <w:spacing w:before="0" w:after="0"/>
              <w:rPr>
                <w:b/>
                <w:bCs w:val="0"/>
              </w:rPr>
            </w:pPr>
            <w:r>
              <w:rPr>
                <w:b/>
                <w:bCs w:val="0"/>
              </w:rPr>
              <w:t>Tjaša Harej Pavlica</w:t>
            </w:r>
          </w:p>
        </w:tc>
        <w:tc>
          <w:tcPr>
            <w:tcW w:w="3549" w:type="dxa"/>
          </w:tcPr>
          <w:p w14:paraId="33414636" w14:textId="64290111" w:rsidR="00A03315" w:rsidRPr="00D51EE1" w:rsidRDefault="00737529" w:rsidP="00C818D4">
            <w:pPr>
              <w:pStyle w:val="Podpisoseba"/>
              <w:spacing w:before="0" w:after="0"/>
              <w:rPr>
                <w:b/>
                <w:bCs w:val="0"/>
              </w:rPr>
            </w:pPr>
            <w:r>
              <w:rPr>
                <w:b/>
                <w:bCs w:val="0"/>
              </w:rPr>
              <w:t>Aleš Markočič</w:t>
            </w:r>
          </w:p>
        </w:tc>
      </w:tr>
      <w:tr w:rsidR="00A03315" w14:paraId="04CA288A" w14:textId="77777777" w:rsidTr="00C818D4">
        <w:tc>
          <w:tcPr>
            <w:tcW w:w="4956" w:type="dxa"/>
          </w:tcPr>
          <w:p w14:paraId="3431D6EA" w14:textId="58812EDA" w:rsidR="00A03315" w:rsidRPr="00E639CC" w:rsidRDefault="005247B9" w:rsidP="00C818D4">
            <w:pPr>
              <w:pStyle w:val="Podpisoseba"/>
              <w:spacing w:before="0" w:after="0"/>
              <w:ind w:right="459"/>
              <w:rPr>
                <w:bCs w:val="0"/>
              </w:rPr>
            </w:pPr>
            <w:r>
              <w:t>Vodja Službe za premoženjske zadeve</w:t>
            </w:r>
          </w:p>
        </w:tc>
        <w:tc>
          <w:tcPr>
            <w:tcW w:w="3549" w:type="dxa"/>
          </w:tcPr>
          <w:p w14:paraId="770E907E" w14:textId="6151C942" w:rsidR="00A03315" w:rsidRPr="00E639CC" w:rsidRDefault="001E3B7B" w:rsidP="00C818D4">
            <w:pPr>
              <w:pStyle w:val="Podpisoseba"/>
              <w:spacing w:before="0" w:after="0"/>
              <w:rPr>
                <w:bCs w:val="0"/>
              </w:rPr>
            </w:pPr>
            <w:r>
              <w:rPr>
                <w:bCs w:val="0"/>
              </w:rPr>
              <w:t>D</w:t>
            </w:r>
            <w:r w:rsidR="00737529">
              <w:rPr>
                <w:bCs w:val="0"/>
              </w:rPr>
              <w:t>irektor občinske uprave</w:t>
            </w:r>
          </w:p>
        </w:tc>
      </w:tr>
    </w:tbl>
    <w:p w14:paraId="3383A950" w14:textId="77777777" w:rsidR="00731380" w:rsidRDefault="00731380" w:rsidP="00352A82"/>
    <w:p w14:paraId="6205FACD" w14:textId="66677910" w:rsidR="00633CCB" w:rsidRPr="00633CCB" w:rsidRDefault="00633CCB" w:rsidP="00552454">
      <w:pPr>
        <w:pStyle w:val="Podpisoseba"/>
        <w:spacing w:before="0" w:after="0"/>
        <w:rPr>
          <w:b/>
          <w:bCs w:val="0"/>
          <w:color w:val="1F3864" w:themeColor="accent1" w:themeShade="80"/>
        </w:rPr>
      </w:pPr>
      <w:r>
        <w:rPr>
          <w:b/>
          <w:bCs w:val="0"/>
          <w:color w:val="1F3864" w:themeColor="accent1" w:themeShade="80"/>
        </w:rPr>
        <w:t xml:space="preserve"> </w:t>
      </w:r>
      <w:r w:rsidR="00552454">
        <w:rPr>
          <w:b/>
          <w:bCs w:val="0"/>
          <w:color w:val="1F3864" w:themeColor="accent1" w:themeShade="80"/>
        </w:rPr>
        <w:tab/>
      </w:r>
      <w:r>
        <w:rPr>
          <w:b/>
          <w:bCs w:val="0"/>
          <w:color w:val="1F3864" w:themeColor="accent1" w:themeShade="80"/>
        </w:rPr>
        <w:t xml:space="preserve"> </w:t>
      </w:r>
      <w:r w:rsidRPr="00552454">
        <w:rPr>
          <w:b/>
          <w:bCs w:val="0"/>
        </w:rPr>
        <w:t>Peter Jan</w:t>
      </w:r>
    </w:p>
    <w:p w14:paraId="616E30ED" w14:textId="704F68DC" w:rsidR="00F21647" w:rsidRPr="00552454" w:rsidRDefault="00633CCB" w:rsidP="00552454">
      <w:pPr>
        <w:pStyle w:val="Podpisoseba"/>
        <w:spacing w:before="0" w:after="0"/>
        <w:ind w:right="459"/>
      </w:pPr>
      <w:r>
        <w:rPr>
          <w:color w:val="1F3864" w:themeColor="accent1" w:themeShade="80"/>
        </w:rPr>
        <w:t xml:space="preserve"> </w:t>
      </w:r>
      <w:r w:rsidR="00552454">
        <w:rPr>
          <w:color w:val="1F3864" w:themeColor="accent1" w:themeShade="80"/>
        </w:rPr>
        <w:tab/>
        <w:t xml:space="preserve"> </w:t>
      </w:r>
      <w:r w:rsidRPr="00552454">
        <w:t>Direktor Stanovanjskega sklada</w:t>
      </w:r>
    </w:p>
    <w:p w14:paraId="6627F102" w14:textId="3176BF00" w:rsidR="00633CCB" w:rsidRPr="00552454" w:rsidRDefault="00633CCB" w:rsidP="00552454">
      <w:pPr>
        <w:pStyle w:val="Podpisoseba"/>
        <w:spacing w:before="0" w:after="0"/>
        <w:ind w:right="459"/>
      </w:pPr>
      <w:r w:rsidRPr="00552454">
        <w:t xml:space="preserve"> </w:t>
      </w:r>
      <w:r w:rsidR="00552454">
        <w:tab/>
        <w:t xml:space="preserve"> </w:t>
      </w:r>
      <w:r w:rsidRPr="00552454">
        <w:t>Mestne občine Nova Gorica</w:t>
      </w:r>
    </w:p>
    <w:p w14:paraId="69C5EF48" w14:textId="77777777" w:rsidR="005247B9" w:rsidRDefault="005247B9" w:rsidP="00352A82"/>
    <w:p w14:paraId="75B97757" w14:textId="1FB1954E" w:rsidR="00167093" w:rsidRPr="00774DD1" w:rsidRDefault="00167093" w:rsidP="00167093">
      <w:pPr>
        <w:pStyle w:val="gradivo"/>
      </w:pPr>
      <w:r>
        <w:t>Priloga</w:t>
      </w:r>
      <w:r w:rsidRPr="00774DD1">
        <w:t>:</w:t>
      </w:r>
    </w:p>
    <w:p w14:paraId="65D7477A" w14:textId="2D275910" w:rsidR="00714788" w:rsidRPr="0066085E" w:rsidRDefault="005247B9" w:rsidP="007751B9">
      <w:pPr>
        <w:pStyle w:val="Odstavekseznama"/>
        <w:numPr>
          <w:ilvl w:val="0"/>
          <w:numId w:val="11"/>
        </w:numPr>
        <w:spacing w:after="0" w:line="240" w:lineRule="auto"/>
        <w:ind w:left="1429" w:right="0"/>
        <w:jc w:val="left"/>
      </w:pPr>
      <w:r w:rsidRPr="005E35D9">
        <w:t xml:space="preserve">Sklep Nadzornega sveta št. </w:t>
      </w:r>
      <w:r w:rsidR="005E35D9" w:rsidRPr="005E35D9">
        <w:t>471-2/2025-2 z dne 26.</w:t>
      </w:r>
      <w:r w:rsidR="00F21647">
        <w:t xml:space="preserve"> </w:t>
      </w:r>
      <w:r w:rsidR="005E35D9" w:rsidRPr="005E35D9">
        <w:t>11.</w:t>
      </w:r>
      <w:r w:rsidR="00F21647">
        <w:t xml:space="preserve"> </w:t>
      </w:r>
      <w:r w:rsidR="005E35D9" w:rsidRPr="005E35D9">
        <w:t>2025</w:t>
      </w:r>
    </w:p>
    <w:sectPr w:rsidR="00714788"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9AB2" w14:textId="77777777" w:rsidR="00C02A67" w:rsidRDefault="00C02A67" w:rsidP="00352A82">
      <w:r>
        <w:separator/>
      </w:r>
    </w:p>
  </w:endnote>
  <w:endnote w:type="continuationSeparator" w:id="0">
    <w:p w14:paraId="76D2FDA5" w14:textId="77777777" w:rsidR="00C02A67" w:rsidRDefault="00C02A67"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C442" w14:textId="77777777" w:rsidR="00C02A67" w:rsidRDefault="00C02A67" w:rsidP="00352A82">
      <w:r>
        <w:separator/>
      </w:r>
    </w:p>
  </w:footnote>
  <w:footnote w:type="continuationSeparator" w:id="0">
    <w:p w14:paraId="0CB81D76" w14:textId="77777777" w:rsidR="00C02A67" w:rsidRDefault="00C02A67"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01E5F15"/>
    <w:multiLevelType w:val="hybridMultilevel"/>
    <w:tmpl w:val="FF5AD0B2"/>
    <w:lvl w:ilvl="0" w:tplc="104A458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2CF0FEC"/>
    <w:multiLevelType w:val="hybridMultilevel"/>
    <w:tmpl w:val="1F80D4D6"/>
    <w:lvl w:ilvl="0" w:tplc="EA986EC0">
      <w:start w:val="5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6"/>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1"/>
  </w:num>
  <w:num w:numId="7" w16cid:durableId="1256210005">
    <w:abstractNumId w:val="1"/>
  </w:num>
  <w:num w:numId="8" w16cid:durableId="620721476">
    <w:abstractNumId w:val="2"/>
  </w:num>
  <w:num w:numId="9" w16cid:durableId="1223718357">
    <w:abstractNumId w:val="5"/>
  </w:num>
  <w:num w:numId="10" w16cid:durableId="767116328">
    <w:abstractNumId w:val="8"/>
  </w:num>
  <w:num w:numId="11" w16cid:durableId="1055660321">
    <w:abstractNumId w:val="3"/>
  </w:num>
  <w:num w:numId="12" w16cid:durableId="1735079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49D"/>
    <w:rsid w:val="00014BB2"/>
    <w:rsid w:val="00023BA4"/>
    <w:rsid w:val="000276AB"/>
    <w:rsid w:val="000323FE"/>
    <w:rsid w:val="00053B54"/>
    <w:rsid w:val="00054E71"/>
    <w:rsid w:val="0005678C"/>
    <w:rsid w:val="000807CE"/>
    <w:rsid w:val="00083CA2"/>
    <w:rsid w:val="000C0FAA"/>
    <w:rsid w:val="000D6C77"/>
    <w:rsid w:val="000E5815"/>
    <w:rsid w:val="00101B99"/>
    <w:rsid w:val="00110838"/>
    <w:rsid w:val="001137D1"/>
    <w:rsid w:val="00145A3D"/>
    <w:rsid w:val="00167093"/>
    <w:rsid w:val="001732D3"/>
    <w:rsid w:val="00192B9A"/>
    <w:rsid w:val="001B2389"/>
    <w:rsid w:val="001C491B"/>
    <w:rsid w:val="001C6438"/>
    <w:rsid w:val="001D7013"/>
    <w:rsid w:val="001E3B7B"/>
    <w:rsid w:val="001E7502"/>
    <w:rsid w:val="001F323F"/>
    <w:rsid w:val="0022510F"/>
    <w:rsid w:val="00226E0E"/>
    <w:rsid w:val="002579A6"/>
    <w:rsid w:val="00283E83"/>
    <w:rsid w:val="0028430E"/>
    <w:rsid w:val="0028622D"/>
    <w:rsid w:val="002B08B0"/>
    <w:rsid w:val="00352A82"/>
    <w:rsid w:val="00355F3A"/>
    <w:rsid w:val="00366240"/>
    <w:rsid w:val="003815F8"/>
    <w:rsid w:val="0039457F"/>
    <w:rsid w:val="003A0AE4"/>
    <w:rsid w:val="003B11F7"/>
    <w:rsid w:val="003E19F4"/>
    <w:rsid w:val="003E2C39"/>
    <w:rsid w:val="003F1BB6"/>
    <w:rsid w:val="003F3284"/>
    <w:rsid w:val="004129EE"/>
    <w:rsid w:val="00420CD3"/>
    <w:rsid w:val="00445A64"/>
    <w:rsid w:val="00463FA4"/>
    <w:rsid w:val="00482B73"/>
    <w:rsid w:val="00486063"/>
    <w:rsid w:val="004953C5"/>
    <w:rsid w:val="004A4809"/>
    <w:rsid w:val="004E242E"/>
    <w:rsid w:val="005210F0"/>
    <w:rsid w:val="005247B9"/>
    <w:rsid w:val="005269CF"/>
    <w:rsid w:val="00530051"/>
    <w:rsid w:val="00552454"/>
    <w:rsid w:val="0057097C"/>
    <w:rsid w:val="00581BE7"/>
    <w:rsid w:val="005D78B5"/>
    <w:rsid w:val="005E35D9"/>
    <w:rsid w:val="00633CCB"/>
    <w:rsid w:val="00645254"/>
    <w:rsid w:val="0066085E"/>
    <w:rsid w:val="006620F0"/>
    <w:rsid w:val="00673661"/>
    <w:rsid w:val="006A3E28"/>
    <w:rsid w:val="006B201F"/>
    <w:rsid w:val="006C235B"/>
    <w:rsid w:val="006E4140"/>
    <w:rsid w:val="00700F65"/>
    <w:rsid w:val="00714788"/>
    <w:rsid w:val="00722FAC"/>
    <w:rsid w:val="00731380"/>
    <w:rsid w:val="00734A18"/>
    <w:rsid w:val="00737529"/>
    <w:rsid w:val="00774DD1"/>
    <w:rsid w:val="0079172C"/>
    <w:rsid w:val="00791DB2"/>
    <w:rsid w:val="00792010"/>
    <w:rsid w:val="00793022"/>
    <w:rsid w:val="00796028"/>
    <w:rsid w:val="007D00AA"/>
    <w:rsid w:val="00810854"/>
    <w:rsid w:val="008147DD"/>
    <w:rsid w:val="00873CAB"/>
    <w:rsid w:val="008759F5"/>
    <w:rsid w:val="008802E3"/>
    <w:rsid w:val="008821D4"/>
    <w:rsid w:val="00882400"/>
    <w:rsid w:val="008B4D90"/>
    <w:rsid w:val="008F1166"/>
    <w:rsid w:val="008F21D2"/>
    <w:rsid w:val="008F5DCA"/>
    <w:rsid w:val="009060A3"/>
    <w:rsid w:val="00923A6E"/>
    <w:rsid w:val="00950217"/>
    <w:rsid w:val="00964AD4"/>
    <w:rsid w:val="0098263A"/>
    <w:rsid w:val="009914DB"/>
    <w:rsid w:val="009B227A"/>
    <w:rsid w:val="009C2914"/>
    <w:rsid w:val="00A03315"/>
    <w:rsid w:val="00A23F1E"/>
    <w:rsid w:val="00A7398A"/>
    <w:rsid w:val="00A90AA4"/>
    <w:rsid w:val="00A9127C"/>
    <w:rsid w:val="00A9136F"/>
    <w:rsid w:val="00A95A58"/>
    <w:rsid w:val="00AA4BFD"/>
    <w:rsid w:val="00AE1688"/>
    <w:rsid w:val="00AE4A3D"/>
    <w:rsid w:val="00B30EF6"/>
    <w:rsid w:val="00B34956"/>
    <w:rsid w:val="00B43D9B"/>
    <w:rsid w:val="00B907CB"/>
    <w:rsid w:val="00B92C18"/>
    <w:rsid w:val="00BA1CFA"/>
    <w:rsid w:val="00BE5B70"/>
    <w:rsid w:val="00C02A67"/>
    <w:rsid w:val="00C10614"/>
    <w:rsid w:val="00C3386A"/>
    <w:rsid w:val="00C7627D"/>
    <w:rsid w:val="00C84353"/>
    <w:rsid w:val="00C973E8"/>
    <w:rsid w:val="00CC3F17"/>
    <w:rsid w:val="00CD0869"/>
    <w:rsid w:val="00CF0B4F"/>
    <w:rsid w:val="00CF2AFF"/>
    <w:rsid w:val="00D51EE1"/>
    <w:rsid w:val="00D81991"/>
    <w:rsid w:val="00DA69BC"/>
    <w:rsid w:val="00DD550C"/>
    <w:rsid w:val="00DE207F"/>
    <w:rsid w:val="00DE7B81"/>
    <w:rsid w:val="00E16371"/>
    <w:rsid w:val="00E217AD"/>
    <w:rsid w:val="00E57102"/>
    <w:rsid w:val="00E639CC"/>
    <w:rsid w:val="00E876FD"/>
    <w:rsid w:val="00ED7977"/>
    <w:rsid w:val="00EE5DDF"/>
    <w:rsid w:val="00F02047"/>
    <w:rsid w:val="00F12361"/>
    <w:rsid w:val="00F21647"/>
    <w:rsid w:val="00F24C66"/>
    <w:rsid w:val="00F26B7D"/>
    <w:rsid w:val="00F27F42"/>
    <w:rsid w:val="00F40810"/>
    <w:rsid w:val="00F4231E"/>
    <w:rsid w:val="00F62280"/>
    <w:rsid w:val="00F811AF"/>
    <w:rsid w:val="00F85E9E"/>
    <w:rsid w:val="00FB7287"/>
    <w:rsid w:val="00FF451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Pripombabesedilo">
    <w:name w:val="annotation text"/>
    <w:basedOn w:val="Navaden"/>
    <w:link w:val="PripombabesediloZnak"/>
    <w:uiPriority w:val="99"/>
    <w:semiHidden/>
    <w:unhideWhenUsed/>
    <w:rsid w:val="00420CD3"/>
    <w:pPr>
      <w:spacing w:after="0" w:line="240" w:lineRule="auto"/>
      <w:ind w:left="0" w:right="0"/>
      <w:jc w:val="left"/>
    </w:pPr>
    <w:rPr>
      <w:rFonts w:ascii="Times New Roman" w:hAnsi="Times New Roman" w:cs="Times New Roman"/>
      <w:bCs w:val="0"/>
      <w:noProof w:val="0"/>
    </w:rPr>
  </w:style>
  <w:style w:type="character" w:customStyle="1" w:styleId="PripombabesediloZnak">
    <w:name w:val="Pripomba – besedilo Znak"/>
    <w:basedOn w:val="Privzetapisavaodstavka"/>
    <w:link w:val="Pripombabesedilo"/>
    <w:uiPriority w:val="99"/>
    <w:semiHidden/>
    <w:rsid w:val="00420CD3"/>
    <w:rPr>
      <w:rFonts w:ascii="Times New Roman" w:eastAsia="Times New Roman" w:hAnsi="Times New Roman" w:cs="Times New Roman"/>
      <w:sz w:val="20"/>
      <w:szCs w:val="20"/>
      <w:lang w:eastAsia="sl-SI"/>
    </w:rPr>
  </w:style>
  <w:style w:type="character" w:styleId="Pripombasklic">
    <w:name w:val="annotation reference"/>
    <w:uiPriority w:val="99"/>
    <w:semiHidden/>
    <w:unhideWhenUsed/>
    <w:rsid w:val="00420CD3"/>
    <w:rPr>
      <w:sz w:val="16"/>
      <w:szCs w:val="16"/>
    </w:rPr>
  </w:style>
  <w:style w:type="paragraph" w:styleId="Revizija">
    <w:name w:val="Revision"/>
    <w:hidden/>
    <w:uiPriority w:val="99"/>
    <w:semiHidden/>
    <w:rsid w:val="00673661"/>
    <w:pPr>
      <w:spacing w:after="0" w:line="240" w:lineRule="auto"/>
    </w:pPr>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700F65"/>
    <w:pPr>
      <w:spacing w:after="240"/>
      <w:ind w:left="709" w:right="-142"/>
      <w:jc w:val="both"/>
    </w:pPr>
    <w:rPr>
      <w:rFonts w:ascii="Verdana" w:hAnsi="Verdana" w:cs="Arial"/>
      <w:b/>
      <w:bCs/>
      <w:noProof/>
    </w:rPr>
  </w:style>
  <w:style w:type="character" w:customStyle="1" w:styleId="ZadevapripombeZnak">
    <w:name w:val="Zadeva pripombe Znak"/>
    <w:basedOn w:val="PripombabesediloZnak"/>
    <w:link w:val="Zadevapripombe"/>
    <w:uiPriority w:val="99"/>
    <w:semiHidden/>
    <w:rsid w:val="00700F65"/>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uradni-list.si/1/objava.jsp?sop=2022-01-0873" TargetMode="External"/><Relationship Id="rId3" Type="http://schemas.openxmlformats.org/officeDocument/2006/relationships/customXml" Target="../customXml/item3.xml"/><Relationship Id="rId21" Type="http://schemas.openxmlformats.org/officeDocument/2006/relationships/hyperlink" Target="http://www.uradni-list.si/1/objava.jsp?sop=2022-01-0873"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uradni-list.si/1/objava.jsp?sop=2021-01-4286" TargetMode="External"/><Relationship Id="rId2" Type="http://schemas.openxmlformats.org/officeDocument/2006/relationships/customXml" Target="../customXml/item2.xml"/><Relationship Id="rId16" Type="http://schemas.openxmlformats.org/officeDocument/2006/relationships/hyperlink" Target="http://www.uradni-list.si/1/objava.jsp?sop=2020-01-3287" TargetMode="External"/><Relationship Id="rId20" Type="http://schemas.openxmlformats.org/officeDocument/2006/relationships/hyperlink" Target="http://www.uradni-list.si/1/objava.jsp?sop=2021-01-42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uradni-list.si/1/objava.jsp?sop=2020-01-32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1118</Words>
  <Characters>6377</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13</cp:revision>
  <cp:lastPrinted>2025-02-19T07:16:00Z</cp:lastPrinted>
  <dcterms:created xsi:type="dcterms:W3CDTF">2025-12-01T12:16:00Z</dcterms:created>
  <dcterms:modified xsi:type="dcterms:W3CDTF">2025-12-04T15:37:00Z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