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A1A0" w14:textId="394FF71F" w:rsidR="00D47A6A" w:rsidRPr="00D338D9" w:rsidRDefault="00192E31" w:rsidP="005F759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</w:t>
      </w:r>
      <w:r w:rsidR="00D91874" w:rsidRPr="00D338D9">
        <w:rPr>
          <w:rFonts w:ascii="Verdana" w:hAnsi="Verdana" w:cs="Arial"/>
          <w:sz w:val="20"/>
          <w:szCs w:val="20"/>
        </w:rPr>
        <w:t xml:space="preserve"> </w:t>
      </w:r>
    </w:p>
    <w:p w14:paraId="57F35BE7" w14:textId="77777777" w:rsidR="00D47A6A" w:rsidRPr="00D338D9" w:rsidRDefault="00D47A6A" w:rsidP="00D47A6A">
      <w:pPr>
        <w:rPr>
          <w:rFonts w:ascii="Verdana" w:hAnsi="Verdana" w:cs="Arial"/>
          <w:sz w:val="20"/>
          <w:szCs w:val="20"/>
        </w:rPr>
      </w:pPr>
    </w:p>
    <w:p w14:paraId="2E199286" w14:textId="77777777" w:rsidR="00D47A6A" w:rsidRPr="00D338D9" w:rsidRDefault="00D47A6A" w:rsidP="00D47A6A">
      <w:pPr>
        <w:rPr>
          <w:rFonts w:ascii="Verdana" w:hAnsi="Verdana" w:cs="Arial"/>
          <w:sz w:val="20"/>
          <w:szCs w:val="20"/>
        </w:rPr>
      </w:pPr>
    </w:p>
    <w:p w14:paraId="2616DDD9" w14:textId="77777777" w:rsidR="00D47A6A" w:rsidRPr="00D338D9" w:rsidRDefault="00D47A6A" w:rsidP="00D47A6A">
      <w:pPr>
        <w:rPr>
          <w:rFonts w:ascii="Verdana" w:hAnsi="Verdana" w:cs="Arial"/>
          <w:sz w:val="20"/>
          <w:szCs w:val="20"/>
        </w:rPr>
      </w:pPr>
    </w:p>
    <w:p w14:paraId="56498607" w14:textId="77777777" w:rsidR="00D47A6A" w:rsidRPr="00D338D9" w:rsidRDefault="00D47A6A" w:rsidP="00D47A6A">
      <w:pPr>
        <w:rPr>
          <w:rFonts w:ascii="Verdana" w:hAnsi="Verdana" w:cs="Arial"/>
          <w:sz w:val="20"/>
          <w:szCs w:val="20"/>
        </w:rPr>
      </w:pP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4389"/>
        <w:gridCol w:w="661"/>
        <w:gridCol w:w="3680"/>
      </w:tblGrid>
      <w:tr w:rsidR="00FD7F64" w:rsidRPr="00D338D9" w14:paraId="57521C43" w14:textId="77777777" w:rsidTr="00E1139D">
        <w:tc>
          <w:tcPr>
            <w:tcW w:w="4389" w:type="dxa"/>
          </w:tcPr>
          <w:p w14:paraId="10BBC467" w14:textId="77777777" w:rsidR="00981A72" w:rsidRPr="00D338D9" w:rsidRDefault="00981A72" w:rsidP="00E1139D">
            <w:pPr>
              <w:rPr>
                <w:rFonts w:ascii="Verdana" w:eastAsia="Calibri" w:hAnsi="Verdana" w:cs="Arial"/>
                <w:sz w:val="20"/>
                <w:szCs w:val="20"/>
              </w:rPr>
            </w:pPr>
            <w:bookmarkStart w:id="0" w:name="_Hlk42080224"/>
            <w:bookmarkStart w:id="1" w:name="_Hlk42080248"/>
          </w:p>
        </w:tc>
        <w:tc>
          <w:tcPr>
            <w:tcW w:w="661" w:type="dxa"/>
          </w:tcPr>
          <w:p w14:paraId="0E6A6B0E" w14:textId="77777777" w:rsidR="00981A72" w:rsidRPr="00D338D9" w:rsidRDefault="00981A72" w:rsidP="003D23D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23999E14" w14:textId="77777777" w:rsidR="00981A72" w:rsidRPr="00D338D9" w:rsidRDefault="00981A72" w:rsidP="003D23D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FD7F64" w:rsidRPr="00D338D9" w14:paraId="70967E3B" w14:textId="77777777" w:rsidTr="00E1139D">
        <w:tc>
          <w:tcPr>
            <w:tcW w:w="4389" w:type="dxa"/>
          </w:tcPr>
          <w:p w14:paraId="04131C9F" w14:textId="77777777" w:rsidR="00981A72" w:rsidRPr="00D338D9" w:rsidRDefault="00981A72" w:rsidP="003D23D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661" w:type="dxa"/>
          </w:tcPr>
          <w:p w14:paraId="6C3DB0EA" w14:textId="77777777" w:rsidR="00981A72" w:rsidRPr="00D338D9" w:rsidRDefault="00981A72" w:rsidP="003D23D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15B8E0D8" w14:textId="77777777" w:rsidR="00981A72" w:rsidRPr="00D338D9" w:rsidRDefault="00981A72" w:rsidP="003D23D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bookmarkEnd w:id="0"/>
    <w:bookmarkEnd w:id="1"/>
    <w:p w14:paraId="41474436" w14:textId="4C7156E8" w:rsidR="00E1139D" w:rsidRPr="00D338D9" w:rsidRDefault="00F82D51" w:rsidP="00E1139D">
      <w:pPr>
        <w:pStyle w:val="Brezrazmikov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Št. dokumenta:</w:t>
      </w:r>
      <w:r w:rsidRPr="00D338D9">
        <w:rPr>
          <w:rFonts w:ascii="Verdana" w:hAnsi="Verdana"/>
          <w:sz w:val="20"/>
          <w:szCs w:val="20"/>
        </w:rPr>
        <w:t xml:space="preserve"> </w:t>
      </w:r>
      <w:r w:rsidR="0030526B" w:rsidRPr="0030526B">
        <w:rPr>
          <w:rFonts w:ascii="Verdana" w:hAnsi="Verdana"/>
          <w:sz w:val="20"/>
          <w:szCs w:val="20"/>
        </w:rPr>
        <w:t>354-0055/2026</w:t>
      </w:r>
      <w:r w:rsidR="0030526B">
        <w:rPr>
          <w:rFonts w:ascii="Verdana" w:hAnsi="Verdana"/>
          <w:sz w:val="20"/>
          <w:szCs w:val="20"/>
        </w:rPr>
        <w:t>-3</w:t>
      </w:r>
    </w:p>
    <w:p w14:paraId="315AD80A" w14:textId="43A22353" w:rsidR="00F82D51" w:rsidRPr="00D338D9" w:rsidRDefault="00F82D51" w:rsidP="00E1139D">
      <w:pPr>
        <w:pStyle w:val="Brezrazmikov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Datum: </w:t>
      </w:r>
      <w:r w:rsidR="0030526B">
        <w:rPr>
          <w:rFonts w:ascii="Verdana" w:hAnsi="Verdana" w:cs="Arial"/>
          <w:sz w:val="20"/>
          <w:szCs w:val="20"/>
        </w:rPr>
        <w:t>15. 4. 2026</w:t>
      </w:r>
    </w:p>
    <w:p w14:paraId="6610A1C8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271B7184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62DE9218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0F9784F4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42D43D23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633A3FE7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4CB2791A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75DCC1C5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31028EEA" w14:textId="77777777" w:rsidR="00E1139D" w:rsidRPr="00002D43" w:rsidRDefault="00E1139D" w:rsidP="00E1139D">
      <w:pPr>
        <w:pStyle w:val="Brezrazmikov"/>
        <w:rPr>
          <w:rFonts w:ascii="Verdana" w:hAnsi="Verdana" w:cs="Arial"/>
          <w:color w:val="004E9A"/>
          <w:sz w:val="26"/>
          <w:szCs w:val="26"/>
        </w:rPr>
      </w:pPr>
    </w:p>
    <w:p w14:paraId="4A3173A9" w14:textId="77777777" w:rsidR="00E1139D" w:rsidRPr="00002D43" w:rsidRDefault="00E1139D" w:rsidP="00E1139D">
      <w:pPr>
        <w:pStyle w:val="Brezrazmikov"/>
        <w:jc w:val="center"/>
        <w:rPr>
          <w:rFonts w:ascii="Verdana" w:hAnsi="Verdana" w:cs="Arial"/>
          <w:b/>
          <w:color w:val="004E9A"/>
          <w:sz w:val="26"/>
          <w:szCs w:val="26"/>
        </w:rPr>
      </w:pPr>
      <w:r w:rsidRPr="00002D43">
        <w:rPr>
          <w:rFonts w:ascii="Verdana" w:hAnsi="Verdana" w:cs="Arial"/>
          <w:b/>
          <w:color w:val="004E9A"/>
          <w:sz w:val="26"/>
          <w:szCs w:val="26"/>
        </w:rPr>
        <w:t>RAZPISNA DOKUMENTACIJA</w:t>
      </w:r>
    </w:p>
    <w:p w14:paraId="662EED43" w14:textId="6DF90D5C" w:rsidR="00E1139D" w:rsidRPr="00002D43" w:rsidRDefault="00E1139D" w:rsidP="00E1139D">
      <w:pPr>
        <w:pStyle w:val="Brezrazmikov"/>
        <w:jc w:val="center"/>
        <w:rPr>
          <w:rFonts w:ascii="Verdana" w:hAnsi="Verdana" w:cs="Arial"/>
          <w:bCs/>
          <w:color w:val="004E9A"/>
          <w:sz w:val="26"/>
          <w:szCs w:val="26"/>
        </w:rPr>
      </w:pPr>
      <w:r w:rsidRPr="00002D43">
        <w:rPr>
          <w:rFonts w:ascii="Verdana" w:hAnsi="Verdana" w:cs="Arial"/>
          <w:bCs/>
          <w:color w:val="004E9A"/>
          <w:sz w:val="26"/>
          <w:szCs w:val="26"/>
        </w:rPr>
        <w:t xml:space="preserve">Javni razpis </w:t>
      </w:r>
      <w:r w:rsidRPr="00002D43">
        <w:rPr>
          <w:rFonts w:ascii="Verdana" w:hAnsi="Verdana" w:cs="Arial"/>
          <w:bCs/>
          <w:color w:val="004E9A"/>
          <w:sz w:val="26"/>
          <w:szCs w:val="26"/>
        </w:rPr>
        <w:br/>
        <w:t>za sofinanciranje projektov s področja varstva okolja v Mestni občini Nova Gorica v letu 202</w:t>
      </w:r>
      <w:r w:rsidR="00391AF5" w:rsidRPr="00002D43">
        <w:rPr>
          <w:rFonts w:ascii="Verdana" w:hAnsi="Verdana" w:cs="Arial"/>
          <w:bCs/>
          <w:color w:val="004E9A"/>
          <w:sz w:val="26"/>
          <w:szCs w:val="26"/>
        </w:rPr>
        <w:t>6</w:t>
      </w:r>
    </w:p>
    <w:p w14:paraId="31511F7F" w14:textId="77777777" w:rsidR="00E1139D" w:rsidRPr="00002D43" w:rsidRDefault="00E1139D" w:rsidP="00E1139D">
      <w:pPr>
        <w:pStyle w:val="Brezrazmikov"/>
        <w:rPr>
          <w:rFonts w:ascii="Verdana" w:hAnsi="Verdana" w:cs="Arial"/>
          <w:b/>
          <w:color w:val="004E9A"/>
          <w:sz w:val="26"/>
          <w:szCs w:val="26"/>
        </w:rPr>
      </w:pPr>
      <w:r w:rsidRPr="00002D43">
        <w:rPr>
          <w:rFonts w:ascii="Verdana" w:hAnsi="Verdana" w:cs="Arial"/>
          <w:b/>
          <w:color w:val="004E9A"/>
          <w:sz w:val="26"/>
          <w:szCs w:val="26"/>
        </w:rPr>
        <w:br w:type="page"/>
      </w:r>
    </w:p>
    <w:p w14:paraId="4DFF9A5D" w14:textId="77777777" w:rsidR="00E1139D" w:rsidRPr="00002D43" w:rsidRDefault="00E1139D" w:rsidP="00E1139D">
      <w:pPr>
        <w:pStyle w:val="Brezrazmikov"/>
        <w:rPr>
          <w:rFonts w:ascii="Verdana" w:hAnsi="Verdana" w:cs="Arial"/>
          <w:b/>
          <w:color w:val="004E9A"/>
          <w:sz w:val="20"/>
          <w:szCs w:val="20"/>
        </w:rPr>
      </w:pPr>
      <w:r w:rsidRPr="00002D43">
        <w:rPr>
          <w:rFonts w:ascii="Verdana" w:hAnsi="Verdana" w:cs="Arial"/>
          <w:b/>
          <w:color w:val="004E9A"/>
          <w:sz w:val="20"/>
          <w:szCs w:val="20"/>
        </w:rPr>
        <w:lastRenderedPageBreak/>
        <w:t>1. Predmet javnega razpisa</w:t>
      </w:r>
    </w:p>
    <w:p w14:paraId="61D1D267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4981937B" w14:textId="53DE49F6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Mestna občina Nova Gorica </w:t>
      </w:r>
      <w:r w:rsidR="00C416D0" w:rsidRPr="00D338D9">
        <w:rPr>
          <w:rFonts w:ascii="Verdana" w:hAnsi="Verdana" w:cs="Arial"/>
          <w:sz w:val="20"/>
          <w:szCs w:val="20"/>
        </w:rPr>
        <w:t xml:space="preserve">(v nadaljevanju MONG) </w:t>
      </w:r>
      <w:r w:rsidRPr="00D338D9">
        <w:rPr>
          <w:rFonts w:ascii="Verdana" w:hAnsi="Verdana" w:cs="Arial"/>
          <w:sz w:val="20"/>
          <w:szCs w:val="20"/>
        </w:rPr>
        <w:t xml:space="preserve">si že vrsto let prizadeva </w:t>
      </w:r>
      <w:r w:rsidR="00C416D0" w:rsidRPr="00D338D9">
        <w:rPr>
          <w:rFonts w:ascii="Verdana" w:hAnsi="Verdana" w:cs="Arial"/>
          <w:sz w:val="20"/>
          <w:szCs w:val="20"/>
        </w:rPr>
        <w:t>za</w:t>
      </w:r>
      <w:r w:rsidRPr="00D338D9">
        <w:rPr>
          <w:rFonts w:ascii="Verdana" w:hAnsi="Verdana" w:cs="Arial"/>
          <w:sz w:val="20"/>
          <w:szCs w:val="20"/>
        </w:rPr>
        <w:t xml:space="preserve"> izboljšanj</w:t>
      </w:r>
      <w:r w:rsidR="00C416D0" w:rsidRPr="00D338D9">
        <w:rPr>
          <w:rFonts w:ascii="Verdana" w:hAnsi="Verdana" w:cs="Arial"/>
          <w:sz w:val="20"/>
          <w:szCs w:val="20"/>
        </w:rPr>
        <w:t>e</w:t>
      </w:r>
      <w:r w:rsidRPr="00D338D9">
        <w:rPr>
          <w:rFonts w:ascii="Verdana" w:hAnsi="Verdana" w:cs="Arial"/>
          <w:sz w:val="20"/>
          <w:szCs w:val="20"/>
        </w:rPr>
        <w:t xml:space="preserve"> razmer na področju varstva okolja, s tem da sodeluje v raznih mednarodnih projektih, izvaja različne monitoringe </w:t>
      </w:r>
      <w:proofErr w:type="spellStart"/>
      <w:r w:rsidRPr="00D338D9">
        <w:rPr>
          <w:rFonts w:ascii="Verdana" w:hAnsi="Verdana" w:cs="Arial"/>
          <w:sz w:val="20"/>
          <w:szCs w:val="20"/>
        </w:rPr>
        <w:t>okoljski</w:t>
      </w:r>
      <w:r w:rsidR="00C416D0" w:rsidRPr="00D338D9">
        <w:rPr>
          <w:rFonts w:ascii="Verdana" w:hAnsi="Verdana" w:cs="Arial"/>
          <w:sz w:val="20"/>
          <w:szCs w:val="20"/>
        </w:rPr>
        <w:t>h</w:t>
      </w:r>
      <w:proofErr w:type="spellEnd"/>
      <w:r w:rsidRPr="00D338D9">
        <w:rPr>
          <w:rFonts w:ascii="Verdana" w:hAnsi="Verdana" w:cs="Arial"/>
          <w:sz w:val="20"/>
          <w:szCs w:val="20"/>
        </w:rPr>
        <w:t xml:space="preserve"> parametrov ter že 2</w:t>
      </w:r>
      <w:r w:rsidR="00391AF5" w:rsidRPr="00D338D9">
        <w:rPr>
          <w:rFonts w:ascii="Verdana" w:hAnsi="Verdana" w:cs="Arial"/>
          <w:sz w:val="20"/>
          <w:szCs w:val="20"/>
        </w:rPr>
        <w:t>4</w:t>
      </w:r>
      <w:r w:rsidRPr="00D338D9">
        <w:rPr>
          <w:rFonts w:ascii="Verdana" w:hAnsi="Verdana" w:cs="Arial"/>
          <w:sz w:val="20"/>
          <w:szCs w:val="20"/>
        </w:rPr>
        <w:t xml:space="preserve"> let sodeluje v vseevropski akciji Evropsk</w:t>
      </w:r>
      <w:r w:rsidR="00E030A0" w:rsidRPr="00D338D9">
        <w:rPr>
          <w:rFonts w:ascii="Verdana" w:hAnsi="Verdana" w:cs="Arial"/>
          <w:sz w:val="20"/>
          <w:szCs w:val="20"/>
        </w:rPr>
        <w:t>i</w:t>
      </w:r>
      <w:r w:rsidRPr="00D338D9">
        <w:rPr>
          <w:rFonts w:ascii="Verdana" w:hAnsi="Verdana" w:cs="Arial"/>
          <w:sz w:val="20"/>
          <w:szCs w:val="20"/>
        </w:rPr>
        <w:t xml:space="preserve"> ted</w:t>
      </w:r>
      <w:r w:rsidR="00E030A0" w:rsidRPr="00D338D9">
        <w:rPr>
          <w:rFonts w:ascii="Verdana" w:hAnsi="Verdana" w:cs="Arial"/>
          <w:sz w:val="20"/>
          <w:szCs w:val="20"/>
        </w:rPr>
        <w:t>en</w:t>
      </w:r>
      <w:r w:rsidRPr="00D338D9">
        <w:rPr>
          <w:rFonts w:ascii="Verdana" w:hAnsi="Verdana" w:cs="Arial"/>
          <w:sz w:val="20"/>
          <w:szCs w:val="20"/>
        </w:rPr>
        <w:t xml:space="preserve"> mobilnosti. Z namenom </w:t>
      </w:r>
      <w:r w:rsidR="00C416D0" w:rsidRPr="00D338D9">
        <w:rPr>
          <w:rFonts w:ascii="Verdana" w:hAnsi="Verdana" w:cs="Arial"/>
          <w:sz w:val="20"/>
          <w:szCs w:val="20"/>
        </w:rPr>
        <w:t xml:space="preserve">doseganja </w:t>
      </w:r>
      <w:r w:rsidRPr="00D338D9">
        <w:rPr>
          <w:rFonts w:ascii="Verdana" w:hAnsi="Verdana" w:cs="Arial"/>
          <w:sz w:val="20"/>
          <w:szCs w:val="20"/>
        </w:rPr>
        <w:t xml:space="preserve">večjega </w:t>
      </w:r>
      <w:r w:rsidR="00C416D0" w:rsidRPr="00D338D9">
        <w:rPr>
          <w:rFonts w:ascii="Verdana" w:hAnsi="Verdana" w:cs="Arial"/>
          <w:sz w:val="20"/>
          <w:szCs w:val="20"/>
        </w:rPr>
        <w:t xml:space="preserve"> števila</w:t>
      </w:r>
      <w:r w:rsidRPr="00D338D9">
        <w:rPr>
          <w:rFonts w:ascii="Verdana" w:hAnsi="Verdana" w:cs="Arial"/>
          <w:sz w:val="20"/>
          <w:szCs w:val="20"/>
        </w:rPr>
        <w:t xml:space="preserve"> deležnikov se je MONG za leto 202</w:t>
      </w:r>
      <w:r w:rsidR="00391AF5" w:rsidRPr="00D338D9">
        <w:rPr>
          <w:rFonts w:ascii="Verdana" w:hAnsi="Verdana" w:cs="Arial"/>
          <w:sz w:val="20"/>
          <w:szCs w:val="20"/>
        </w:rPr>
        <w:t>6</w:t>
      </w:r>
      <w:r w:rsidRPr="00D338D9">
        <w:rPr>
          <w:rFonts w:ascii="Verdana" w:hAnsi="Verdana" w:cs="Arial"/>
          <w:sz w:val="20"/>
          <w:szCs w:val="20"/>
        </w:rPr>
        <w:t xml:space="preserve"> odločila sofinancirati projekte nevladnih organizacij in neprofitnih organizacij na temo ozaveščanja, informiranja in izobraževanja o varstvu okolja.  S tem želi razširiti partnerstvo med javnim sektorjem in civilno družbo glede skupnega ozaveščanja </w:t>
      </w:r>
      <w:r w:rsidR="00C416D0" w:rsidRPr="00D338D9">
        <w:rPr>
          <w:rFonts w:ascii="Verdana" w:hAnsi="Verdana" w:cs="Arial"/>
          <w:sz w:val="20"/>
          <w:szCs w:val="20"/>
        </w:rPr>
        <w:t>in</w:t>
      </w:r>
      <w:r w:rsidRPr="00D338D9">
        <w:rPr>
          <w:rFonts w:ascii="Verdana" w:hAnsi="Verdana" w:cs="Arial"/>
          <w:sz w:val="20"/>
          <w:szCs w:val="20"/>
        </w:rPr>
        <w:t xml:space="preserve"> izobraževanja splošne javnost</w:t>
      </w:r>
      <w:r w:rsidR="00D95F06" w:rsidRPr="00D338D9">
        <w:rPr>
          <w:rFonts w:ascii="Verdana" w:hAnsi="Verdana" w:cs="Arial"/>
          <w:sz w:val="20"/>
          <w:szCs w:val="20"/>
        </w:rPr>
        <w:t>i</w:t>
      </w:r>
      <w:r w:rsidRPr="00D338D9">
        <w:rPr>
          <w:rFonts w:ascii="Verdana" w:hAnsi="Verdana" w:cs="Arial"/>
          <w:sz w:val="20"/>
          <w:szCs w:val="20"/>
        </w:rPr>
        <w:t>, saj se zaveda, da brez vključevanj</w:t>
      </w:r>
      <w:r w:rsidR="00C416D0" w:rsidRPr="00D338D9">
        <w:rPr>
          <w:rFonts w:ascii="Verdana" w:hAnsi="Verdana" w:cs="Arial"/>
          <w:sz w:val="20"/>
          <w:szCs w:val="20"/>
        </w:rPr>
        <w:t>a</w:t>
      </w:r>
      <w:r w:rsidRPr="00D338D9">
        <w:rPr>
          <w:rFonts w:ascii="Verdana" w:hAnsi="Verdana" w:cs="Arial"/>
          <w:sz w:val="20"/>
          <w:szCs w:val="20"/>
        </w:rPr>
        <w:t xml:space="preserve"> civilne družbe ne bo moč doseči podnebne nevtralnosti. </w:t>
      </w:r>
    </w:p>
    <w:p w14:paraId="0B03BC44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3DFD5186" w14:textId="77777777" w:rsidR="00991CF9" w:rsidRPr="00D338D9" w:rsidRDefault="00991CF9" w:rsidP="00991CF9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Cilji javnega razpisa so:</w:t>
      </w:r>
    </w:p>
    <w:p w14:paraId="3A2D65B6" w14:textId="77777777" w:rsidR="00991CF9" w:rsidRPr="00D338D9" w:rsidRDefault="00991CF9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spodbujanje trajnostnega razvoja in ohranjanja naravnih virov,</w:t>
      </w:r>
    </w:p>
    <w:p w14:paraId="7AA3BD66" w14:textId="56FCE81E" w:rsidR="00991CF9" w:rsidRPr="00D338D9" w:rsidRDefault="00991CF9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izboljšanje kakovosti okolja in bivanja v </w:t>
      </w:r>
      <w:r w:rsidR="00EA42A7" w:rsidRPr="00D338D9">
        <w:rPr>
          <w:rFonts w:ascii="Verdana" w:hAnsi="Verdana" w:cs="Arial"/>
          <w:sz w:val="20"/>
          <w:szCs w:val="20"/>
        </w:rPr>
        <w:t>MONG</w:t>
      </w:r>
      <w:r w:rsidRPr="00D338D9">
        <w:rPr>
          <w:rFonts w:ascii="Verdana" w:hAnsi="Verdana" w:cs="Arial"/>
          <w:sz w:val="20"/>
          <w:szCs w:val="20"/>
        </w:rPr>
        <w:t>,</w:t>
      </w:r>
    </w:p>
    <w:p w14:paraId="76A5DA6D" w14:textId="77777777" w:rsidR="00991CF9" w:rsidRPr="00D338D9" w:rsidRDefault="00991CF9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povečanje ozaveščenosti prebivalcev o pomenu varstva okolja,</w:t>
      </w:r>
    </w:p>
    <w:p w14:paraId="61D2AB52" w14:textId="2D1F7BAE" w:rsidR="00FD6F29" w:rsidRPr="00D338D9" w:rsidRDefault="0019424A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spodbujanje prebivalcev k uporabi alternativnih načinov premikanja </w:t>
      </w:r>
      <w:r w:rsidR="004117EB" w:rsidRPr="00D338D9">
        <w:rPr>
          <w:rFonts w:ascii="Verdana" w:hAnsi="Verdana" w:cs="Arial"/>
          <w:sz w:val="20"/>
          <w:szCs w:val="20"/>
        </w:rPr>
        <w:t>(spodbujanje trajnostne mobilnosti)</w:t>
      </w:r>
      <w:r w:rsidR="00B53CA4" w:rsidRPr="00D338D9">
        <w:rPr>
          <w:rFonts w:ascii="Verdana" w:hAnsi="Verdana" w:cs="Arial"/>
          <w:sz w:val="20"/>
          <w:szCs w:val="20"/>
        </w:rPr>
        <w:t>,</w:t>
      </w:r>
    </w:p>
    <w:p w14:paraId="53B988D9" w14:textId="77777777" w:rsidR="00991CF9" w:rsidRPr="00D338D9" w:rsidRDefault="00991CF9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podpora projektom, ki prispevajo k zmanjšanju negativnih vplivov na okolje,</w:t>
      </w:r>
    </w:p>
    <w:p w14:paraId="0FC3D36A" w14:textId="77777777" w:rsidR="00991CF9" w:rsidRPr="00D338D9" w:rsidRDefault="00991CF9" w:rsidP="00991CF9">
      <w:pPr>
        <w:pStyle w:val="Navadensplet"/>
        <w:numPr>
          <w:ilvl w:val="0"/>
          <w:numId w:val="7"/>
        </w:numPr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spodbujanje sodelovanja različnih deležnikov pri </w:t>
      </w:r>
      <w:proofErr w:type="spellStart"/>
      <w:r w:rsidRPr="00D338D9">
        <w:rPr>
          <w:rFonts w:ascii="Verdana" w:hAnsi="Verdana" w:cs="Arial"/>
          <w:sz w:val="20"/>
          <w:szCs w:val="20"/>
        </w:rPr>
        <w:t>okoljskih</w:t>
      </w:r>
      <w:proofErr w:type="spellEnd"/>
      <w:r w:rsidRPr="00D338D9">
        <w:rPr>
          <w:rFonts w:ascii="Verdana" w:hAnsi="Verdana" w:cs="Arial"/>
          <w:sz w:val="20"/>
          <w:szCs w:val="20"/>
        </w:rPr>
        <w:t xml:space="preserve"> pobudah.</w:t>
      </w:r>
    </w:p>
    <w:p w14:paraId="1C673231" w14:textId="77777777" w:rsidR="00991CF9" w:rsidRPr="00D338D9" w:rsidRDefault="00991CF9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020B9C80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221AD39D" w14:textId="4C44C422" w:rsidR="00D95F06" w:rsidRPr="00002D43" w:rsidRDefault="00E1139D" w:rsidP="00E1139D">
      <w:pPr>
        <w:pStyle w:val="Brezrazmikov"/>
        <w:rPr>
          <w:rFonts w:ascii="Verdana" w:hAnsi="Verdana" w:cs="Arial"/>
          <w:b/>
          <w:color w:val="004E9A"/>
          <w:sz w:val="20"/>
          <w:szCs w:val="20"/>
        </w:rPr>
      </w:pPr>
      <w:r w:rsidRPr="00002D43">
        <w:rPr>
          <w:rFonts w:ascii="Verdana" w:hAnsi="Verdana" w:cs="Arial"/>
          <w:b/>
          <w:color w:val="004E9A"/>
          <w:sz w:val="20"/>
          <w:szCs w:val="20"/>
        </w:rPr>
        <w:t xml:space="preserve">2. </w:t>
      </w:r>
      <w:r w:rsidR="00D95F06" w:rsidRPr="00002D43">
        <w:rPr>
          <w:rFonts w:ascii="Verdana" w:hAnsi="Verdana" w:cs="Arial"/>
          <w:b/>
          <w:color w:val="004E9A"/>
          <w:sz w:val="20"/>
          <w:szCs w:val="20"/>
        </w:rPr>
        <w:t xml:space="preserve"> Okvirna višina sredstev, ki so na razpolago</w:t>
      </w:r>
    </w:p>
    <w:p w14:paraId="7A8AFFF1" w14:textId="77777777" w:rsidR="00D95F06" w:rsidRPr="00D338D9" w:rsidRDefault="00D95F06" w:rsidP="00E1139D">
      <w:pPr>
        <w:pStyle w:val="Brezrazmikov"/>
        <w:rPr>
          <w:rFonts w:ascii="Verdana" w:hAnsi="Verdana" w:cs="Arial"/>
          <w:b/>
          <w:sz w:val="20"/>
          <w:szCs w:val="20"/>
        </w:rPr>
      </w:pPr>
    </w:p>
    <w:p w14:paraId="29C23370" w14:textId="7567AD22" w:rsidR="00D95F06" w:rsidRPr="00D338D9" w:rsidRDefault="00D95F06" w:rsidP="00D95F06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Višina razpoložljivih sredstev za javni razpis za leto 202</w:t>
      </w:r>
      <w:r w:rsidR="00F801B4" w:rsidRPr="00D338D9">
        <w:rPr>
          <w:rFonts w:ascii="Verdana" w:hAnsi="Verdana" w:cs="Arial"/>
          <w:sz w:val="20"/>
          <w:szCs w:val="20"/>
        </w:rPr>
        <w:t>6</w:t>
      </w:r>
      <w:r w:rsidRPr="00D338D9">
        <w:rPr>
          <w:rFonts w:ascii="Verdana" w:hAnsi="Verdana" w:cs="Arial"/>
          <w:sz w:val="20"/>
          <w:szCs w:val="20"/>
        </w:rPr>
        <w:t xml:space="preserve"> znaša </w:t>
      </w:r>
      <w:r w:rsidR="0075024F" w:rsidRPr="00D338D9">
        <w:rPr>
          <w:rFonts w:ascii="Verdana" w:hAnsi="Verdana" w:cs="Arial"/>
          <w:sz w:val="20"/>
          <w:szCs w:val="20"/>
        </w:rPr>
        <w:t>6</w:t>
      </w:r>
      <w:r w:rsidRPr="00D338D9">
        <w:rPr>
          <w:rFonts w:ascii="Verdana" w:hAnsi="Verdana" w:cs="Arial"/>
          <w:sz w:val="20"/>
          <w:szCs w:val="20"/>
        </w:rPr>
        <w:t>.000,00 EUR.</w:t>
      </w:r>
    </w:p>
    <w:p w14:paraId="47AEFA96" w14:textId="77777777" w:rsidR="00D95F06" w:rsidRPr="00D338D9" w:rsidRDefault="00D95F06" w:rsidP="00E1139D">
      <w:pPr>
        <w:pStyle w:val="Brezrazmikov"/>
        <w:rPr>
          <w:rFonts w:ascii="Verdana" w:hAnsi="Verdana" w:cs="Arial"/>
          <w:b/>
          <w:sz w:val="20"/>
          <w:szCs w:val="20"/>
        </w:rPr>
      </w:pPr>
    </w:p>
    <w:p w14:paraId="127F9BB1" w14:textId="53B3C2C9" w:rsidR="00E1139D" w:rsidRPr="00002D43" w:rsidRDefault="00D95F06" w:rsidP="00E1139D">
      <w:pPr>
        <w:pStyle w:val="Brezrazmikov"/>
        <w:rPr>
          <w:rFonts w:ascii="Verdana" w:hAnsi="Verdana" w:cs="Arial"/>
          <w:b/>
          <w:color w:val="004E9A"/>
          <w:sz w:val="20"/>
          <w:szCs w:val="20"/>
        </w:rPr>
      </w:pPr>
      <w:r w:rsidRPr="00002D43">
        <w:rPr>
          <w:rFonts w:ascii="Verdana" w:hAnsi="Verdana" w:cs="Arial"/>
          <w:b/>
          <w:color w:val="004E9A"/>
          <w:sz w:val="20"/>
          <w:szCs w:val="20"/>
        </w:rPr>
        <w:t xml:space="preserve">3. </w:t>
      </w:r>
      <w:r w:rsidR="00E1139D" w:rsidRPr="00002D43">
        <w:rPr>
          <w:rFonts w:ascii="Verdana" w:hAnsi="Verdana" w:cs="Arial"/>
          <w:b/>
          <w:color w:val="004E9A"/>
          <w:sz w:val="20"/>
          <w:szCs w:val="20"/>
        </w:rPr>
        <w:t xml:space="preserve">Merila za ocenjevanje in vrednotenje vlog ter pogoji za izbor projektov/aktivnosti v sofinanciranje  </w:t>
      </w:r>
    </w:p>
    <w:p w14:paraId="23B0B1C4" w14:textId="77777777" w:rsidR="00991CF9" w:rsidRPr="00D338D9" w:rsidRDefault="00991CF9" w:rsidP="00991CF9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MONG bo sredstva dodeljevala na podlagi doseženih točk pri ocenjevanju vlog. Strokovna komisija bo razvrstila prijavljene projekte od najvišje do najnižje ocenjenega; sofinancirajo se projekti, ki dosežejo minimalno 50 točk.</w:t>
      </w:r>
    </w:p>
    <w:p w14:paraId="58C425AA" w14:textId="77777777" w:rsidR="000506E7" w:rsidRPr="00D338D9" w:rsidRDefault="000506E7" w:rsidP="00991CF9">
      <w:pPr>
        <w:jc w:val="both"/>
        <w:rPr>
          <w:rFonts w:ascii="Verdana" w:hAnsi="Verdana" w:cs="Arial"/>
          <w:sz w:val="20"/>
          <w:szCs w:val="20"/>
        </w:rPr>
      </w:pPr>
    </w:p>
    <w:p w14:paraId="7D7F8917" w14:textId="77777777" w:rsidR="00106B21" w:rsidRPr="00D338D9" w:rsidRDefault="00106B21" w:rsidP="00991CF9">
      <w:pPr>
        <w:jc w:val="both"/>
        <w:rPr>
          <w:rFonts w:ascii="Verdana" w:hAnsi="Verdana" w:cs="Arial"/>
          <w:sz w:val="20"/>
          <w:szCs w:val="20"/>
        </w:rPr>
      </w:pPr>
    </w:p>
    <w:p w14:paraId="49DEF43B" w14:textId="77777777" w:rsidR="00106B21" w:rsidRPr="00D338D9" w:rsidRDefault="00106B21" w:rsidP="00991C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13"/>
        <w:gridCol w:w="4307"/>
      </w:tblGrid>
      <w:tr w:rsidR="000506E7" w:rsidRPr="00D338D9" w14:paraId="41D1C6BE" w14:textId="77777777" w:rsidTr="00F84A7C">
        <w:tc>
          <w:tcPr>
            <w:tcW w:w="4413" w:type="dxa"/>
          </w:tcPr>
          <w:p w14:paraId="7C0650E6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Kriterij 1 - Vsebinska ocena projekta:</w:t>
            </w:r>
          </w:p>
        </w:tc>
        <w:tc>
          <w:tcPr>
            <w:tcW w:w="4307" w:type="dxa"/>
          </w:tcPr>
          <w:p w14:paraId="195A8CA1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Število možnih točk: do 70 točk</w:t>
            </w:r>
          </w:p>
        </w:tc>
      </w:tr>
      <w:tr w:rsidR="000506E7" w:rsidRPr="00D338D9" w14:paraId="10D4982F" w14:textId="77777777" w:rsidTr="00F84A7C">
        <w:tc>
          <w:tcPr>
            <w:tcW w:w="4413" w:type="dxa"/>
            <w:tcBorders>
              <w:bottom w:val="nil"/>
              <w:right w:val="single" w:sz="4" w:space="0" w:color="auto"/>
            </w:tcBorders>
          </w:tcPr>
          <w:p w14:paraId="3BB11887" w14:textId="77777777" w:rsidR="000506E7" w:rsidRPr="00D338D9" w:rsidRDefault="000506E7" w:rsidP="000506E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vsebinska zaokroženost projekta, celovitost, aktualnost,</w:t>
            </w:r>
          </w:p>
          <w:p w14:paraId="1406B44F" w14:textId="77777777" w:rsidR="000506E7" w:rsidRPr="00D338D9" w:rsidRDefault="000506E7" w:rsidP="00265C5D">
            <w:pPr>
              <w:pStyle w:val="Odstavekseznama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07" w:type="dxa"/>
            <w:tcBorders>
              <w:left w:val="single" w:sz="4" w:space="0" w:color="auto"/>
              <w:bottom w:val="nil"/>
            </w:tcBorders>
          </w:tcPr>
          <w:p w14:paraId="603FF631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10 točk</w:t>
            </w:r>
          </w:p>
        </w:tc>
      </w:tr>
      <w:tr w:rsidR="000506E7" w:rsidRPr="00D338D9" w14:paraId="46B3E0EB" w14:textId="77777777" w:rsidTr="00F84A7C">
        <w:trPr>
          <w:trHeight w:val="602"/>
        </w:trPr>
        <w:tc>
          <w:tcPr>
            <w:tcW w:w="4413" w:type="dxa"/>
            <w:tcBorders>
              <w:top w:val="nil"/>
              <w:bottom w:val="nil"/>
              <w:right w:val="single" w:sz="4" w:space="0" w:color="auto"/>
            </w:tcBorders>
          </w:tcPr>
          <w:p w14:paraId="46DF0982" w14:textId="77777777" w:rsidR="000506E7" w:rsidRPr="00D338D9" w:rsidRDefault="000506E7" w:rsidP="000506E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ustvarjalnost, inovativnost v pristopu in izvedbi,</w:t>
            </w: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nil"/>
            </w:tcBorders>
          </w:tcPr>
          <w:p w14:paraId="757C902C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10 točk</w:t>
            </w:r>
          </w:p>
        </w:tc>
      </w:tr>
      <w:tr w:rsidR="000506E7" w:rsidRPr="00D338D9" w14:paraId="5D4CF33D" w14:textId="77777777" w:rsidTr="00F84A7C">
        <w:tc>
          <w:tcPr>
            <w:tcW w:w="4413" w:type="dxa"/>
            <w:tcBorders>
              <w:top w:val="nil"/>
              <w:bottom w:val="nil"/>
              <w:right w:val="single" w:sz="4" w:space="0" w:color="auto"/>
            </w:tcBorders>
          </w:tcPr>
          <w:p w14:paraId="7DC877CD" w14:textId="77777777" w:rsidR="000506E7" w:rsidRPr="00D338D9" w:rsidRDefault="000506E7" w:rsidP="000506E7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eastAsia="Times New Roman" w:hAnsi="Verdana" w:cs="Arial"/>
                <w:kern w:val="0"/>
                <w:sz w:val="20"/>
                <w:szCs w:val="20"/>
                <w:lang w:eastAsia="sl-SI"/>
              </w:rPr>
              <w:t xml:space="preserve">prispevanje k večji </w:t>
            </w:r>
            <w:r w:rsidRPr="00D338D9">
              <w:rPr>
                <w:rFonts w:ascii="Verdana" w:hAnsi="Verdana" w:cs="Arial"/>
                <w:sz w:val="20"/>
                <w:szCs w:val="20"/>
              </w:rPr>
              <w:t>ozaveščenosti in izobraževanju o varstvu okolja,</w:t>
            </w:r>
          </w:p>
          <w:p w14:paraId="0EA8EAE9" w14:textId="77777777" w:rsidR="000506E7" w:rsidRPr="00D338D9" w:rsidRDefault="000506E7" w:rsidP="00265C5D">
            <w:pPr>
              <w:pStyle w:val="Odstavekseznama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nil"/>
            </w:tcBorders>
          </w:tcPr>
          <w:p w14:paraId="0148B4CE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10 točk</w:t>
            </w:r>
          </w:p>
        </w:tc>
      </w:tr>
      <w:tr w:rsidR="000506E7" w:rsidRPr="00D338D9" w14:paraId="0D994107" w14:textId="77777777" w:rsidTr="00F84A7C">
        <w:tc>
          <w:tcPr>
            <w:tcW w:w="4413" w:type="dxa"/>
            <w:tcBorders>
              <w:top w:val="nil"/>
              <w:bottom w:val="nil"/>
              <w:right w:val="single" w:sz="4" w:space="0" w:color="auto"/>
            </w:tcBorders>
          </w:tcPr>
          <w:p w14:paraId="6C1C5209" w14:textId="77777777" w:rsidR="000506E7" w:rsidRPr="00D338D9" w:rsidRDefault="000506E7" w:rsidP="000506E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 xml:space="preserve">promocijski načrt, </w:t>
            </w:r>
          </w:p>
          <w:p w14:paraId="158417A3" w14:textId="77777777" w:rsidR="000506E7" w:rsidRPr="00D338D9" w:rsidRDefault="000506E7" w:rsidP="00265C5D">
            <w:pPr>
              <w:pStyle w:val="Odstavekseznama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nil"/>
            </w:tcBorders>
          </w:tcPr>
          <w:p w14:paraId="078B7F24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10 točk</w:t>
            </w:r>
          </w:p>
        </w:tc>
      </w:tr>
      <w:tr w:rsidR="000506E7" w:rsidRPr="00D338D9" w14:paraId="4E017990" w14:textId="77777777" w:rsidTr="00F84A7C">
        <w:tc>
          <w:tcPr>
            <w:tcW w:w="4413" w:type="dxa"/>
            <w:tcBorders>
              <w:top w:val="nil"/>
              <w:bottom w:val="nil"/>
              <w:right w:val="single" w:sz="4" w:space="0" w:color="auto"/>
            </w:tcBorders>
          </w:tcPr>
          <w:p w14:paraId="4B605ED1" w14:textId="77777777" w:rsidR="000506E7" w:rsidRPr="00D338D9" w:rsidRDefault="000506E7" w:rsidP="000506E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 xml:space="preserve">načrtovani doseg ciljnih skupin,  </w:t>
            </w:r>
          </w:p>
          <w:p w14:paraId="4B225762" w14:textId="77777777" w:rsidR="000506E7" w:rsidRPr="00D338D9" w:rsidRDefault="000506E7" w:rsidP="00265C5D">
            <w:pPr>
              <w:pStyle w:val="Odstavekseznama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nil"/>
            </w:tcBorders>
          </w:tcPr>
          <w:p w14:paraId="7F7F342C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10 točk</w:t>
            </w:r>
          </w:p>
        </w:tc>
      </w:tr>
      <w:tr w:rsidR="000506E7" w:rsidRPr="00D338D9" w14:paraId="1E848FF9" w14:textId="77777777" w:rsidTr="00F84A7C">
        <w:tc>
          <w:tcPr>
            <w:tcW w:w="4413" w:type="dxa"/>
            <w:tcBorders>
              <w:top w:val="nil"/>
              <w:right w:val="single" w:sz="4" w:space="0" w:color="auto"/>
            </w:tcBorders>
          </w:tcPr>
          <w:p w14:paraId="29A173A3" w14:textId="77777777" w:rsidR="000506E7" w:rsidRPr="00D338D9" w:rsidRDefault="000506E7" w:rsidP="000506E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aktivnosti  vezane na letošnjo</w:t>
            </w:r>
          </w:p>
          <w:p w14:paraId="31DE0464" w14:textId="68F9036E" w:rsidR="000506E7" w:rsidRPr="00D338D9" w:rsidRDefault="000506E7" w:rsidP="007C31C3">
            <w:pPr>
              <w:pStyle w:val="Odstavekseznama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temo Evropskega tedna mobilnosti »Mobilnost za vse«</w:t>
            </w:r>
            <w:r w:rsidR="007C31C3" w:rsidRPr="00D338D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nil"/>
              <w:left w:val="single" w:sz="4" w:space="0" w:color="auto"/>
            </w:tcBorders>
          </w:tcPr>
          <w:p w14:paraId="2D5B3171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20 točk</w:t>
            </w:r>
          </w:p>
        </w:tc>
      </w:tr>
      <w:tr w:rsidR="000506E7" w:rsidRPr="00D338D9" w14:paraId="3A3D8909" w14:textId="77777777" w:rsidTr="00F84A7C">
        <w:tc>
          <w:tcPr>
            <w:tcW w:w="4413" w:type="dxa"/>
            <w:tcBorders>
              <w:bottom w:val="single" w:sz="4" w:space="0" w:color="auto"/>
            </w:tcBorders>
          </w:tcPr>
          <w:p w14:paraId="5E9407B7" w14:textId="77777777" w:rsidR="000506E7" w:rsidRPr="00D338D9" w:rsidRDefault="000506E7" w:rsidP="00265C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Kriterij 2 - Organizacijska in tehnična zahtevnost projekta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6FF8E386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Število možnih točk: do 20 točk</w:t>
            </w:r>
          </w:p>
        </w:tc>
      </w:tr>
      <w:tr w:rsidR="000506E7" w:rsidRPr="00D338D9" w14:paraId="299DFE2A" w14:textId="77777777" w:rsidTr="00F84A7C">
        <w:tc>
          <w:tcPr>
            <w:tcW w:w="4413" w:type="dxa"/>
            <w:tcBorders>
              <w:top w:val="nil"/>
              <w:bottom w:val="nil"/>
              <w:right w:val="single" w:sz="4" w:space="0" w:color="auto"/>
            </w:tcBorders>
          </w:tcPr>
          <w:p w14:paraId="1487C864" w14:textId="34057BA3" w:rsidR="000506E7" w:rsidRPr="00D338D9" w:rsidRDefault="000506E7" w:rsidP="000506E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aktivnosti trajajo več kot 1 mesec</w:t>
            </w:r>
            <w:r w:rsidR="007C31C3" w:rsidRPr="00D338D9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381F5628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nil"/>
              <w:left w:val="single" w:sz="4" w:space="0" w:color="auto"/>
              <w:bottom w:val="nil"/>
            </w:tcBorders>
          </w:tcPr>
          <w:p w14:paraId="25390E5B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10 točk</w:t>
            </w:r>
          </w:p>
          <w:p w14:paraId="18E87A06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506E7" w:rsidRPr="00D338D9" w14:paraId="507777F7" w14:textId="77777777" w:rsidTr="00F84A7C">
        <w:tc>
          <w:tcPr>
            <w:tcW w:w="4413" w:type="dxa"/>
            <w:tcBorders>
              <w:top w:val="nil"/>
              <w:right w:val="single" w:sz="4" w:space="0" w:color="auto"/>
            </w:tcBorders>
          </w:tcPr>
          <w:p w14:paraId="2D2C5DC3" w14:textId="56F865D3" w:rsidR="000506E7" w:rsidRPr="00D338D9" w:rsidRDefault="007C31C3" w:rsidP="000506E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lastRenderedPageBreak/>
              <w:t>aktivnosti se izvajajo v času Evropskega tedna mobilnosti med 16. in 23. 9. 202</w:t>
            </w:r>
            <w:r w:rsidR="0018133A" w:rsidRPr="00D338D9">
              <w:rPr>
                <w:rFonts w:ascii="Verdana" w:hAnsi="Verdana" w:cs="Arial"/>
                <w:sz w:val="20"/>
                <w:szCs w:val="20"/>
              </w:rPr>
              <w:t>6</w:t>
            </w:r>
            <w:r w:rsidRPr="00D338D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nil"/>
              <w:left w:val="single" w:sz="4" w:space="0" w:color="auto"/>
            </w:tcBorders>
          </w:tcPr>
          <w:p w14:paraId="1A15C6C7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10 točk</w:t>
            </w:r>
          </w:p>
        </w:tc>
      </w:tr>
      <w:tr w:rsidR="000506E7" w:rsidRPr="00D338D9" w14:paraId="1B04F1CE" w14:textId="77777777" w:rsidTr="00F84A7C">
        <w:tc>
          <w:tcPr>
            <w:tcW w:w="4413" w:type="dxa"/>
          </w:tcPr>
          <w:p w14:paraId="12421700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307" w:type="dxa"/>
          </w:tcPr>
          <w:p w14:paraId="0C790D6E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Do 90 točk</w:t>
            </w:r>
          </w:p>
        </w:tc>
      </w:tr>
    </w:tbl>
    <w:p w14:paraId="1FE87A89" w14:textId="77777777" w:rsidR="000506E7" w:rsidRPr="00D338D9" w:rsidRDefault="000506E7" w:rsidP="00991C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4410"/>
        <w:gridCol w:w="4310"/>
      </w:tblGrid>
      <w:tr w:rsidR="000506E7" w:rsidRPr="00D338D9" w14:paraId="55350A6D" w14:textId="77777777" w:rsidTr="00265C5D">
        <w:tc>
          <w:tcPr>
            <w:tcW w:w="4518" w:type="dxa"/>
            <w:tcBorders>
              <w:bottom w:val="single" w:sz="4" w:space="0" w:color="auto"/>
            </w:tcBorders>
          </w:tcPr>
          <w:p w14:paraId="0C633B86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2" w:name="_Hlk195191975"/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Kriterij 3 – Finančna ustreznost projekta 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14:paraId="55EF379B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Število možnih točk: do 10 točk</w:t>
            </w:r>
          </w:p>
        </w:tc>
      </w:tr>
      <w:tr w:rsidR="000506E7" w:rsidRPr="00D338D9" w14:paraId="68967AB7" w14:textId="77777777" w:rsidTr="00265C5D">
        <w:tc>
          <w:tcPr>
            <w:tcW w:w="4518" w:type="dxa"/>
            <w:tcBorders>
              <w:bottom w:val="nil"/>
              <w:right w:val="single" w:sz="4" w:space="0" w:color="auto"/>
            </w:tcBorders>
          </w:tcPr>
          <w:p w14:paraId="6EDDDE9F" w14:textId="77777777" w:rsidR="000506E7" w:rsidRPr="00D338D9" w:rsidRDefault="000506E7" w:rsidP="000506E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finančna konstrukcija projekta je podana pregledno, realno in ekonomično</w:t>
            </w:r>
          </w:p>
        </w:tc>
        <w:tc>
          <w:tcPr>
            <w:tcW w:w="4472" w:type="dxa"/>
            <w:tcBorders>
              <w:left w:val="single" w:sz="4" w:space="0" w:color="auto"/>
              <w:bottom w:val="nil"/>
            </w:tcBorders>
          </w:tcPr>
          <w:p w14:paraId="50B27099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5 točk</w:t>
            </w:r>
          </w:p>
        </w:tc>
      </w:tr>
      <w:tr w:rsidR="000506E7" w:rsidRPr="00D338D9" w14:paraId="7D8BB9B4" w14:textId="77777777" w:rsidTr="00265C5D">
        <w:tc>
          <w:tcPr>
            <w:tcW w:w="4518" w:type="dxa"/>
            <w:tcBorders>
              <w:top w:val="nil"/>
              <w:right w:val="single" w:sz="4" w:space="0" w:color="auto"/>
            </w:tcBorders>
          </w:tcPr>
          <w:p w14:paraId="6FEEB637" w14:textId="77777777" w:rsidR="000506E7" w:rsidRPr="00D338D9" w:rsidRDefault="000506E7" w:rsidP="000506E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izkazuje večji delež lastnih sredstev oz. sredstev drugih virov financiranja (ministrstva, sredstva EU, itd.), nad 20% lastnih sredstev</w:t>
            </w:r>
          </w:p>
        </w:tc>
        <w:tc>
          <w:tcPr>
            <w:tcW w:w="4472" w:type="dxa"/>
            <w:tcBorders>
              <w:top w:val="nil"/>
              <w:left w:val="single" w:sz="4" w:space="0" w:color="auto"/>
            </w:tcBorders>
          </w:tcPr>
          <w:p w14:paraId="33D13FDC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338D9">
              <w:rPr>
                <w:rFonts w:ascii="Verdana" w:hAnsi="Verdana" w:cs="Arial"/>
                <w:sz w:val="20"/>
                <w:szCs w:val="20"/>
              </w:rPr>
              <w:t>do 5 točk</w:t>
            </w:r>
          </w:p>
        </w:tc>
      </w:tr>
      <w:tr w:rsidR="000506E7" w:rsidRPr="00D338D9" w14:paraId="6985C8DD" w14:textId="77777777" w:rsidTr="00265C5D">
        <w:tc>
          <w:tcPr>
            <w:tcW w:w="4518" w:type="dxa"/>
          </w:tcPr>
          <w:p w14:paraId="746025F9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4472" w:type="dxa"/>
          </w:tcPr>
          <w:p w14:paraId="279DBDC4" w14:textId="77777777" w:rsidR="000506E7" w:rsidRPr="00D338D9" w:rsidRDefault="000506E7" w:rsidP="00265C5D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D338D9">
              <w:rPr>
                <w:rFonts w:ascii="Verdana" w:hAnsi="Verdana" w:cs="Arial"/>
                <w:b/>
                <w:bCs/>
                <w:sz w:val="20"/>
                <w:szCs w:val="20"/>
              </w:rPr>
              <w:t>Do 10 točk</w:t>
            </w:r>
          </w:p>
        </w:tc>
      </w:tr>
      <w:bookmarkEnd w:id="2"/>
    </w:tbl>
    <w:p w14:paraId="07675EE8" w14:textId="77777777" w:rsidR="00991CF9" w:rsidRPr="00D338D9" w:rsidRDefault="00991CF9" w:rsidP="00854AB6">
      <w:pPr>
        <w:jc w:val="both"/>
        <w:rPr>
          <w:rFonts w:ascii="Verdana" w:hAnsi="Verdana" w:cs="Arial"/>
          <w:sz w:val="20"/>
          <w:szCs w:val="20"/>
        </w:rPr>
      </w:pPr>
    </w:p>
    <w:p w14:paraId="7E73ACE5" w14:textId="77777777" w:rsidR="00991CF9" w:rsidRPr="00D338D9" w:rsidRDefault="00991CF9" w:rsidP="00854AB6">
      <w:pPr>
        <w:jc w:val="both"/>
        <w:rPr>
          <w:rFonts w:ascii="Verdana" w:hAnsi="Verdana" w:cs="Arial"/>
          <w:sz w:val="20"/>
          <w:szCs w:val="20"/>
        </w:rPr>
      </w:pPr>
    </w:p>
    <w:p w14:paraId="32BDE09F" w14:textId="50DF231A" w:rsidR="005A0BC5" w:rsidRPr="00D338D9" w:rsidRDefault="005A0BC5" w:rsidP="005A0BC5">
      <w:pPr>
        <w:jc w:val="both"/>
        <w:rPr>
          <w:rFonts w:ascii="Verdana" w:eastAsiaTheme="minorHAnsi" w:hAnsi="Verdana" w:cs="Arial"/>
          <w:b/>
          <w:bCs/>
          <w:sz w:val="20"/>
          <w:szCs w:val="20"/>
          <w:lang w:eastAsia="en-US"/>
        </w:rPr>
      </w:pPr>
      <w:r w:rsidRPr="00D338D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 xml:space="preserve">Kriterij </w:t>
      </w:r>
      <w:r w:rsidR="00E52DD7" w:rsidRPr="00D338D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3</w:t>
      </w:r>
      <w:r w:rsidRPr="00D338D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 xml:space="preserve">: zagotovljena lastna finančna sredstva prijavitelja projekta: </w:t>
      </w:r>
    </w:p>
    <w:p w14:paraId="6D458BC0" w14:textId="77777777" w:rsidR="007C31C3" w:rsidRPr="00D338D9" w:rsidRDefault="007C31C3" w:rsidP="005A0BC5">
      <w:pPr>
        <w:jc w:val="both"/>
        <w:rPr>
          <w:rFonts w:ascii="Verdana" w:eastAsiaTheme="minorHAnsi" w:hAnsi="Verdana" w:cs="Arial"/>
          <w:b/>
          <w:bCs/>
          <w:sz w:val="20"/>
          <w:szCs w:val="20"/>
          <w:lang w:eastAsia="en-US"/>
        </w:rPr>
      </w:pPr>
    </w:p>
    <w:p w14:paraId="6C597788" w14:textId="2706DDD1" w:rsidR="007C31C3" w:rsidRPr="00D338D9" w:rsidRDefault="007C31C3" w:rsidP="007C31C3">
      <w:pPr>
        <w:pStyle w:val="Odstavekseznama"/>
        <w:numPr>
          <w:ilvl w:val="0"/>
          <w:numId w:val="7"/>
        </w:numPr>
        <w:jc w:val="both"/>
        <w:rPr>
          <w:rFonts w:ascii="Verdana" w:eastAsiaTheme="minorHAnsi" w:hAnsi="Verdana" w:cs="Arial"/>
          <w:sz w:val="20"/>
          <w:szCs w:val="20"/>
        </w:rPr>
      </w:pPr>
      <w:r w:rsidRPr="00D338D9">
        <w:rPr>
          <w:rFonts w:ascii="Verdana" w:eastAsiaTheme="minorHAnsi" w:hAnsi="Verdana" w:cs="Arial"/>
          <w:sz w:val="20"/>
          <w:szCs w:val="20"/>
        </w:rPr>
        <w:t xml:space="preserve">prijavitelj ima zagotovljena finančna sredstva v višini od 20 % do vključno 30 % vrednosti projekta (1 točka); </w:t>
      </w:r>
    </w:p>
    <w:p w14:paraId="395F0EA7" w14:textId="22409BF9" w:rsidR="005A0BC5" w:rsidRPr="00D338D9" w:rsidRDefault="005A0BC5" w:rsidP="00E52DD7">
      <w:pPr>
        <w:pStyle w:val="Odstavekseznama"/>
        <w:numPr>
          <w:ilvl w:val="0"/>
          <w:numId w:val="7"/>
        </w:numPr>
        <w:jc w:val="both"/>
        <w:rPr>
          <w:rFonts w:ascii="Verdana" w:eastAsiaTheme="minorHAnsi" w:hAnsi="Verdana" w:cs="Arial"/>
          <w:sz w:val="20"/>
          <w:szCs w:val="20"/>
        </w:rPr>
      </w:pPr>
      <w:r w:rsidRPr="00D338D9">
        <w:rPr>
          <w:rFonts w:ascii="Verdana" w:eastAsiaTheme="minorHAnsi" w:hAnsi="Verdana" w:cs="Arial"/>
          <w:sz w:val="20"/>
          <w:szCs w:val="20"/>
        </w:rPr>
        <w:t>prijavitelj ima zagotovljena finančna sredstva v višini od 3</w:t>
      </w:r>
      <w:r w:rsidR="007C31C3" w:rsidRPr="00D338D9">
        <w:rPr>
          <w:rFonts w:ascii="Verdana" w:eastAsiaTheme="minorHAnsi" w:hAnsi="Verdana" w:cs="Arial"/>
          <w:sz w:val="20"/>
          <w:szCs w:val="20"/>
        </w:rPr>
        <w:t>1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 % do vključno 4</w:t>
      </w:r>
      <w:r w:rsidR="007C154F" w:rsidRPr="00D338D9">
        <w:rPr>
          <w:rFonts w:ascii="Verdana" w:eastAsiaTheme="minorHAnsi" w:hAnsi="Verdana" w:cs="Arial"/>
          <w:sz w:val="20"/>
          <w:szCs w:val="20"/>
        </w:rPr>
        <w:t>0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 % vrednosti projekta (</w:t>
      </w:r>
      <w:r w:rsidR="007C154F" w:rsidRPr="00D338D9">
        <w:rPr>
          <w:rFonts w:ascii="Verdana" w:eastAsiaTheme="minorHAnsi" w:hAnsi="Verdana" w:cs="Arial"/>
          <w:sz w:val="20"/>
          <w:szCs w:val="20"/>
        </w:rPr>
        <w:t>2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 točk</w:t>
      </w:r>
      <w:r w:rsidR="007C484A" w:rsidRPr="00D338D9">
        <w:rPr>
          <w:rFonts w:ascii="Verdana" w:eastAsiaTheme="minorHAnsi" w:hAnsi="Verdana" w:cs="Arial"/>
          <w:sz w:val="20"/>
          <w:szCs w:val="20"/>
        </w:rPr>
        <w:t>i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); </w:t>
      </w:r>
    </w:p>
    <w:p w14:paraId="0EC1DCCF" w14:textId="5FD35183" w:rsidR="005A0BC5" w:rsidRPr="00D338D9" w:rsidRDefault="005A0BC5" w:rsidP="00E52DD7">
      <w:pPr>
        <w:pStyle w:val="Odstavekseznama"/>
        <w:numPr>
          <w:ilvl w:val="0"/>
          <w:numId w:val="7"/>
        </w:numPr>
        <w:jc w:val="both"/>
        <w:rPr>
          <w:rFonts w:ascii="Verdana" w:eastAsiaTheme="minorHAnsi" w:hAnsi="Verdana" w:cs="Arial"/>
          <w:sz w:val="20"/>
          <w:szCs w:val="20"/>
        </w:rPr>
      </w:pPr>
      <w:r w:rsidRPr="00D338D9">
        <w:rPr>
          <w:rFonts w:ascii="Verdana" w:eastAsiaTheme="minorHAnsi" w:hAnsi="Verdana" w:cs="Arial"/>
          <w:sz w:val="20"/>
          <w:szCs w:val="20"/>
        </w:rPr>
        <w:t xml:space="preserve">prijavitelj ima zagotovljena finančna sredstva v višini </w:t>
      </w:r>
      <w:r w:rsidR="007C154F" w:rsidRPr="00D338D9">
        <w:rPr>
          <w:rFonts w:ascii="Verdana" w:eastAsiaTheme="minorHAnsi" w:hAnsi="Verdana" w:cs="Arial"/>
          <w:sz w:val="20"/>
          <w:szCs w:val="20"/>
        </w:rPr>
        <w:t>nad 41%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 % (</w:t>
      </w:r>
      <w:r w:rsidR="007C154F" w:rsidRPr="00D338D9">
        <w:rPr>
          <w:rFonts w:ascii="Verdana" w:eastAsiaTheme="minorHAnsi" w:hAnsi="Verdana" w:cs="Arial"/>
          <w:sz w:val="20"/>
          <w:szCs w:val="20"/>
        </w:rPr>
        <w:t>5</w:t>
      </w:r>
      <w:r w:rsidRPr="00D338D9">
        <w:rPr>
          <w:rFonts w:ascii="Verdana" w:eastAsiaTheme="minorHAnsi" w:hAnsi="Verdana" w:cs="Arial"/>
          <w:sz w:val="20"/>
          <w:szCs w:val="20"/>
        </w:rPr>
        <w:t xml:space="preserve"> točk); </w:t>
      </w:r>
    </w:p>
    <w:p w14:paraId="02732698" w14:textId="77777777" w:rsidR="005A0BC5" w:rsidRPr="00D338D9" w:rsidRDefault="005A0BC5" w:rsidP="005A0BC5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3441BEC3" w14:textId="52ABD221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Ob dodeljevanju sredstev bo strokovna komisija upoštevala tudi omejitev, da MONG sofinancira projekte v višini </w:t>
      </w:r>
      <w:r w:rsidRPr="00D338D9">
        <w:rPr>
          <w:rFonts w:ascii="Verdana" w:hAnsi="Verdana" w:cs="Arial"/>
          <w:b/>
          <w:sz w:val="20"/>
          <w:szCs w:val="20"/>
        </w:rPr>
        <w:t>največ 80 % celotne vrednosti projekta</w:t>
      </w:r>
      <w:r w:rsidR="00452D94" w:rsidRPr="00D338D9">
        <w:rPr>
          <w:rFonts w:ascii="Verdana" w:hAnsi="Verdana" w:cs="Arial"/>
          <w:b/>
          <w:sz w:val="20"/>
          <w:szCs w:val="20"/>
        </w:rPr>
        <w:t>.</w:t>
      </w:r>
      <w:r w:rsidRPr="00D338D9">
        <w:rPr>
          <w:rFonts w:ascii="Verdana" w:hAnsi="Verdana" w:cs="Arial"/>
          <w:sz w:val="20"/>
          <w:szCs w:val="20"/>
        </w:rPr>
        <w:t xml:space="preserve"> Ostalih 20% bo moral prijavitelj pokriti z lastnim deležem ali z drugimi finančnimi viri, ki ne bodo  izhaja</w:t>
      </w:r>
      <w:r w:rsidR="00B45835" w:rsidRPr="00D338D9">
        <w:rPr>
          <w:rFonts w:ascii="Verdana" w:hAnsi="Verdana" w:cs="Arial"/>
          <w:sz w:val="20"/>
          <w:szCs w:val="20"/>
        </w:rPr>
        <w:t>l</w:t>
      </w:r>
      <w:r w:rsidRPr="00D338D9">
        <w:rPr>
          <w:rFonts w:ascii="Verdana" w:hAnsi="Verdana" w:cs="Arial"/>
          <w:sz w:val="20"/>
          <w:szCs w:val="20"/>
        </w:rPr>
        <w:t>i iz proračuna MONG.</w:t>
      </w:r>
    </w:p>
    <w:p w14:paraId="593FFFA7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Med lastna sredstva prijavitelja se šteje tudi prostovoljno delo članov v nevladnih organizacijah, in sicer v višini največ 20% predvidenih lastnih sredstev. Enako razmerje se upošteva tudi pri poročanju ob dokazovanju lastnega deleža sredstev.</w:t>
      </w:r>
    </w:p>
    <w:p w14:paraId="073F8815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</w:p>
    <w:p w14:paraId="2B543C03" w14:textId="1497F688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Do sredstev (tako dodelitve kot izplačila odobrenih sredstev) iz tega javnega razpisa </w:t>
      </w:r>
      <w:r w:rsidRPr="00D338D9">
        <w:rPr>
          <w:rFonts w:ascii="Verdana" w:hAnsi="Verdana" w:cs="Arial"/>
          <w:b/>
          <w:bCs/>
          <w:sz w:val="20"/>
          <w:szCs w:val="20"/>
        </w:rPr>
        <w:t>ne bodo</w:t>
      </w:r>
      <w:r w:rsidRPr="00D338D9">
        <w:rPr>
          <w:rFonts w:ascii="Verdana" w:hAnsi="Verdana" w:cs="Arial"/>
          <w:sz w:val="20"/>
          <w:szCs w:val="20"/>
        </w:rPr>
        <w:t xml:space="preserve"> upravičeni tisti prijavitelji, ki </w:t>
      </w:r>
      <w:r w:rsidR="0088661C" w:rsidRPr="00D338D9">
        <w:rPr>
          <w:rFonts w:ascii="Verdana" w:hAnsi="Verdana" w:cs="Arial"/>
          <w:sz w:val="20"/>
          <w:szCs w:val="20"/>
        </w:rPr>
        <w:t xml:space="preserve">aktivnosti </w:t>
      </w:r>
      <w:r w:rsidRPr="00D338D9">
        <w:rPr>
          <w:rFonts w:ascii="Verdana" w:hAnsi="Verdana" w:cs="Arial"/>
          <w:sz w:val="20"/>
          <w:szCs w:val="20"/>
        </w:rPr>
        <w:t xml:space="preserve">ne bodo oglaševali v sredstvih javnega obveščanja. Prav tako do sredstev ne bodo upravičeni prijavitelji, ki na promocijskih materialih prijavljenega programa ne bodo objavili logotipa MONG oz. ne bodo navedli, da je izvedbo </w:t>
      </w:r>
      <w:r w:rsidR="00D95F06" w:rsidRPr="00D338D9">
        <w:rPr>
          <w:rFonts w:ascii="Verdana" w:hAnsi="Verdana" w:cs="Arial"/>
          <w:sz w:val="20"/>
          <w:szCs w:val="20"/>
        </w:rPr>
        <w:t xml:space="preserve">projekta </w:t>
      </w:r>
      <w:r w:rsidRPr="00D338D9">
        <w:rPr>
          <w:rFonts w:ascii="Verdana" w:hAnsi="Verdana" w:cs="Arial"/>
          <w:sz w:val="20"/>
          <w:szCs w:val="20"/>
        </w:rPr>
        <w:t>sofinancirala MONG. Le-to morajo prijavitelji ustrezno dokazati v končnem poročilu.</w:t>
      </w:r>
    </w:p>
    <w:p w14:paraId="598F0346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</w:p>
    <w:p w14:paraId="5C761DA6" w14:textId="24D98A90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Projekti, ki bodo skozi prijavno dokumentacijo izkazali izvajanje aktivnosti v sklopu Evropskega tedna mobilnosti morajo imeti v sredstvih javnega obveščanja navedbo, da so del  programa Evropskega tedna mobilnosti </w:t>
      </w:r>
      <w:r w:rsidR="00ED77AD" w:rsidRPr="00D338D9">
        <w:rPr>
          <w:rFonts w:ascii="Verdana" w:hAnsi="Verdana" w:cs="Arial"/>
          <w:sz w:val="20"/>
          <w:szCs w:val="20"/>
        </w:rPr>
        <w:t>MONG</w:t>
      </w:r>
      <w:r w:rsidRPr="00D338D9">
        <w:rPr>
          <w:rFonts w:ascii="Verdana" w:hAnsi="Verdana" w:cs="Arial"/>
          <w:sz w:val="20"/>
          <w:szCs w:val="20"/>
        </w:rPr>
        <w:t>, prav tako morajo imeti na vseh promocijskih materialih prijavljenega programa logotip ETM. Le-to morajo prijavitelji ustrezno dokazati v končnem poročilu.</w:t>
      </w:r>
    </w:p>
    <w:p w14:paraId="3A5C495D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</w:p>
    <w:p w14:paraId="01774962" w14:textId="0A6575F5" w:rsidR="00E1139D" w:rsidRPr="00D338D9" w:rsidRDefault="00E1139D" w:rsidP="00ED111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Sofinancirani bodo le </w:t>
      </w:r>
      <w:r w:rsidR="00D95F06" w:rsidRPr="00D338D9">
        <w:rPr>
          <w:rFonts w:ascii="Verdana" w:hAnsi="Verdana" w:cs="Arial"/>
          <w:sz w:val="20"/>
          <w:szCs w:val="20"/>
        </w:rPr>
        <w:t>projekti</w:t>
      </w:r>
      <w:r w:rsidRPr="00D338D9">
        <w:rPr>
          <w:rFonts w:ascii="Verdana" w:hAnsi="Verdana" w:cs="Arial"/>
          <w:sz w:val="20"/>
          <w:szCs w:val="20"/>
        </w:rPr>
        <w:t xml:space="preserve">, ki bodo izvedeni na območju </w:t>
      </w:r>
      <w:r w:rsidR="00F41CF0" w:rsidRPr="00D338D9">
        <w:rPr>
          <w:rFonts w:ascii="Verdana" w:hAnsi="Verdana" w:cs="Arial"/>
          <w:sz w:val="20"/>
          <w:szCs w:val="20"/>
        </w:rPr>
        <w:t>MONG</w:t>
      </w:r>
      <w:r w:rsidRPr="00D338D9">
        <w:rPr>
          <w:rFonts w:ascii="Verdana" w:hAnsi="Verdana" w:cs="Arial"/>
          <w:sz w:val="20"/>
          <w:szCs w:val="20"/>
        </w:rPr>
        <w:t>.</w:t>
      </w:r>
    </w:p>
    <w:p w14:paraId="5846EAD9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33AC7428" w14:textId="475250BF" w:rsidR="00E1139D" w:rsidRPr="00D338D9" w:rsidRDefault="00515E6E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Projekti</w:t>
      </w:r>
      <w:r w:rsidR="00E1139D" w:rsidRPr="00D338D9">
        <w:rPr>
          <w:rFonts w:ascii="Verdana" w:hAnsi="Verdana" w:cs="Arial"/>
          <w:sz w:val="20"/>
          <w:szCs w:val="20"/>
        </w:rPr>
        <w:t xml:space="preserve"> morajo biti zaključeni </w:t>
      </w:r>
      <w:r w:rsidR="00E1139D" w:rsidRPr="00D338D9">
        <w:rPr>
          <w:rFonts w:ascii="Verdana" w:hAnsi="Verdana" w:cs="Arial"/>
          <w:b/>
          <w:sz w:val="20"/>
          <w:szCs w:val="20"/>
        </w:rPr>
        <w:t xml:space="preserve">najkasneje do </w:t>
      </w:r>
      <w:r w:rsidR="006F227C" w:rsidRPr="00D338D9">
        <w:rPr>
          <w:rFonts w:ascii="Verdana" w:hAnsi="Verdana" w:cs="Arial"/>
          <w:b/>
          <w:sz w:val="20"/>
          <w:szCs w:val="20"/>
        </w:rPr>
        <w:t>30</w:t>
      </w:r>
      <w:r w:rsidR="00E1139D" w:rsidRPr="00D338D9">
        <w:rPr>
          <w:rFonts w:ascii="Verdana" w:hAnsi="Verdana" w:cs="Arial"/>
          <w:b/>
          <w:sz w:val="20"/>
          <w:szCs w:val="20"/>
        </w:rPr>
        <w:t>. oktobra 202</w:t>
      </w:r>
      <w:r w:rsidR="006F227C" w:rsidRPr="00D338D9">
        <w:rPr>
          <w:rFonts w:ascii="Verdana" w:hAnsi="Verdana" w:cs="Arial"/>
          <w:b/>
          <w:sz w:val="20"/>
          <w:szCs w:val="20"/>
        </w:rPr>
        <w:t>6</w:t>
      </w:r>
      <w:r w:rsidR="00E1139D" w:rsidRPr="00D338D9">
        <w:rPr>
          <w:rFonts w:ascii="Verdana" w:hAnsi="Verdana" w:cs="Arial"/>
          <w:sz w:val="20"/>
          <w:szCs w:val="20"/>
        </w:rPr>
        <w:t xml:space="preserve">, kar pomeni, da mora sofinancer končno poročilo prejeti najkasneje na omenjeni datum. </w:t>
      </w:r>
    </w:p>
    <w:p w14:paraId="79F0E1FE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b/>
          <w:bCs/>
          <w:sz w:val="20"/>
          <w:szCs w:val="20"/>
        </w:rPr>
        <w:t>Finančna uravnoteženost projekta</w:t>
      </w:r>
      <w:r w:rsidRPr="00D338D9">
        <w:rPr>
          <w:rFonts w:ascii="Verdana" w:hAnsi="Verdana" w:cs="Arial"/>
          <w:sz w:val="20"/>
          <w:szCs w:val="20"/>
        </w:rPr>
        <w:t xml:space="preserve"> pomeni, da so uravnoteženi upravičeni stroški projekta z njegovim obsegom in vsebino zlasti glede cenovne primernosti in stroškovne učinkovitosti ter da so prihodki enaki odhodkom. Celotna vrednost projekta obsega vse načrtovane prihodke in odhodke.</w:t>
      </w:r>
    </w:p>
    <w:p w14:paraId="291AC7B5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</w:p>
    <w:p w14:paraId="036C3D1B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6A70D9D2" w14:textId="77777777" w:rsidR="00E1139D" w:rsidRPr="00002D43" w:rsidRDefault="00E1139D" w:rsidP="00E1139D">
      <w:pPr>
        <w:pStyle w:val="Brezrazmikov"/>
        <w:rPr>
          <w:rFonts w:ascii="Verdana" w:hAnsi="Verdana" w:cs="Arial"/>
          <w:b/>
          <w:color w:val="004E9A"/>
          <w:sz w:val="20"/>
          <w:szCs w:val="20"/>
        </w:rPr>
      </w:pPr>
      <w:r w:rsidRPr="00002D43">
        <w:rPr>
          <w:rFonts w:ascii="Verdana" w:hAnsi="Verdana" w:cs="Arial"/>
          <w:b/>
          <w:color w:val="004E9A"/>
          <w:sz w:val="20"/>
          <w:szCs w:val="20"/>
        </w:rPr>
        <w:t>3.  Prijava na razpis</w:t>
      </w:r>
    </w:p>
    <w:p w14:paraId="06614328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5C59FE4A" w14:textId="4AA60A17" w:rsidR="00E1139D" w:rsidRPr="00D338D9" w:rsidRDefault="00D95F06" w:rsidP="00ED111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Prijavitelj </w:t>
      </w:r>
      <w:r w:rsidR="00E1139D" w:rsidRPr="00D338D9">
        <w:rPr>
          <w:rFonts w:ascii="Verdana" w:hAnsi="Verdana" w:cs="Arial"/>
          <w:sz w:val="20"/>
          <w:szCs w:val="20"/>
        </w:rPr>
        <w:t>lahko sodeluje v postopku ocenjevanja, če</w:t>
      </w:r>
      <w:r w:rsidRPr="00D338D9">
        <w:rPr>
          <w:rFonts w:ascii="Verdana" w:hAnsi="Verdana" w:cs="Arial"/>
          <w:sz w:val="20"/>
          <w:szCs w:val="20"/>
        </w:rPr>
        <w:t xml:space="preserve">  izpolnjuje vse pogoje iz javnega razpisa in</w:t>
      </w:r>
      <w:r w:rsidR="00E1139D" w:rsidRPr="00D338D9">
        <w:rPr>
          <w:rFonts w:ascii="Verdana" w:hAnsi="Verdana" w:cs="Arial"/>
          <w:sz w:val="20"/>
          <w:szCs w:val="20"/>
        </w:rPr>
        <w:t xml:space="preserve"> je njegova vloga popolna, kar pomeni, da v celoti izpolni in predloži vse zahtevane dokumente iz razpisne dokumentacije:</w:t>
      </w:r>
    </w:p>
    <w:p w14:paraId="3023C3C8" w14:textId="77777777" w:rsidR="00ED111D" w:rsidRPr="00D338D9" w:rsidRDefault="00ED111D" w:rsidP="00ED111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v celoti izpolnjen prijavni obrazec,</w:t>
      </w:r>
    </w:p>
    <w:p w14:paraId="4803E918" w14:textId="303245B6" w:rsidR="00513F75" w:rsidRPr="00D338D9" w:rsidRDefault="00ED111D" w:rsidP="00E1139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obvezne priloge k prijavnemu obrazcu,</w:t>
      </w:r>
    </w:p>
    <w:p w14:paraId="5CDD29A3" w14:textId="1D470127" w:rsidR="00E1139D" w:rsidRPr="00D338D9" w:rsidRDefault="00ED111D" w:rsidP="00513F7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parafiran vzorec pogodbe.</w:t>
      </w:r>
    </w:p>
    <w:p w14:paraId="2B93441B" w14:textId="77777777" w:rsidR="00E1139D" w:rsidRPr="00D338D9" w:rsidRDefault="00E1139D" w:rsidP="00E1139D">
      <w:pPr>
        <w:pStyle w:val="Brezrazmikov"/>
        <w:rPr>
          <w:rFonts w:ascii="Verdana" w:hAnsi="Verdana" w:cs="Arial"/>
          <w:b/>
          <w:sz w:val="20"/>
          <w:szCs w:val="20"/>
          <w:u w:val="single"/>
        </w:rPr>
      </w:pPr>
    </w:p>
    <w:p w14:paraId="4BA89D3E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1EA540C5" w14:textId="00E5EE9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Prejemnik sredstev se zavezuje, da bo poskrbel za varnost pri izvedbi morebitne aktivnosti</w:t>
      </w:r>
      <w:r w:rsidR="00CE1256" w:rsidRPr="00D338D9" w:rsidDel="00CE1256">
        <w:rPr>
          <w:rFonts w:ascii="Verdana" w:hAnsi="Verdana" w:cs="Arial"/>
          <w:sz w:val="20"/>
          <w:szCs w:val="20"/>
        </w:rPr>
        <w:t xml:space="preserve"> </w:t>
      </w:r>
      <w:r w:rsidR="005121ED" w:rsidRPr="00D338D9">
        <w:rPr>
          <w:rFonts w:ascii="Verdana" w:hAnsi="Verdana" w:cs="Arial"/>
          <w:sz w:val="20"/>
          <w:szCs w:val="20"/>
        </w:rPr>
        <w:t xml:space="preserve">projekta </w:t>
      </w:r>
      <w:r w:rsidRPr="00D338D9">
        <w:rPr>
          <w:rFonts w:ascii="Verdana" w:hAnsi="Verdana" w:cs="Arial"/>
          <w:sz w:val="20"/>
          <w:szCs w:val="20"/>
        </w:rPr>
        <w:t>za vse udeležence. MONG ne odgovarja za morebitne zdravstvene težave ali poškodbe prejemnikovih delavcev kot tudi drugih udeležencev aktivnosti, ki bi nastale kot posledica oziroma v povezavi z izvedbo aktivnosti po tej pogodbi.</w:t>
      </w:r>
    </w:p>
    <w:p w14:paraId="44B298F6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12A2F594" w14:textId="3D9D8326" w:rsidR="00E1139D" w:rsidRPr="00D338D9" w:rsidRDefault="00E1139D" w:rsidP="00E1139D">
      <w:pPr>
        <w:pStyle w:val="Brezrazmikov"/>
        <w:jc w:val="both"/>
        <w:rPr>
          <w:rFonts w:ascii="Verdana" w:hAnsi="Verdana" w:cs="Arial"/>
          <w:b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V prijavnem obrazcu je potrebno navesti in opisati vse načrtovane izdatke. </w:t>
      </w:r>
      <w:r w:rsidRPr="00D338D9">
        <w:rPr>
          <w:rFonts w:ascii="Verdana" w:hAnsi="Verdana" w:cs="Arial"/>
          <w:b/>
          <w:sz w:val="20"/>
          <w:szCs w:val="20"/>
        </w:rPr>
        <w:t xml:space="preserve">Posebej morajo biti označeni tisti stroški, za katere se pričakuje, da bodo sofinancirani s strani MONG, in bodo </w:t>
      </w:r>
      <w:r w:rsidR="00B04D0E" w:rsidRPr="00D338D9">
        <w:rPr>
          <w:rFonts w:ascii="Verdana" w:hAnsi="Verdana" w:cs="Arial"/>
          <w:b/>
          <w:sz w:val="20"/>
          <w:szCs w:val="20"/>
        </w:rPr>
        <w:t>s strani prija</w:t>
      </w:r>
      <w:r w:rsidR="00CE1256" w:rsidRPr="00D338D9">
        <w:rPr>
          <w:rFonts w:ascii="Verdana" w:hAnsi="Verdana" w:cs="Arial"/>
          <w:b/>
          <w:sz w:val="20"/>
          <w:szCs w:val="20"/>
        </w:rPr>
        <w:t xml:space="preserve">vitelja </w:t>
      </w:r>
      <w:r w:rsidR="00B04D0E" w:rsidRPr="00D338D9">
        <w:rPr>
          <w:rFonts w:ascii="Verdana" w:hAnsi="Verdana" w:cs="Arial"/>
          <w:b/>
          <w:sz w:val="20"/>
          <w:szCs w:val="20"/>
        </w:rPr>
        <w:t xml:space="preserve"> plačani </w:t>
      </w:r>
      <w:r w:rsidRPr="00D338D9">
        <w:rPr>
          <w:rFonts w:ascii="Verdana" w:hAnsi="Verdana" w:cs="Arial"/>
          <w:b/>
          <w:sz w:val="20"/>
          <w:szCs w:val="20"/>
        </w:rPr>
        <w:t xml:space="preserve">do </w:t>
      </w:r>
      <w:r w:rsidR="00CF793C" w:rsidRPr="00D338D9">
        <w:rPr>
          <w:rFonts w:ascii="Verdana" w:hAnsi="Verdana" w:cs="Arial"/>
          <w:b/>
          <w:sz w:val="20"/>
          <w:szCs w:val="20"/>
        </w:rPr>
        <w:t>30</w:t>
      </w:r>
      <w:r w:rsidRPr="00D338D9">
        <w:rPr>
          <w:rFonts w:ascii="Verdana" w:hAnsi="Verdana" w:cs="Arial"/>
          <w:b/>
          <w:sz w:val="20"/>
          <w:szCs w:val="20"/>
        </w:rPr>
        <w:t>. oktobra 202</w:t>
      </w:r>
      <w:r w:rsidR="00CF793C" w:rsidRPr="00D338D9">
        <w:rPr>
          <w:rFonts w:ascii="Verdana" w:hAnsi="Verdana" w:cs="Arial"/>
          <w:b/>
          <w:sz w:val="20"/>
          <w:szCs w:val="20"/>
        </w:rPr>
        <w:t>6</w:t>
      </w:r>
      <w:r w:rsidRPr="00D338D9">
        <w:rPr>
          <w:rFonts w:ascii="Verdana" w:hAnsi="Verdana" w:cs="Arial"/>
          <w:sz w:val="20"/>
          <w:szCs w:val="20"/>
        </w:rPr>
        <w:t>. Navesti je potrebno tudi vse ostale predvidene, zagotovljene in pridobljene vire sofinanciranja in v</w:t>
      </w:r>
      <w:r w:rsidRPr="00D338D9">
        <w:rPr>
          <w:rFonts w:ascii="Verdana" w:hAnsi="Verdana" w:cs="Arial"/>
          <w:b/>
          <w:sz w:val="20"/>
          <w:szCs w:val="20"/>
        </w:rPr>
        <w:t xml:space="preserve"> primeru, da bo </w:t>
      </w:r>
      <w:r w:rsidR="00ED111D" w:rsidRPr="00D338D9">
        <w:rPr>
          <w:rFonts w:ascii="Verdana" w:hAnsi="Verdana" w:cs="Arial"/>
          <w:b/>
          <w:sz w:val="20"/>
          <w:szCs w:val="20"/>
        </w:rPr>
        <w:t xml:space="preserve">prijavitelj </w:t>
      </w:r>
      <w:r w:rsidRPr="00D338D9">
        <w:rPr>
          <w:rFonts w:ascii="Verdana" w:hAnsi="Verdana" w:cs="Arial"/>
          <w:b/>
          <w:sz w:val="20"/>
          <w:szCs w:val="20"/>
        </w:rPr>
        <w:t xml:space="preserve">v prijavnem obrazcu  navedel stroške, ki naj bi jih sofinancirala MONG in ne štejejo med upravičene, bodo le-ti odšteti od vsote zaprošenih sredstev. </w:t>
      </w:r>
    </w:p>
    <w:p w14:paraId="10B3EAF0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  <w:u w:val="single"/>
        </w:rPr>
      </w:pPr>
    </w:p>
    <w:p w14:paraId="6148A731" w14:textId="57428747" w:rsidR="00E1139D" w:rsidRPr="00D338D9" w:rsidRDefault="00BF12D4" w:rsidP="00ED111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Upoštevajo se</w:t>
      </w:r>
      <w:r w:rsidR="00E1139D" w:rsidRPr="00D338D9">
        <w:rPr>
          <w:rFonts w:ascii="Verdana" w:hAnsi="Verdana" w:cs="Arial"/>
          <w:sz w:val="20"/>
          <w:szCs w:val="20"/>
        </w:rPr>
        <w:t xml:space="preserve"> upravičeni </w:t>
      </w:r>
      <w:r w:rsidR="00ED111D" w:rsidRPr="00D338D9">
        <w:rPr>
          <w:rFonts w:ascii="Verdana" w:hAnsi="Verdana" w:cs="Arial"/>
          <w:sz w:val="20"/>
          <w:szCs w:val="20"/>
        </w:rPr>
        <w:t>stroški</w:t>
      </w:r>
      <w:r w:rsidRPr="00D338D9">
        <w:rPr>
          <w:rFonts w:ascii="Verdana" w:hAnsi="Verdana" w:cs="Arial"/>
          <w:sz w:val="20"/>
          <w:szCs w:val="20"/>
        </w:rPr>
        <w:t xml:space="preserve">, ki bodo nastali v času </w:t>
      </w:r>
      <w:r w:rsidR="00B970F4" w:rsidRPr="00D338D9">
        <w:rPr>
          <w:rFonts w:ascii="Verdana" w:hAnsi="Verdana" w:cs="Arial"/>
          <w:sz w:val="20"/>
          <w:szCs w:val="20"/>
        </w:rPr>
        <w:t>1.6</w:t>
      </w:r>
      <w:r w:rsidR="0013152F" w:rsidRPr="00D338D9">
        <w:rPr>
          <w:rFonts w:ascii="Verdana" w:hAnsi="Verdana" w:cs="Arial"/>
          <w:sz w:val="20"/>
          <w:szCs w:val="20"/>
        </w:rPr>
        <w:t>. 2026</w:t>
      </w:r>
      <w:r w:rsidR="00E1139D" w:rsidRPr="00D338D9">
        <w:rPr>
          <w:rFonts w:ascii="Verdana" w:hAnsi="Verdana" w:cs="Arial"/>
          <w:sz w:val="20"/>
          <w:szCs w:val="20"/>
        </w:rPr>
        <w:t xml:space="preserve"> do </w:t>
      </w:r>
      <w:r w:rsidR="0013152F" w:rsidRPr="00D338D9">
        <w:rPr>
          <w:rFonts w:ascii="Verdana" w:hAnsi="Verdana" w:cs="Arial"/>
          <w:sz w:val="20"/>
          <w:szCs w:val="20"/>
        </w:rPr>
        <w:t>30</w:t>
      </w:r>
      <w:r w:rsidR="00E1139D" w:rsidRPr="00D338D9">
        <w:rPr>
          <w:rFonts w:ascii="Verdana" w:hAnsi="Verdana" w:cs="Arial"/>
          <w:sz w:val="20"/>
          <w:szCs w:val="20"/>
        </w:rPr>
        <w:t xml:space="preserve">. </w:t>
      </w:r>
      <w:r w:rsidR="0013152F" w:rsidRPr="00D338D9">
        <w:rPr>
          <w:rFonts w:ascii="Verdana" w:hAnsi="Verdana" w:cs="Arial"/>
          <w:sz w:val="20"/>
          <w:szCs w:val="20"/>
        </w:rPr>
        <w:t>10</w:t>
      </w:r>
      <w:r w:rsidR="00E1139D" w:rsidRPr="00D338D9">
        <w:rPr>
          <w:rFonts w:ascii="Verdana" w:hAnsi="Verdana" w:cs="Arial"/>
          <w:sz w:val="20"/>
          <w:szCs w:val="20"/>
        </w:rPr>
        <w:t>. 202</w:t>
      </w:r>
      <w:r w:rsidR="0013152F" w:rsidRPr="00D338D9">
        <w:rPr>
          <w:rFonts w:ascii="Verdana" w:hAnsi="Verdana" w:cs="Arial"/>
          <w:sz w:val="20"/>
          <w:szCs w:val="20"/>
        </w:rPr>
        <w:t>6</w:t>
      </w:r>
      <w:r w:rsidR="00E1139D" w:rsidRPr="00D338D9">
        <w:rPr>
          <w:rFonts w:ascii="Verdana" w:hAnsi="Verdana" w:cs="Arial"/>
          <w:sz w:val="20"/>
          <w:szCs w:val="20"/>
        </w:rPr>
        <w:t>.</w:t>
      </w:r>
    </w:p>
    <w:p w14:paraId="3B42F0DF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  <w:u w:val="single"/>
        </w:rPr>
      </w:pPr>
    </w:p>
    <w:p w14:paraId="121F6E56" w14:textId="77777777" w:rsidR="00E1139D" w:rsidRPr="00D338D9" w:rsidRDefault="00E1139D" w:rsidP="00ED111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Da bi bili stroški upravičeni:</w:t>
      </w:r>
    </w:p>
    <w:p w14:paraId="5AD88C1E" w14:textId="77777777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povezani s predmetom razpisa in predvideni v finančni konstrukciji projekta,</w:t>
      </w:r>
    </w:p>
    <w:p w14:paraId="4084418D" w14:textId="3EF515E9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potrebni za uspešno izvajanje projekta,</w:t>
      </w:r>
    </w:p>
    <w:p w14:paraId="46F809DD" w14:textId="77777777" w:rsidR="00912913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morajo biti razumni in v skladu z načeli dobrega finančnega poslovanja, zlasti glede cenovne  </w:t>
      </w:r>
      <w:r w:rsidR="00B63251" w:rsidRPr="00D338D9">
        <w:rPr>
          <w:rFonts w:ascii="Verdana" w:hAnsi="Verdana" w:cs="Arial"/>
          <w:sz w:val="20"/>
          <w:szCs w:val="20"/>
        </w:rPr>
        <w:t>primernosti in stroškovne učinkovitosti,</w:t>
      </w:r>
      <w:r w:rsidR="00C27188" w:rsidRPr="00D338D9">
        <w:rPr>
          <w:rFonts w:ascii="Verdana" w:hAnsi="Verdana" w:cs="Arial"/>
          <w:sz w:val="20"/>
          <w:szCs w:val="20"/>
        </w:rPr>
        <w:t xml:space="preserve"> </w:t>
      </w:r>
    </w:p>
    <w:p w14:paraId="69B67DF6" w14:textId="755E8A99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dejansko nastati,</w:t>
      </w:r>
    </w:p>
    <w:p w14:paraId="190B4419" w14:textId="77777777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prepoznavni in preverljivi,</w:t>
      </w:r>
    </w:p>
    <w:p w14:paraId="604044FA" w14:textId="77777777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podprti z izvirnimi dokazili,</w:t>
      </w:r>
    </w:p>
    <w:p w14:paraId="37D8C12F" w14:textId="77777777" w:rsidR="00555F87" w:rsidRPr="00D338D9" w:rsidRDefault="00E1139D" w:rsidP="00555F87">
      <w:pPr>
        <w:pStyle w:val="Brezrazmikov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evidentirani v skladu z ustrezno računovodsko prakso in prijavljeni v skladu z zahtevami veljavne računovodske prakse ter v skladu s pravili davčne in socialne zakonodaje,</w:t>
      </w:r>
    </w:p>
    <w:p w14:paraId="2F187937" w14:textId="1D6A5D38" w:rsidR="00555F87" w:rsidRPr="00D338D9" w:rsidRDefault="009A56DF" w:rsidP="00120BB1">
      <w:pPr>
        <w:pStyle w:val="Brezrazmikov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ne </w:t>
      </w:r>
      <w:r w:rsidR="00555F87" w:rsidRPr="00D338D9">
        <w:rPr>
          <w:rFonts w:ascii="Verdana" w:hAnsi="Verdana" w:cs="Arial"/>
          <w:sz w:val="20"/>
          <w:szCs w:val="20"/>
        </w:rPr>
        <w:t>sme</w:t>
      </w:r>
      <w:r w:rsidRPr="00D338D9">
        <w:rPr>
          <w:rFonts w:ascii="Verdana" w:hAnsi="Verdana" w:cs="Arial"/>
          <w:sz w:val="20"/>
          <w:szCs w:val="20"/>
        </w:rPr>
        <w:t>jo biti</w:t>
      </w:r>
      <w:r w:rsidR="00555F87" w:rsidRPr="00D338D9">
        <w:rPr>
          <w:rFonts w:ascii="Verdana" w:hAnsi="Verdana" w:cs="Arial"/>
          <w:sz w:val="20"/>
          <w:szCs w:val="20"/>
        </w:rPr>
        <w:t xml:space="preserve"> financira</w:t>
      </w:r>
      <w:r w:rsidR="003F27E2" w:rsidRPr="00D338D9">
        <w:rPr>
          <w:rFonts w:ascii="Verdana" w:hAnsi="Verdana" w:cs="Arial"/>
          <w:sz w:val="20"/>
          <w:szCs w:val="20"/>
        </w:rPr>
        <w:t>ni</w:t>
      </w:r>
      <w:r w:rsidR="00555F87" w:rsidRPr="00D338D9">
        <w:rPr>
          <w:rFonts w:ascii="Verdana" w:hAnsi="Verdana" w:cs="Arial"/>
          <w:sz w:val="20"/>
          <w:szCs w:val="20"/>
        </w:rPr>
        <w:t xml:space="preserve"> iz sredstev drugih javnih razpisov oziroma proračunskih postavk Mestne občine Nova Gorica,</w:t>
      </w:r>
    </w:p>
    <w:p w14:paraId="1D7A4193" w14:textId="0EF4C370" w:rsidR="001C0A6B" w:rsidRPr="00D338D9" w:rsidRDefault="001C0A6B" w:rsidP="00120BB1">
      <w:pPr>
        <w:pStyle w:val="Brezrazmikov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morajo biti plačani do 30.10.2026,</w:t>
      </w:r>
    </w:p>
    <w:p w14:paraId="0C71E6B8" w14:textId="4ACDC69E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izpolnjuje</w:t>
      </w:r>
      <w:r w:rsidR="000138CF" w:rsidRPr="00D338D9">
        <w:rPr>
          <w:rFonts w:ascii="Verdana" w:hAnsi="Verdana" w:cs="Arial"/>
          <w:sz w:val="20"/>
          <w:szCs w:val="20"/>
        </w:rPr>
        <w:t>jo</w:t>
      </w:r>
      <w:r w:rsidRPr="00D338D9">
        <w:rPr>
          <w:rFonts w:ascii="Verdana" w:hAnsi="Verdana" w:cs="Arial"/>
          <w:sz w:val="20"/>
          <w:szCs w:val="20"/>
        </w:rPr>
        <w:t xml:space="preserve"> druge pogoje, ki so razvidni iz razpisne dokumentacije.</w:t>
      </w:r>
    </w:p>
    <w:p w14:paraId="08ACE243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6B70C767" w14:textId="77777777" w:rsidR="00E1139D" w:rsidRPr="00D338D9" w:rsidRDefault="00E1139D" w:rsidP="00ED111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V zvezi s sofinanciranjem so upravičeni naslednji stroški, če ustrezajo kriterijem, določenim v prejšnjem odstavku:</w:t>
      </w:r>
    </w:p>
    <w:p w14:paraId="4475B6FE" w14:textId="2E4C832A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potni stroški in dnevnice za osebje, če jih je moč opravičiti z izvajanjem </w:t>
      </w:r>
      <w:r w:rsidR="00A478EC" w:rsidRPr="00D338D9">
        <w:rPr>
          <w:rFonts w:ascii="Verdana" w:hAnsi="Verdana" w:cs="Arial"/>
          <w:sz w:val="20"/>
          <w:szCs w:val="20"/>
        </w:rPr>
        <w:t>projekta</w:t>
      </w:r>
      <w:r w:rsidRPr="00D338D9">
        <w:rPr>
          <w:rFonts w:ascii="Verdana" w:hAnsi="Verdana" w:cs="Arial"/>
          <w:sz w:val="20"/>
          <w:szCs w:val="20"/>
        </w:rPr>
        <w:t xml:space="preserve"> in so skladni z običajno prakso na tem področju,</w:t>
      </w:r>
    </w:p>
    <w:p w14:paraId="72F9FE25" w14:textId="08910206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stroški zunanjih izvajalcev, vezanih neposredno na aktivnost (plačila avtorskih honorarjev, plačila za delo preko študentskega servisa, plačila po pogodbah o opravljenih storitvah),</w:t>
      </w:r>
    </w:p>
    <w:p w14:paraId="7B97C367" w14:textId="77777777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stroški pridobitve potrebne dokumentacije (lokacijska informacija, geodetski podatki, ostala dovoljenja …),</w:t>
      </w:r>
    </w:p>
    <w:p w14:paraId="08305144" w14:textId="77777777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materialni stroški za pripravo idejne zasnove (papir, kartuše, fotokopiranje, </w:t>
      </w:r>
      <w:proofErr w:type="spellStart"/>
      <w:r w:rsidRPr="00D338D9">
        <w:rPr>
          <w:rFonts w:ascii="Verdana" w:hAnsi="Verdana" w:cs="Arial"/>
          <w:sz w:val="20"/>
          <w:szCs w:val="20"/>
        </w:rPr>
        <w:t>plotanje</w:t>
      </w:r>
      <w:proofErr w:type="spellEnd"/>
      <w:r w:rsidRPr="00D338D9">
        <w:rPr>
          <w:rFonts w:ascii="Verdana" w:hAnsi="Verdana" w:cs="Arial"/>
          <w:sz w:val="20"/>
          <w:szCs w:val="20"/>
        </w:rPr>
        <w:t xml:space="preserve"> …),</w:t>
      </w:r>
    </w:p>
    <w:p w14:paraId="40AA4125" w14:textId="53497529" w:rsidR="00E1139D" w:rsidRPr="00D338D9" w:rsidRDefault="00E1139D" w:rsidP="00ED111D">
      <w:pPr>
        <w:pStyle w:val="Brezrazmikov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strošk</w:t>
      </w:r>
      <w:r w:rsidR="00AB6C36" w:rsidRPr="00D338D9">
        <w:rPr>
          <w:rFonts w:ascii="Verdana" w:hAnsi="Verdana" w:cs="Arial"/>
          <w:sz w:val="20"/>
          <w:szCs w:val="20"/>
        </w:rPr>
        <w:t>i</w:t>
      </w:r>
      <w:r w:rsidRPr="00D338D9">
        <w:rPr>
          <w:rFonts w:ascii="Verdana" w:hAnsi="Verdana" w:cs="Arial"/>
          <w:sz w:val="20"/>
          <w:szCs w:val="20"/>
        </w:rPr>
        <w:t xml:space="preserve"> za izvedbo (material - les, pesek ipd., delovni pripomočki …) . </w:t>
      </w:r>
    </w:p>
    <w:p w14:paraId="5E91FF0F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21F2BB64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b/>
          <w:sz w:val="20"/>
          <w:szCs w:val="20"/>
        </w:rPr>
        <w:t>MONG ne bo sofinancirala stroškov nakupa osnovnih sredstev</w:t>
      </w:r>
      <w:r w:rsidRPr="00D338D9">
        <w:rPr>
          <w:rFonts w:ascii="Verdana" w:hAnsi="Verdana" w:cs="Arial"/>
          <w:sz w:val="20"/>
          <w:szCs w:val="20"/>
        </w:rPr>
        <w:t xml:space="preserve">. </w:t>
      </w:r>
    </w:p>
    <w:p w14:paraId="780BB61A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74560E49" w14:textId="47A52A69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Stroški morajo biti dokumentirani npr. z računom, avtorsko pogodbo, potnim nalogom ipd., prav tako pa tudi z dokumentom, iz katerega je razvidno, da so bili stroški plačani.</w:t>
      </w:r>
    </w:p>
    <w:p w14:paraId="246EF6B0" w14:textId="7777777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</w:p>
    <w:p w14:paraId="4FFA94A1" w14:textId="7777777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Morebitna potrebna dovoljenja oz. soglasja za izvedbo projekta pridobi prejemnik sredstev.</w:t>
      </w:r>
    </w:p>
    <w:p w14:paraId="5B24C465" w14:textId="7777777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</w:p>
    <w:p w14:paraId="2C8F43B7" w14:textId="2976F7F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 xml:space="preserve">Del razpisne dokumentacije je tudi vzorec pogodbe, ki ga je treba </w:t>
      </w:r>
      <w:r w:rsidRPr="00D338D9">
        <w:rPr>
          <w:rFonts w:ascii="Verdana" w:hAnsi="Verdana" w:cs="Arial"/>
          <w:b/>
          <w:sz w:val="20"/>
          <w:szCs w:val="20"/>
        </w:rPr>
        <w:t xml:space="preserve">natančno prebrati in izpolniti podatke o </w:t>
      </w:r>
      <w:r w:rsidR="00ED111D" w:rsidRPr="00D338D9">
        <w:rPr>
          <w:rFonts w:ascii="Verdana" w:hAnsi="Verdana" w:cs="Arial"/>
          <w:b/>
          <w:sz w:val="20"/>
          <w:szCs w:val="20"/>
        </w:rPr>
        <w:t xml:space="preserve">prijavitelju </w:t>
      </w:r>
      <w:r w:rsidRPr="00D338D9">
        <w:rPr>
          <w:rFonts w:ascii="Verdana" w:hAnsi="Verdana" w:cs="Arial"/>
          <w:b/>
          <w:sz w:val="20"/>
          <w:szCs w:val="20"/>
        </w:rPr>
        <w:t>ter ga podpisanega in žigosanega priložiti prijavi na razpis</w:t>
      </w:r>
      <w:r w:rsidRPr="00D338D9">
        <w:rPr>
          <w:rFonts w:ascii="Verdana" w:hAnsi="Verdana" w:cs="Arial"/>
          <w:sz w:val="20"/>
          <w:szCs w:val="20"/>
        </w:rPr>
        <w:t>. Vzorec pogodbe je informativen, podpis pa pomeni seznanitev z osnutkom pogodbe in pristanek na pogoje v njej.</w:t>
      </w:r>
    </w:p>
    <w:p w14:paraId="0F2581F9" w14:textId="77777777" w:rsidR="00E1139D" w:rsidRPr="00D338D9" w:rsidRDefault="00E1139D" w:rsidP="00E1139D">
      <w:pPr>
        <w:pStyle w:val="Brezrazmikov"/>
        <w:jc w:val="both"/>
        <w:rPr>
          <w:rFonts w:ascii="Verdana" w:hAnsi="Verdana" w:cs="Arial"/>
          <w:sz w:val="20"/>
          <w:szCs w:val="20"/>
        </w:rPr>
      </w:pPr>
    </w:p>
    <w:p w14:paraId="2CF7F3AB" w14:textId="77777777" w:rsidR="00E1139D" w:rsidRPr="00D338D9" w:rsidRDefault="00E1139D" w:rsidP="00E1139D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Razpisna dokumentacija obsega:</w:t>
      </w:r>
    </w:p>
    <w:p w14:paraId="3F4BA22A" w14:textId="77777777" w:rsidR="00E1139D" w:rsidRPr="00D338D9" w:rsidRDefault="00E1139D" w:rsidP="00E1139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besedilo javnega razpisa,</w:t>
      </w:r>
    </w:p>
    <w:p w14:paraId="53990431" w14:textId="77777777" w:rsidR="00E1139D" w:rsidRPr="00D338D9" w:rsidRDefault="00E1139D" w:rsidP="00E1139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prijavni obrazec,</w:t>
      </w:r>
    </w:p>
    <w:p w14:paraId="3042AAF6" w14:textId="77777777" w:rsidR="00E1139D" w:rsidRPr="00D338D9" w:rsidRDefault="00E1139D" w:rsidP="00E1139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vzorec pogodbe o sofinanciranju projekta.</w:t>
      </w:r>
    </w:p>
    <w:p w14:paraId="44A535EE" w14:textId="77777777" w:rsidR="00B245B1" w:rsidRPr="00D338D9" w:rsidRDefault="00B245B1" w:rsidP="00B245B1">
      <w:pPr>
        <w:ind w:left="720"/>
        <w:jc w:val="both"/>
        <w:rPr>
          <w:rFonts w:ascii="Verdana" w:hAnsi="Verdana" w:cs="Arial"/>
          <w:sz w:val="20"/>
          <w:szCs w:val="20"/>
        </w:rPr>
      </w:pPr>
    </w:p>
    <w:p w14:paraId="1112B56B" w14:textId="77777777" w:rsidR="00B245B1" w:rsidRPr="00D338D9" w:rsidRDefault="00B245B1" w:rsidP="00B245B1">
      <w:pPr>
        <w:jc w:val="both"/>
        <w:rPr>
          <w:rFonts w:ascii="Verdana" w:hAnsi="Verdana" w:cs="Arial"/>
          <w:sz w:val="20"/>
          <w:szCs w:val="20"/>
        </w:rPr>
      </w:pPr>
      <w:r w:rsidRPr="00D338D9">
        <w:rPr>
          <w:rFonts w:ascii="Verdana" w:hAnsi="Verdana" w:cs="Arial"/>
          <w:sz w:val="20"/>
          <w:szCs w:val="20"/>
        </w:rPr>
        <w:t>Na podlagi predloga strokovne komisije bo o izbranih, zavrnjenih in zavrženih vlogah odločil župan ali oseba, ki je od njega pooblaščena. Zoper izdane sklepe ni pritožbe, možen je upravni spor.</w:t>
      </w:r>
    </w:p>
    <w:p w14:paraId="15C68811" w14:textId="77777777" w:rsidR="00B245B1" w:rsidRPr="00D338D9" w:rsidRDefault="00B245B1" w:rsidP="00B245B1">
      <w:pPr>
        <w:pStyle w:val="Odstavekseznama"/>
        <w:jc w:val="both"/>
        <w:rPr>
          <w:rFonts w:ascii="Verdana" w:hAnsi="Verdana" w:cs="Arial"/>
          <w:sz w:val="20"/>
          <w:szCs w:val="20"/>
        </w:rPr>
      </w:pPr>
    </w:p>
    <w:p w14:paraId="08A56D12" w14:textId="77777777" w:rsidR="00E1139D" w:rsidRPr="00D338D9" w:rsidRDefault="00E1139D" w:rsidP="00E1139D">
      <w:pPr>
        <w:pStyle w:val="Brezrazmikov"/>
        <w:rPr>
          <w:rFonts w:ascii="Verdana" w:hAnsi="Verdana" w:cs="Arial"/>
          <w:sz w:val="20"/>
          <w:szCs w:val="20"/>
        </w:rPr>
      </w:pPr>
    </w:p>
    <w:p w14:paraId="586270D1" w14:textId="77777777" w:rsidR="00D47A6A" w:rsidRPr="00D338D9" w:rsidRDefault="00D47A6A" w:rsidP="00D47A6A">
      <w:pPr>
        <w:rPr>
          <w:rFonts w:ascii="Verdana" w:hAnsi="Verdana" w:cs="Arial"/>
          <w:sz w:val="20"/>
          <w:szCs w:val="20"/>
        </w:rPr>
      </w:pPr>
    </w:p>
    <w:sectPr w:rsidR="00D47A6A" w:rsidRPr="00D338D9" w:rsidSect="0007509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DEA3" w14:textId="77777777" w:rsidR="00123410" w:rsidRDefault="00123410">
      <w:r>
        <w:separator/>
      </w:r>
    </w:p>
  </w:endnote>
  <w:endnote w:type="continuationSeparator" w:id="0">
    <w:p w14:paraId="7646A899" w14:textId="77777777" w:rsidR="00123410" w:rsidRDefault="0012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charset w:val="00"/>
    <w:family w:val="decorative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C6AB" w14:textId="5176AD32" w:rsidR="00D47A6A" w:rsidRDefault="00002D43">
    <w:pPr>
      <w:pStyle w:val="Noga"/>
    </w:pPr>
    <w:r w:rsidRPr="00483088">
      <w:rPr>
        <w:noProof/>
      </w:rPr>
      <w:drawing>
        <wp:anchor distT="0" distB="0" distL="114300" distR="114300" simplePos="0" relativeHeight="251664896" behindDoc="1" locked="0" layoutInCell="1" allowOverlap="1" wp14:anchorId="50DF3280" wp14:editId="67D120D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E2D8" w14:textId="77777777" w:rsidR="00002D43" w:rsidRDefault="00002D43" w:rsidP="00002D43">
    <w:pPr>
      <w:pStyle w:val="MONGnoga"/>
    </w:pPr>
    <w:bookmarkStart w:id="5" w:name="_Hlk227066064"/>
    <w:bookmarkStart w:id="6" w:name="_Hlk227066150"/>
    <w:bookmarkStart w:id="7" w:name="_Hlk227066151"/>
    <w:bookmarkStart w:id="8" w:name="_Hlk227066214"/>
    <w:bookmarkStart w:id="9" w:name="_Hlk227066215"/>
    <w:bookmarkStart w:id="10" w:name="_Hlk227066230"/>
    <w:bookmarkStart w:id="11" w:name="_Hlk227066231"/>
    <w:bookmarkStart w:id="12" w:name="_Hlk227066456"/>
    <w:bookmarkStart w:id="13" w:name="_Hlk227066457"/>
  </w:p>
  <w:p w14:paraId="3F40874E" w14:textId="187142BA" w:rsidR="00002D43" w:rsidRPr="00483088" w:rsidRDefault="00002D43" w:rsidP="00002D43">
    <w:pPr>
      <w:pStyle w:val="MONGnoga"/>
    </w:pPr>
    <w:r w:rsidRPr="00483088">
      <w:rPr>
        <w:noProof/>
      </w:rPr>
      <w:drawing>
        <wp:anchor distT="0" distB="0" distL="114300" distR="114300" simplePos="0" relativeHeight="251662848" behindDoc="1" locked="0" layoutInCell="1" allowOverlap="1" wp14:anchorId="1E1F2D67" wp14:editId="2D1D7B25">
          <wp:simplePos x="0" y="0"/>
          <wp:positionH relativeFrom="page">
            <wp:posOffset>38100</wp:posOffset>
          </wp:positionH>
          <wp:positionV relativeFrom="bottomMargin">
            <wp:align>top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</w:t>
    </w:r>
    <w:r w:rsidRPr="00483088">
      <w:t xml:space="preserve">: </w:t>
    </w:r>
    <w:r w:rsidRPr="00483088">
      <w:rPr>
        <w:u w:val="single"/>
      </w:rPr>
      <w:t>mestna.</w:t>
    </w:r>
    <w:hyperlink r:id="rId2" w:history="1">
      <w:r w:rsidRPr="00483088">
        <w:rPr>
          <w:u w:val="single"/>
        </w:rPr>
        <w:t>obcina@nova-gorica.si</w:t>
      </w:r>
    </w:hyperlink>
    <w:r w:rsidRPr="00483088">
      <w:t xml:space="preserve">, T: +386 (0)5 335 01 11, </w:t>
    </w:r>
    <w:r w:rsidRPr="00483088">
      <w:rPr>
        <w:u w:val="single"/>
      </w:rPr>
      <w:t>www.nova-gorica.si</w:t>
    </w:r>
  </w:p>
  <w:p w14:paraId="29939746" w14:textId="77777777" w:rsidR="00002D43" w:rsidRPr="00483088" w:rsidRDefault="00002D43" w:rsidP="00002D43">
    <w:pPr>
      <w:pStyle w:val="MONGnoga"/>
    </w:pPr>
    <w:r w:rsidRPr="00483088">
      <w:t>ID za DDV: SI53055730, matična številka: 5881773</w:t>
    </w:r>
  </w:p>
  <w:bookmarkEnd w:id="5"/>
  <w:bookmarkEnd w:id="6"/>
  <w:bookmarkEnd w:id="7"/>
  <w:bookmarkEnd w:id="8"/>
  <w:bookmarkEnd w:id="9"/>
  <w:bookmarkEnd w:id="10"/>
  <w:bookmarkEnd w:id="11"/>
  <w:bookmarkEnd w:id="12"/>
  <w:bookmarkEnd w:id="13"/>
  <w:p w14:paraId="30D5E4E2" w14:textId="1E3DADC8" w:rsidR="001D50B3" w:rsidRPr="00002D43" w:rsidRDefault="001D50B3" w:rsidP="00002D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8C14" w14:textId="77777777" w:rsidR="00123410" w:rsidRDefault="00123410">
      <w:r>
        <w:separator/>
      </w:r>
    </w:p>
  </w:footnote>
  <w:footnote w:type="continuationSeparator" w:id="0">
    <w:p w14:paraId="3CD41ABF" w14:textId="77777777" w:rsidR="00123410" w:rsidRDefault="0012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E2E1" w14:textId="77777777" w:rsidR="00002D43" w:rsidRPr="00483088" w:rsidRDefault="00002D43" w:rsidP="00002D43">
    <w:bookmarkStart w:id="3" w:name="_Hlk227066499"/>
    <w:bookmarkStart w:id="4" w:name="_Hlk227066500"/>
    <w:r w:rsidRPr="00483088">
      <w:rPr>
        <w:noProof/>
      </w:rPr>
      <w:drawing>
        <wp:anchor distT="0" distB="0" distL="114300" distR="114300" simplePos="0" relativeHeight="251666944" behindDoc="1" locked="0" layoutInCell="1" allowOverlap="1" wp14:anchorId="0D4BAA62" wp14:editId="04E6FB11">
          <wp:simplePos x="0" y="0"/>
          <wp:positionH relativeFrom="page">
            <wp:posOffset>-246380</wp:posOffset>
          </wp:positionH>
          <wp:positionV relativeFrom="topMargin">
            <wp:align>bottom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  <w:p w14:paraId="44DF1951" w14:textId="77777777" w:rsidR="00002D43" w:rsidRDefault="00002D4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7A7C" w14:textId="32B16A8F" w:rsidR="001D50B3" w:rsidRDefault="008E1FE8">
    <w:pPr>
      <w:pStyle w:val="Glava"/>
    </w:pPr>
    <w:r w:rsidRPr="00483088">
      <w:rPr>
        <w:noProof/>
      </w:rPr>
      <w:drawing>
        <wp:anchor distT="0" distB="0" distL="114300" distR="114300" simplePos="0" relativeHeight="251660800" behindDoc="1" locked="0" layoutInCell="1" allowOverlap="1" wp14:anchorId="5B51CF1B" wp14:editId="1F035ACE">
          <wp:simplePos x="0" y="0"/>
          <wp:positionH relativeFrom="page">
            <wp:posOffset>-198120</wp:posOffset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AE5"/>
    <w:multiLevelType w:val="hybridMultilevel"/>
    <w:tmpl w:val="B7B4F140"/>
    <w:lvl w:ilvl="0" w:tplc="AE849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A72F9"/>
    <w:multiLevelType w:val="multilevel"/>
    <w:tmpl w:val="32100600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FA6A52"/>
    <w:multiLevelType w:val="multilevel"/>
    <w:tmpl w:val="2B26CE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43FB"/>
    <w:multiLevelType w:val="hybridMultilevel"/>
    <w:tmpl w:val="F6ACB1FC"/>
    <w:lvl w:ilvl="0" w:tplc="A882129A">
      <w:start w:val="1"/>
      <w:numFmt w:val="bullet"/>
      <w:lvlText w:val="-"/>
      <w:lvlJc w:val="left"/>
      <w:rPr>
        <w:rFonts w:ascii="Arial" w:eastAsia="Calibr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3F16"/>
    <w:multiLevelType w:val="hybridMultilevel"/>
    <w:tmpl w:val="FD344AC8"/>
    <w:lvl w:ilvl="0" w:tplc="62EA0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95E"/>
    <w:multiLevelType w:val="hybridMultilevel"/>
    <w:tmpl w:val="E876BF12"/>
    <w:lvl w:ilvl="0" w:tplc="D2F82B5E">
      <w:numFmt w:val="bullet"/>
      <w:lvlText w:val="-"/>
      <w:lvlJc w:val="left"/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922D8"/>
    <w:multiLevelType w:val="hybridMultilevel"/>
    <w:tmpl w:val="E5B612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27E5C"/>
    <w:multiLevelType w:val="hybridMultilevel"/>
    <w:tmpl w:val="C5E6A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4278D"/>
    <w:multiLevelType w:val="hybridMultilevel"/>
    <w:tmpl w:val="1C264FEA"/>
    <w:lvl w:ilvl="0" w:tplc="25185D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602A"/>
    <w:multiLevelType w:val="hybridMultilevel"/>
    <w:tmpl w:val="B2C48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96822">
    <w:abstractNumId w:val="1"/>
  </w:num>
  <w:num w:numId="2" w16cid:durableId="534343486">
    <w:abstractNumId w:val="0"/>
  </w:num>
  <w:num w:numId="3" w16cid:durableId="613291792">
    <w:abstractNumId w:val="3"/>
  </w:num>
  <w:num w:numId="4" w16cid:durableId="788545742">
    <w:abstractNumId w:val="4"/>
  </w:num>
  <w:num w:numId="5" w16cid:durableId="756905573">
    <w:abstractNumId w:val="7"/>
  </w:num>
  <w:num w:numId="6" w16cid:durableId="112941897">
    <w:abstractNumId w:val="6"/>
  </w:num>
  <w:num w:numId="7" w16cid:durableId="688486318">
    <w:abstractNumId w:val="2"/>
  </w:num>
  <w:num w:numId="8" w16cid:durableId="1986005221">
    <w:abstractNumId w:val="9"/>
  </w:num>
  <w:num w:numId="9" w16cid:durableId="676159002">
    <w:abstractNumId w:val="8"/>
  </w:num>
  <w:num w:numId="10" w16cid:durableId="1889874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B"/>
    <w:rsid w:val="00002D43"/>
    <w:rsid w:val="000138CF"/>
    <w:rsid w:val="000506E7"/>
    <w:rsid w:val="0007509D"/>
    <w:rsid w:val="000A0133"/>
    <w:rsid w:val="000C2868"/>
    <w:rsid w:val="000D69A5"/>
    <w:rsid w:val="000E077D"/>
    <w:rsid w:val="00106B21"/>
    <w:rsid w:val="0011139C"/>
    <w:rsid w:val="00115D26"/>
    <w:rsid w:val="00120BB1"/>
    <w:rsid w:val="00123410"/>
    <w:rsid w:val="0013114B"/>
    <w:rsid w:val="0013152F"/>
    <w:rsid w:val="00136EE8"/>
    <w:rsid w:val="00150DCD"/>
    <w:rsid w:val="0016136F"/>
    <w:rsid w:val="001764ED"/>
    <w:rsid w:val="0018133A"/>
    <w:rsid w:val="00192E31"/>
    <w:rsid w:val="0019424A"/>
    <w:rsid w:val="001B47BD"/>
    <w:rsid w:val="001C0A6B"/>
    <w:rsid w:val="001C5560"/>
    <w:rsid w:val="001D50B3"/>
    <w:rsid w:val="002C734A"/>
    <w:rsid w:val="0030526B"/>
    <w:rsid w:val="00381C8F"/>
    <w:rsid w:val="00391AF5"/>
    <w:rsid w:val="003C44AC"/>
    <w:rsid w:val="003D23D1"/>
    <w:rsid w:val="003F27E2"/>
    <w:rsid w:val="004017A2"/>
    <w:rsid w:val="00405D95"/>
    <w:rsid w:val="004117EB"/>
    <w:rsid w:val="00421A66"/>
    <w:rsid w:val="00440167"/>
    <w:rsid w:val="00452D94"/>
    <w:rsid w:val="004603FD"/>
    <w:rsid w:val="00460C9A"/>
    <w:rsid w:val="00461EFE"/>
    <w:rsid w:val="00465F3F"/>
    <w:rsid w:val="004779A4"/>
    <w:rsid w:val="004921B8"/>
    <w:rsid w:val="004E4905"/>
    <w:rsid w:val="005121ED"/>
    <w:rsid w:val="00513F75"/>
    <w:rsid w:val="00515E6E"/>
    <w:rsid w:val="005167D1"/>
    <w:rsid w:val="005223F1"/>
    <w:rsid w:val="005233D3"/>
    <w:rsid w:val="00531B93"/>
    <w:rsid w:val="00555F87"/>
    <w:rsid w:val="005A0BC5"/>
    <w:rsid w:val="005C3184"/>
    <w:rsid w:val="005E3681"/>
    <w:rsid w:val="005F759D"/>
    <w:rsid w:val="00625A09"/>
    <w:rsid w:val="00633FAF"/>
    <w:rsid w:val="006667C9"/>
    <w:rsid w:val="00676E34"/>
    <w:rsid w:val="006F227C"/>
    <w:rsid w:val="0070059E"/>
    <w:rsid w:val="0075024F"/>
    <w:rsid w:val="0075327F"/>
    <w:rsid w:val="00774AF1"/>
    <w:rsid w:val="007A3978"/>
    <w:rsid w:val="007B0AC0"/>
    <w:rsid w:val="007C154F"/>
    <w:rsid w:val="007C31C3"/>
    <w:rsid w:val="007C3AE6"/>
    <w:rsid w:val="007C484A"/>
    <w:rsid w:val="007C73A5"/>
    <w:rsid w:val="007D0A94"/>
    <w:rsid w:val="007F40EF"/>
    <w:rsid w:val="00854AB6"/>
    <w:rsid w:val="00857FD9"/>
    <w:rsid w:val="00861748"/>
    <w:rsid w:val="0088661C"/>
    <w:rsid w:val="008E1FE8"/>
    <w:rsid w:val="008E679B"/>
    <w:rsid w:val="008F7147"/>
    <w:rsid w:val="00902B97"/>
    <w:rsid w:val="009101FC"/>
    <w:rsid w:val="00911FDF"/>
    <w:rsid w:val="00912913"/>
    <w:rsid w:val="009239C3"/>
    <w:rsid w:val="009477AA"/>
    <w:rsid w:val="00981A72"/>
    <w:rsid w:val="00991CF9"/>
    <w:rsid w:val="009A0A42"/>
    <w:rsid w:val="009A56DF"/>
    <w:rsid w:val="009E33FA"/>
    <w:rsid w:val="009E6410"/>
    <w:rsid w:val="00A30DDA"/>
    <w:rsid w:val="00A478EC"/>
    <w:rsid w:val="00A52BE1"/>
    <w:rsid w:val="00A555D0"/>
    <w:rsid w:val="00A62FA4"/>
    <w:rsid w:val="00A81369"/>
    <w:rsid w:val="00AB6C36"/>
    <w:rsid w:val="00AC09BD"/>
    <w:rsid w:val="00B04D0E"/>
    <w:rsid w:val="00B07EF9"/>
    <w:rsid w:val="00B23F15"/>
    <w:rsid w:val="00B245B1"/>
    <w:rsid w:val="00B45835"/>
    <w:rsid w:val="00B53CA4"/>
    <w:rsid w:val="00B567C0"/>
    <w:rsid w:val="00B63251"/>
    <w:rsid w:val="00B676C1"/>
    <w:rsid w:val="00B762C7"/>
    <w:rsid w:val="00B970F4"/>
    <w:rsid w:val="00BA5332"/>
    <w:rsid w:val="00BA6660"/>
    <w:rsid w:val="00BB2CA8"/>
    <w:rsid w:val="00BF12D4"/>
    <w:rsid w:val="00BF432F"/>
    <w:rsid w:val="00C24B86"/>
    <w:rsid w:val="00C27188"/>
    <w:rsid w:val="00C35B03"/>
    <w:rsid w:val="00C416D0"/>
    <w:rsid w:val="00C572C4"/>
    <w:rsid w:val="00C62CD8"/>
    <w:rsid w:val="00C70894"/>
    <w:rsid w:val="00C76352"/>
    <w:rsid w:val="00C92076"/>
    <w:rsid w:val="00CA6BE6"/>
    <w:rsid w:val="00CB2261"/>
    <w:rsid w:val="00CE1256"/>
    <w:rsid w:val="00CF793C"/>
    <w:rsid w:val="00D03B18"/>
    <w:rsid w:val="00D16AF6"/>
    <w:rsid w:val="00D338D9"/>
    <w:rsid w:val="00D37FEF"/>
    <w:rsid w:val="00D4685F"/>
    <w:rsid w:val="00D47A6A"/>
    <w:rsid w:val="00D63133"/>
    <w:rsid w:val="00D91874"/>
    <w:rsid w:val="00D95F06"/>
    <w:rsid w:val="00DA2879"/>
    <w:rsid w:val="00DD429F"/>
    <w:rsid w:val="00DE137C"/>
    <w:rsid w:val="00DE63B1"/>
    <w:rsid w:val="00E030A0"/>
    <w:rsid w:val="00E1139D"/>
    <w:rsid w:val="00E345C1"/>
    <w:rsid w:val="00E42BC0"/>
    <w:rsid w:val="00E47A75"/>
    <w:rsid w:val="00E52DD7"/>
    <w:rsid w:val="00E75F0E"/>
    <w:rsid w:val="00E91207"/>
    <w:rsid w:val="00EA303B"/>
    <w:rsid w:val="00EA42A7"/>
    <w:rsid w:val="00ED111D"/>
    <w:rsid w:val="00ED77AD"/>
    <w:rsid w:val="00EE69E6"/>
    <w:rsid w:val="00F30BB3"/>
    <w:rsid w:val="00F41CF0"/>
    <w:rsid w:val="00F7383E"/>
    <w:rsid w:val="00F752A3"/>
    <w:rsid w:val="00F801B4"/>
    <w:rsid w:val="00F82D51"/>
    <w:rsid w:val="00F84A7C"/>
    <w:rsid w:val="00FA6003"/>
    <w:rsid w:val="00FB50C4"/>
    <w:rsid w:val="00FD6F29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5A6FE"/>
  <w15:chartTrackingRefBased/>
  <w15:docId w15:val="{DDF670C5-55A8-445E-A6F5-0623777E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avaden"/>
    <w:qFormat/>
    <w:rsid w:val="00CB2261"/>
    <w:pPr>
      <w:spacing w:line="288" w:lineRule="auto"/>
    </w:pPr>
    <w:rPr>
      <w:rFonts w:ascii="MinionPro-Regular" w:eastAsia="Arial Unicode MS" w:hAnsi="MinionPro-Regular" w:cs="Arial Unicode MS"/>
      <w:color w:val="000000"/>
      <w:lang w:val="en-US"/>
    </w:rPr>
  </w:style>
  <w:style w:type="table" w:styleId="Tabelamrea">
    <w:name w:val="Table Grid"/>
    <w:basedOn w:val="Navadnatabela"/>
    <w:rsid w:val="00981A7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aliases w:val="Normal brez odmika"/>
    <w:basedOn w:val="Navaden"/>
    <w:uiPriority w:val="1"/>
    <w:qFormat/>
    <w:rsid w:val="00E1139D"/>
    <w:pPr>
      <w:spacing w:after="220"/>
      <w:contextualSpacing/>
    </w:pPr>
    <w:rPr>
      <w:rFonts w:ascii="Times" w:eastAsiaTheme="minorHAnsi" w:hAnsi="Times" w:cstheme="minorBidi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E1139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991C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1CF9"/>
    <w:pPr>
      <w:spacing w:after="160"/>
    </w:pPr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91CF9"/>
    <w:rPr>
      <w:rFonts w:ascii="Calibri" w:eastAsia="Calibri" w:hAnsi="Calibri"/>
      <w:kern w:val="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991CF9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C416D0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0167"/>
    <w:pPr>
      <w:spacing w:after="0"/>
    </w:pPr>
    <w:rPr>
      <w:rFonts w:ascii="Times New Roman" w:eastAsia="Times New Roman" w:hAnsi="Times New Roman"/>
      <w:b/>
      <w:bCs/>
      <w:kern w:val="0"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0167"/>
    <w:rPr>
      <w:rFonts w:ascii="Calibri" w:eastAsia="Calibri" w:hAnsi="Calibri"/>
      <w:b/>
      <w:bCs/>
      <w:kern w:val="2"/>
      <w:lang w:eastAsia="en-US"/>
    </w:rPr>
  </w:style>
  <w:style w:type="character" w:styleId="Hiperpovezava">
    <w:name w:val="Hyperlink"/>
    <w:uiPriority w:val="99"/>
    <w:unhideWhenUsed/>
    <w:rsid w:val="00ED111D"/>
    <w:rPr>
      <w:color w:val="0563C1"/>
      <w:u w:val="single"/>
    </w:rPr>
  </w:style>
  <w:style w:type="paragraph" w:customStyle="1" w:styleId="MONGnoga">
    <w:name w:val="MONG noga"/>
    <w:basedOn w:val="Navaden"/>
    <w:link w:val="MONGnogaZnak"/>
    <w:qFormat/>
    <w:rsid w:val="00002D43"/>
    <w:pPr>
      <w:tabs>
        <w:tab w:val="center" w:pos="4536"/>
        <w:tab w:val="right" w:pos="9072"/>
      </w:tabs>
      <w:spacing w:line="288" w:lineRule="auto"/>
      <w:ind w:left="1134" w:right="-142"/>
    </w:pPr>
    <w:rPr>
      <w:rFonts w:ascii="Verdana" w:hAnsi="Verdana" w:cs="Arial"/>
      <w:bCs/>
      <w:color w:val="002F87"/>
      <w:sz w:val="14"/>
      <w:szCs w:val="14"/>
    </w:rPr>
  </w:style>
  <w:style w:type="character" w:customStyle="1" w:styleId="MONGnogaZnak">
    <w:name w:val="MONG noga Znak"/>
    <w:basedOn w:val="Privzetapisavaodstavka"/>
    <w:link w:val="MONGnoga"/>
    <w:rsid w:val="00002D43"/>
    <w:rPr>
      <w:rFonts w:ascii="Verdana" w:hAnsi="Verdana" w:cs="Arial"/>
      <w:bCs/>
      <w:color w:val="002F8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MITFORMA d.o.o.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 Kobe</cp:lastModifiedBy>
  <cp:revision>2</cp:revision>
  <cp:lastPrinted>2026-04-16T08:54:00Z</cp:lastPrinted>
  <dcterms:created xsi:type="dcterms:W3CDTF">2026-04-16T08:55:00Z</dcterms:created>
  <dcterms:modified xsi:type="dcterms:W3CDTF">2026-04-16T08:55:00Z</dcterms:modified>
</cp:coreProperties>
</file>