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BD5126" w:rsidRDefault="00EF54A1" w:rsidP="00722FAC">
      <w:pPr>
        <w:pStyle w:val="Nazivenote"/>
      </w:pPr>
      <w:r w:rsidRPr="00BD5126">
        <w:t>Oddelek za družbene dejavnosti</w:t>
      </w:r>
      <w:r w:rsidR="00722FAC" w:rsidRPr="00BD5126">
        <w:br/>
      </w:r>
      <w:r w:rsidR="002B08B0" w:rsidRPr="00BD5126">
        <w:rPr>
          <w:b w:val="0"/>
          <w:bCs/>
        </w:rPr>
        <w:t>Trg Edvarda Kardelja 1, 5000 Nova Gorica</w:t>
      </w:r>
    </w:p>
    <w:p w14:paraId="69653651" w14:textId="77777777" w:rsidR="00A45635" w:rsidRPr="00BD5126" w:rsidRDefault="00A45635" w:rsidP="00A45635">
      <w:pPr>
        <w:pStyle w:val="Naslovnik"/>
        <w:spacing w:before="0" w:after="0" w:line="240" w:lineRule="auto"/>
        <w:rPr>
          <w:sz w:val="20"/>
          <w:szCs w:val="20"/>
        </w:rPr>
      </w:pPr>
    </w:p>
    <w:p w14:paraId="365B224A" w14:textId="786EE1B2" w:rsidR="00100D36" w:rsidRPr="00BD5126" w:rsidRDefault="00487756" w:rsidP="00100D36">
      <w:pPr>
        <w:jc w:val="both"/>
      </w:pPr>
      <w:r w:rsidRPr="00BD5126">
        <w:t>N</w:t>
      </w:r>
      <w:r w:rsidR="00100D36" w:rsidRPr="00BD5126">
        <w:t>a podlagi 100. člena Zakona o uresničevanju javnega interesa za kulturo (Uradni list RS, št. 77/07 – uradno prečiščeno besedilo, 56/08, 4/10, 20/11, 111/13, 68/16, 61/17 in 21/18 – ZNOrg, 3/22 – ZDeb</w:t>
      </w:r>
      <w:r w:rsidR="00C24844" w:rsidRPr="00BD5126">
        <w:t xml:space="preserve">, </w:t>
      </w:r>
      <w:r w:rsidR="00100D36" w:rsidRPr="00BD5126">
        <w:t xml:space="preserve">105/22 </w:t>
      </w:r>
      <w:r w:rsidR="00C24844" w:rsidRPr="00BD5126">
        <w:t>–</w:t>
      </w:r>
      <w:r w:rsidR="00100D36" w:rsidRPr="00BD5126">
        <w:t xml:space="preserve"> ZZNŠPP</w:t>
      </w:r>
      <w:r w:rsidR="00C24844" w:rsidRPr="00BD5126">
        <w:t>, 8/25 in 77/25</w:t>
      </w:r>
      <w:r w:rsidR="00100D36" w:rsidRPr="00BD5126">
        <w:t xml:space="preserve">) in sklepa župana Mestne občine Nova Gorica o začetku postopka za izbiro kulturnih projektov v Mestni občini Nova Gorica </w:t>
      </w:r>
      <w:r w:rsidR="006D6FBD" w:rsidRPr="00BD5126">
        <w:t xml:space="preserve">za </w:t>
      </w:r>
      <w:r w:rsidR="00100D36" w:rsidRPr="00BD5126">
        <w:t>let</w:t>
      </w:r>
      <w:r w:rsidR="006D6FBD" w:rsidRPr="00BD5126">
        <w:t>o</w:t>
      </w:r>
      <w:r w:rsidR="00100D36" w:rsidRPr="00BD5126">
        <w:t xml:space="preserve"> </w:t>
      </w:r>
      <w:r w:rsidR="00C24844" w:rsidRPr="00BD5126">
        <w:t>2026</w:t>
      </w:r>
      <w:r w:rsidR="00100D36" w:rsidRPr="00BD5126">
        <w:t xml:space="preserve"> št. </w:t>
      </w:r>
      <w:r w:rsidR="00C24844" w:rsidRPr="00BD5126">
        <w:t>610-</w:t>
      </w:r>
      <w:r w:rsidR="00741DFE" w:rsidRPr="00BD5126">
        <w:t xml:space="preserve">32/2025-2 z dne 20.01.2025) </w:t>
      </w:r>
      <w:r w:rsidR="00100D36" w:rsidRPr="00BD5126">
        <w:t>Mestna občina Nova Gorica, Trg Edvarda Kardelja 1, 5000 Nova Gorica, objavlja</w:t>
      </w:r>
    </w:p>
    <w:p w14:paraId="613F4C4B" w14:textId="4C5BF47A" w:rsidR="00100D36" w:rsidRPr="00BD5126" w:rsidRDefault="00100D36" w:rsidP="00100D36">
      <w:pPr>
        <w:pStyle w:val="Naslov1"/>
        <w:jc w:val="center"/>
      </w:pPr>
      <w:r w:rsidRPr="00BD5126">
        <w:t xml:space="preserve">Javni razpis </w:t>
      </w:r>
      <w:r w:rsidRPr="00BD5126">
        <w:br/>
        <w:t xml:space="preserve">za sofinanciranje kulturnih projektov v Mestni občini Nova Gorica </w:t>
      </w:r>
      <w:r w:rsidR="004F5FDB" w:rsidRPr="00BD5126">
        <w:t>za leto</w:t>
      </w:r>
      <w:r w:rsidRPr="00BD5126">
        <w:t xml:space="preserve"> </w:t>
      </w:r>
      <w:r w:rsidR="00C83E92" w:rsidRPr="00BD5126">
        <w:t>2026</w:t>
      </w:r>
    </w:p>
    <w:p w14:paraId="545ECA2A" w14:textId="079C9C95" w:rsidR="00100D36" w:rsidRPr="00BD5126" w:rsidRDefault="00100D36" w:rsidP="002A1067">
      <w:pPr>
        <w:pStyle w:val="Naslov2"/>
        <w:numPr>
          <w:ilvl w:val="0"/>
          <w:numId w:val="14"/>
        </w:numPr>
      </w:pPr>
      <w:r w:rsidRPr="00BD5126">
        <w:t xml:space="preserve">Predmet javnega razpisa </w:t>
      </w:r>
    </w:p>
    <w:p w14:paraId="537E7CD5" w14:textId="27501CBE" w:rsidR="00100D36" w:rsidRPr="00BD5126" w:rsidRDefault="00100D36" w:rsidP="00100D36">
      <w:pPr>
        <w:jc w:val="both"/>
      </w:pPr>
      <w:r w:rsidRPr="00BD5126">
        <w:t xml:space="preserve">Predmet javnega razpisa za sofinanciranje kulturnih projektov v Mestni občini Nova Gorica </w:t>
      </w:r>
      <w:r w:rsidR="004F5FDB" w:rsidRPr="00BD5126">
        <w:t>za</w:t>
      </w:r>
      <w:r w:rsidRPr="00BD5126">
        <w:t xml:space="preserve"> let</w:t>
      </w:r>
      <w:r w:rsidR="004F5FDB" w:rsidRPr="00BD5126">
        <w:t>o</w:t>
      </w:r>
      <w:r w:rsidRPr="00BD5126">
        <w:t xml:space="preserve"> </w:t>
      </w:r>
      <w:r w:rsidR="00C83E92" w:rsidRPr="00BD5126">
        <w:t>2026</w:t>
      </w:r>
      <w:r w:rsidRPr="00BD5126">
        <w:t xml:space="preserve"> (v nadaljnjem besedilu: javni razpis) je sofinanciranje kulturnih projektov, ki jih bodo v letu </w:t>
      </w:r>
      <w:r w:rsidR="00C83E92" w:rsidRPr="00BD5126">
        <w:t>2026</w:t>
      </w:r>
      <w:r w:rsidRPr="00BD5126">
        <w:t xml:space="preserve"> izvajalci realizirali na področjih uprizoritvenih, glasbenih, vizualnih in intermedijskih umetnosti, sodobnega plesa, knjige in bralne kulture, filma, kulturne dediščine in drugih področij kulture.</w:t>
      </w:r>
    </w:p>
    <w:p w14:paraId="3687CD79" w14:textId="55770C12" w:rsidR="00100D36" w:rsidRPr="00BD5126" w:rsidRDefault="00100D36" w:rsidP="002A1067">
      <w:pPr>
        <w:pStyle w:val="Naslov2"/>
        <w:numPr>
          <w:ilvl w:val="0"/>
          <w:numId w:val="14"/>
        </w:numPr>
        <w:spacing w:line="240" w:lineRule="auto"/>
      </w:pPr>
      <w:r w:rsidRPr="00BD5126">
        <w:t>Cilj javnega razpisa</w:t>
      </w:r>
    </w:p>
    <w:p w14:paraId="12E2697C" w14:textId="77777777" w:rsidR="00100D36" w:rsidRPr="00BD5126" w:rsidRDefault="00100D36" w:rsidP="00100D36">
      <w:pPr>
        <w:spacing w:after="0"/>
        <w:jc w:val="both"/>
      </w:pPr>
      <w:r w:rsidRPr="00BD5126">
        <w:t>Cilj javnega razpisa je:</w:t>
      </w:r>
    </w:p>
    <w:p w14:paraId="12F57B50" w14:textId="7FD918F2" w:rsidR="00100D36" w:rsidRPr="00BD5126" w:rsidRDefault="00100D36" w:rsidP="00F1107B">
      <w:pPr>
        <w:pStyle w:val="Odstavekseznama"/>
        <w:numPr>
          <w:ilvl w:val="0"/>
          <w:numId w:val="10"/>
        </w:numPr>
        <w:spacing w:after="0" w:line="259" w:lineRule="auto"/>
        <w:ind w:right="0"/>
        <w:jc w:val="both"/>
      </w:pPr>
      <w:r w:rsidRPr="00BD5126">
        <w:t xml:space="preserve">ohranjanje, spodbujanje in razvoj za Mestno občino Nova Gorica pomembnih </w:t>
      </w:r>
      <w:r w:rsidR="00F1107B" w:rsidRPr="00BD5126">
        <w:t xml:space="preserve">   </w:t>
      </w:r>
      <w:r w:rsidR="00394B8A" w:rsidRPr="00BD5126">
        <w:t xml:space="preserve"> </w:t>
      </w:r>
      <w:r w:rsidRPr="00BD5126">
        <w:t>kulturnih projektov, ki se izvajajo na njenem območju in so dostopni širši javnosti,</w:t>
      </w:r>
    </w:p>
    <w:p w14:paraId="6E88678E" w14:textId="5F5C8112" w:rsidR="00100D36" w:rsidRPr="00BD5126" w:rsidRDefault="00100D36" w:rsidP="00394B8A">
      <w:pPr>
        <w:pStyle w:val="Odstavekseznama"/>
        <w:numPr>
          <w:ilvl w:val="0"/>
          <w:numId w:val="10"/>
        </w:numPr>
        <w:spacing w:after="0" w:line="259" w:lineRule="auto"/>
        <w:ind w:right="0"/>
        <w:jc w:val="both"/>
      </w:pPr>
      <w:r w:rsidRPr="00BD5126">
        <w:t>povečanje dostopnosti kulturnih dobrin s podporo izvajalcem kulturnih</w:t>
      </w:r>
      <w:r w:rsidR="00F1107B" w:rsidRPr="00BD5126">
        <w:t xml:space="preserve"> </w:t>
      </w:r>
      <w:r w:rsidRPr="00BD5126">
        <w:t>projektov</w:t>
      </w:r>
      <w:r w:rsidR="00BD5126">
        <w:t>.</w:t>
      </w:r>
    </w:p>
    <w:p w14:paraId="5ED4B49A" w14:textId="6442F3A6" w:rsidR="00100D36" w:rsidRPr="00BD5126" w:rsidRDefault="00100D36" w:rsidP="002A1067">
      <w:pPr>
        <w:pStyle w:val="Naslov2"/>
        <w:numPr>
          <w:ilvl w:val="0"/>
          <w:numId w:val="14"/>
        </w:numPr>
        <w:spacing w:line="240" w:lineRule="auto"/>
      </w:pPr>
      <w:r w:rsidRPr="00BD5126">
        <w:t>Opredelitev pojmov</w:t>
      </w:r>
    </w:p>
    <w:p w14:paraId="21214EDE" w14:textId="77777777" w:rsidR="00100D36" w:rsidRPr="00BD5126" w:rsidRDefault="00100D36" w:rsidP="00100D36">
      <w:pPr>
        <w:jc w:val="both"/>
        <w:rPr>
          <w:strike/>
        </w:rPr>
      </w:pPr>
      <w:r w:rsidRPr="00BD5126">
        <w:rPr>
          <w:b/>
        </w:rPr>
        <w:t xml:space="preserve">Javni interes </w:t>
      </w:r>
      <w:r w:rsidRPr="00BD5126">
        <w:t xml:space="preserve">je interes za ustvarjanje, posredovanje in varovanje kulturnih dobrin na področju MONG, ki se uresničuje z zagotavljanjem pogojev zanje. </w:t>
      </w:r>
    </w:p>
    <w:p w14:paraId="15DB59BE" w14:textId="77777777" w:rsidR="00100D36" w:rsidRPr="00BD5126" w:rsidRDefault="00100D36" w:rsidP="00100D36">
      <w:pPr>
        <w:jc w:val="both"/>
      </w:pPr>
      <w:r w:rsidRPr="00BD5126">
        <w:rPr>
          <w:b/>
        </w:rPr>
        <w:t>Kulturni projekt</w:t>
      </w:r>
      <w:r w:rsidRPr="00BD5126">
        <w:t xml:space="preserve"> (v nadaljnjem besedilu: projekt) je posamična kulturna aktivnost, ki je po vsebini, zasnovi in obsegu zaključena samostojna celota.</w:t>
      </w:r>
    </w:p>
    <w:p w14:paraId="1B0E7F41" w14:textId="77777777" w:rsidR="00100D36" w:rsidRPr="00BD5126" w:rsidRDefault="00100D36" w:rsidP="00100D36">
      <w:pPr>
        <w:jc w:val="both"/>
        <w:rPr>
          <w:strike/>
        </w:rPr>
      </w:pPr>
      <w:r w:rsidRPr="00BD5126">
        <w:rPr>
          <w:b/>
        </w:rPr>
        <w:t>Nevladna organizacija</w:t>
      </w:r>
      <w:r w:rsidRPr="00BD5126">
        <w:t xml:space="preserve"> je organizacija, kot je opredeljena z zakonom, ki ureja nevladne organizacije. </w:t>
      </w:r>
    </w:p>
    <w:p w14:paraId="5B7FDDC3" w14:textId="7EAAD487" w:rsidR="00C97128" w:rsidRPr="00BD5126" w:rsidRDefault="00100D36" w:rsidP="00100D36">
      <w:pPr>
        <w:jc w:val="both"/>
        <w:rPr>
          <w:bCs w:val="0"/>
        </w:rPr>
      </w:pPr>
      <w:r w:rsidRPr="00BD5126">
        <w:rPr>
          <w:b/>
        </w:rPr>
        <w:t>Samo</w:t>
      </w:r>
      <w:r w:rsidR="00041639" w:rsidRPr="00BD5126">
        <w:rPr>
          <w:b/>
        </w:rPr>
        <w:t>stojni delav</w:t>
      </w:r>
      <w:r w:rsidR="007D2B04" w:rsidRPr="00BD5126">
        <w:rPr>
          <w:b/>
        </w:rPr>
        <w:t>ec</w:t>
      </w:r>
      <w:r w:rsidR="00041639" w:rsidRPr="00BD5126">
        <w:rPr>
          <w:b/>
        </w:rPr>
        <w:t xml:space="preserve"> v kulturi</w:t>
      </w:r>
      <w:r w:rsidR="005D45E8" w:rsidRPr="00BD5126">
        <w:rPr>
          <w:b/>
        </w:rPr>
        <w:t xml:space="preserve">, </w:t>
      </w:r>
      <w:r w:rsidR="007D2B04" w:rsidRPr="00BD5126">
        <w:rPr>
          <w:bCs w:val="0"/>
        </w:rPr>
        <w:t>je</w:t>
      </w:r>
      <w:r w:rsidR="005D45E8" w:rsidRPr="00BD5126">
        <w:rPr>
          <w:bCs w:val="0"/>
        </w:rPr>
        <w:t xml:space="preserve"> oseb</w:t>
      </w:r>
      <w:r w:rsidR="007D2B04" w:rsidRPr="00BD5126">
        <w:rPr>
          <w:bCs w:val="0"/>
        </w:rPr>
        <w:t>a</w:t>
      </w:r>
      <w:r w:rsidR="005D45E8" w:rsidRPr="00BD5126">
        <w:rPr>
          <w:bCs w:val="0"/>
        </w:rPr>
        <w:t xml:space="preserve">, ki samostojno </w:t>
      </w:r>
      <w:r w:rsidR="00C97128" w:rsidRPr="00BD5126">
        <w:rPr>
          <w:bCs w:val="0"/>
        </w:rPr>
        <w:t xml:space="preserve">kot poklic opravljajo kulturno dejavnost in </w:t>
      </w:r>
      <w:r w:rsidR="007D2B04" w:rsidRPr="00BD5126">
        <w:rPr>
          <w:bCs w:val="0"/>
        </w:rPr>
        <w:t>je</w:t>
      </w:r>
      <w:r w:rsidR="00C97128" w:rsidRPr="00BD5126">
        <w:rPr>
          <w:bCs w:val="0"/>
        </w:rPr>
        <w:t xml:space="preserve"> kot tak registriran v posebnem razvidu pri ministrstvu, </w:t>
      </w:r>
      <w:r w:rsidR="00550677" w:rsidRPr="00BD5126">
        <w:rPr>
          <w:bCs w:val="0"/>
        </w:rPr>
        <w:t>pristojnem za kulturo,</w:t>
      </w:r>
    </w:p>
    <w:p w14:paraId="7C1351A7" w14:textId="5D6EA748" w:rsidR="00100D36" w:rsidRPr="00BD5126" w:rsidRDefault="00100D36" w:rsidP="00100D36">
      <w:pPr>
        <w:jc w:val="both"/>
      </w:pPr>
      <w:r w:rsidRPr="00BD5126">
        <w:rPr>
          <w:b/>
        </w:rPr>
        <w:lastRenderedPageBreak/>
        <w:t>Odgovorna oseba prijavitelja</w:t>
      </w:r>
      <w:r w:rsidRPr="00BD5126">
        <w:t xml:space="preserve"> je odgovorni nosilec projekta, ki predstavlja in zastopa organizacijo, ki se prijavlja na javni razpis, oziroma je </w:t>
      </w:r>
      <w:r w:rsidR="00B32E03" w:rsidRPr="00BD5126">
        <w:t>samostojni delavec v kulturi</w:t>
      </w:r>
      <w:r w:rsidRPr="00BD5126">
        <w:t>, če je sam prijavitelj.</w:t>
      </w:r>
    </w:p>
    <w:p w14:paraId="0C305D05" w14:textId="77777777" w:rsidR="00100D36" w:rsidRPr="00BD5126" w:rsidRDefault="00100D36" w:rsidP="00100D36">
      <w:pPr>
        <w:jc w:val="both"/>
      </w:pPr>
      <w:r w:rsidRPr="00BD5126">
        <w:rPr>
          <w:b/>
        </w:rPr>
        <w:t>Prijavitelj projekta</w:t>
      </w:r>
      <w:r w:rsidRPr="00BD5126">
        <w:t xml:space="preserve"> je izvajalec projekta. Izbrani izvajalec projekta bo v pogodbi naveden kot pogodbena stranka. </w:t>
      </w:r>
    </w:p>
    <w:p w14:paraId="366D4B47" w14:textId="77777777" w:rsidR="00100D36" w:rsidRPr="00BD5126" w:rsidRDefault="00100D36" w:rsidP="00100D36">
      <w:pPr>
        <w:jc w:val="both"/>
      </w:pPr>
      <w:r w:rsidRPr="00BD5126">
        <w:rPr>
          <w:b/>
        </w:rPr>
        <w:t xml:space="preserve">Upravičene osebe </w:t>
      </w:r>
      <w:r w:rsidRPr="00BD5126">
        <w:t>so tiste osebe, katerih vloge izpolnjujejo pogoje, določene v besedilu javnega razpisa. Izpolnjevanje pogojev se ugotavlja na podlagi obveznih obrazcev in dokazil, navedenih v razpisni dokumentaciji ter vloge prijavitelja.</w:t>
      </w:r>
    </w:p>
    <w:p w14:paraId="19EDC10E" w14:textId="34FE0574" w:rsidR="00100D36" w:rsidRPr="00BD5126" w:rsidRDefault="00100D36" w:rsidP="0093138F">
      <w:pPr>
        <w:pStyle w:val="Naslov2"/>
        <w:numPr>
          <w:ilvl w:val="0"/>
          <w:numId w:val="14"/>
        </w:numPr>
        <w:spacing w:line="240" w:lineRule="auto"/>
      </w:pPr>
      <w:r w:rsidRPr="00BD5126">
        <w:t>Pogoji za sodelovanje na javnem razpisu</w:t>
      </w:r>
    </w:p>
    <w:p w14:paraId="5113FCE4" w14:textId="77777777" w:rsidR="00100D36" w:rsidRPr="00BD5126" w:rsidRDefault="00100D36" w:rsidP="00100D36">
      <w:pPr>
        <w:jc w:val="both"/>
      </w:pPr>
      <w:r w:rsidRPr="00BD5126">
        <w:t>Prijavitelji na javni razpis morajo izpolnjevati naslednje pogoje:</w:t>
      </w:r>
    </w:p>
    <w:p w14:paraId="06D9A99F" w14:textId="5DAB7EFA" w:rsidR="00100D36" w:rsidRPr="00BD5126" w:rsidRDefault="00100D36" w:rsidP="00D8580B">
      <w:pPr>
        <w:pStyle w:val="Odstavekseznama"/>
        <w:numPr>
          <w:ilvl w:val="0"/>
          <w:numId w:val="9"/>
        </w:numPr>
        <w:spacing w:after="0"/>
        <w:ind w:right="0"/>
        <w:jc w:val="both"/>
      </w:pPr>
      <w:r w:rsidRPr="00BD5126">
        <w:t>imajo sedež dejavnosti na območju MONG, če je prijavitelj nevladna organizacija oziroma imajo stalno prebivališče v MONG, če je prijavitelj samo</w:t>
      </w:r>
      <w:r w:rsidR="00CE489B" w:rsidRPr="00BD5126">
        <w:t xml:space="preserve">stojni delavec </w:t>
      </w:r>
      <w:r w:rsidRPr="00BD5126">
        <w:t>na področju kulture,</w:t>
      </w:r>
    </w:p>
    <w:p w14:paraId="674CF6BA" w14:textId="342783FB" w:rsidR="00100D36" w:rsidRPr="00BD5126" w:rsidRDefault="00100D36" w:rsidP="00D8580B">
      <w:pPr>
        <w:pStyle w:val="Odstavekseznama"/>
        <w:numPr>
          <w:ilvl w:val="0"/>
          <w:numId w:val="9"/>
        </w:numPr>
        <w:spacing w:after="0"/>
        <w:ind w:right="0"/>
        <w:jc w:val="both"/>
      </w:pPr>
      <w:r w:rsidRPr="00BD5126">
        <w:t xml:space="preserve">bodo izvedli prijavljeni projekt v letu </w:t>
      </w:r>
      <w:r w:rsidR="00894087" w:rsidRPr="00BD5126">
        <w:t>2026</w:t>
      </w:r>
      <w:r w:rsidRPr="00BD5126">
        <w:t xml:space="preserve"> pretežno na območju MONG, s pojmom »pretežno« se smatra, da pretežno izvajajo prijavljeni projekt, ki ga prijavljajo na javni razpis, na območju MONG ter so aktivni v okviru kulturnega udejstvovanja v MONG,</w:t>
      </w:r>
    </w:p>
    <w:p w14:paraId="0EA21FBB" w14:textId="6DE401D6" w:rsidR="00100D36" w:rsidRPr="00BD5126" w:rsidRDefault="00100D36" w:rsidP="00D8580B">
      <w:pPr>
        <w:pStyle w:val="Odstavekseznama"/>
        <w:numPr>
          <w:ilvl w:val="0"/>
          <w:numId w:val="9"/>
        </w:numPr>
        <w:spacing w:after="0"/>
        <w:ind w:right="0"/>
        <w:jc w:val="both"/>
      </w:pPr>
      <w:r w:rsidRPr="00BD5126">
        <w:t>so registrirani za izvajanje projektov na razpisnih področjih oziroma imajo eno izmed navedenih dejavnosti opredeljeno v ustanovitvenem aktu oziroma statutu in na dan objave javnega razpisa formalno delujejo najmanj eno leto, če je prijavitelj nevladna organizacija oziroma so vpisani v razvid samo</w:t>
      </w:r>
      <w:r w:rsidR="007F4356" w:rsidRPr="00BD5126">
        <w:t xml:space="preserve">stojnih delavcev </w:t>
      </w:r>
      <w:r w:rsidRPr="00BD5126">
        <w:t xml:space="preserve"> na področju kulture pri pristojnem ministrstvu, če je prijavitelj samo</w:t>
      </w:r>
      <w:r w:rsidR="00A97F91" w:rsidRPr="00BD5126">
        <w:t xml:space="preserve">stojni delavec </w:t>
      </w:r>
      <w:r w:rsidRPr="00BD5126">
        <w:t xml:space="preserve"> na področju kulture,</w:t>
      </w:r>
    </w:p>
    <w:p w14:paraId="7CA7FA75" w14:textId="77777777" w:rsidR="00100D36" w:rsidRPr="00BD5126" w:rsidRDefault="00100D36" w:rsidP="00D8580B">
      <w:pPr>
        <w:pStyle w:val="Odstavekseznama"/>
        <w:numPr>
          <w:ilvl w:val="0"/>
          <w:numId w:val="9"/>
        </w:numPr>
        <w:spacing w:after="0"/>
        <w:ind w:right="0"/>
        <w:jc w:val="both"/>
      </w:pPr>
      <w:r w:rsidRPr="00BD5126">
        <w:t>imajo urejeno dokumentacijo v skladu z zakoni in predpisi, ki urejajo njihovo delovanje,</w:t>
      </w:r>
    </w:p>
    <w:p w14:paraId="53405D2E" w14:textId="77777777" w:rsidR="00100D36" w:rsidRPr="00BD5126" w:rsidRDefault="00100D36" w:rsidP="00D8580B">
      <w:pPr>
        <w:pStyle w:val="Odstavekseznama"/>
        <w:numPr>
          <w:ilvl w:val="0"/>
          <w:numId w:val="9"/>
        </w:numPr>
        <w:spacing w:after="0"/>
        <w:ind w:right="0"/>
        <w:jc w:val="both"/>
      </w:pPr>
      <w:r w:rsidRPr="00BD5126">
        <w:t>imajo zagotovljene pravne, materialne, prostorske, kadrovske in organizacijske pogoje za izvedbo projekta,</w:t>
      </w:r>
    </w:p>
    <w:p w14:paraId="67437F28" w14:textId="77777777" w:rsidR="00100D36" w:rsidRPr="00BD5126" w:rsidRDefault="00100D36" w:rsidP="00D8580B">
      <w:pPr>
        <w:pStyle w:val="Odstavekseznama"/>
        <w:numPr>
          <w:ilvl w:val="0"/>
          <w:numId w:val="9"/>
        </w:numPr>
        <w:spacing w:after="0"/>
        <w:ind w:right="0"/>
        <w:jc w:val="both"/>
      </w:pPr>
      <w:r w:rsidRPr="00BD5126">
        <w:t>so v celoti izpolnili vse pogodbene obveznosti do MONG na podlagi javnih razpisov na področju kulturnih dejavnosti iz preteklih let, če so na njih sodelovali,</w:t>
      </w:r>
    </w:p>
    <w:p w14:paraId="23720C62" w14:textId="77777777" w:rsidR="00100D36" w:rsidRPr="00BD5126" w:rsidRDefault="00100D36" w:rsidP="00D8580B">
      <w:pPr>
        <w:pStyle w:val="Odstavekseznama"/>
        <w:numPr>
          <w:ilvl w:val="0"/>
          <w:numId w:val="9"/>
        </w:numPr>
        <w:spacing w:after="0"/>
        <w:ind w:right="0"/>
        <w:jc w:val="both"/>
      </w:pPr>
      <w:r w:rsidRPr="00BD5126">
        <w:t>v postopku javnega razpisa podajo izjavo, da prijavitelj dovoljuje objavo podatkov o prijavitelju o prijavljenem projektu z namenom objave rezultatov razpisa na spletni strani MONG, skladno s predpisi o dostopnosti informacij javnega značaja in o varstvu osebnih podatkov,</w:t>
      </w:r>
    </w:p>
    <w:p w14:paraId="6951BFD3" w14:textId="55346CD1" w:rsidR="00100D36" w:rsidRPr="00BD5126" w:rsidRDefault="00100D36" w:rsidP="00D8580B">
      <w:pPr>
        <w:pStyle w:val="Odstavekseznama"/>
        <w:numPr>
          <w:ilvl w:val="0"/>
          <w:numId w:val="9"/>
        </w:numPr>
        <w:spacing w:after="0"/>
        <w:ind w:right="0"/>
        <w:jc w:val="both"/>
      </w:pPr>
      <w:r w:rsidRPr="00BD5126">
        <w:t xml:space="preserve">prijavljeni projekt oziroma dejavnost prijavitelja se ne sme financirati iz sredstev drugih javnih razpisov </w:t>
      </w:r>
      <w:r w:rsidR="00F84007" w:rsidRPr="00BD5126">
        <w:t xml:space="preserve">mestne občine </w:t>
      </w:r>
      <w:r w:rsidRPr="00BD5126">
        <w:t>oziroma iz proračunskih sredstev mestne občine oziroma preko Javnega sklada RS za kulturne dejavnosti, Območna izpostava Nova Gorica,</w:t>
      </w:r>
    </w:p>
    <w:p w14:paraId="0038F2A6" w14:textId="77777777" w:rsidR="00100D36" w:rsidRPr="00BD5126" w:rsidRDefault="00100D36" w:rsidP="00D8580B">
      <w:pPr>
        <w:pStyle w:val="Odstavekseznama"/>
        <w:numPr>
          <w:ilvl w:val="0"/>
          <w:numId w:val="9"/>
        </w:numPr>
        <w:spacing w:after="160"/>
        <w:ind w:right="0"/>
        <w:jc w:val="both"/>
      </w:pPr>
      <w:r w:rsidRPr="00BD5126">
        <w:t>v postopku javnega razpisa podajo izjavo, da se strinjajo s pogoji in kriteriji tega javnega razpisa oz. celotno razpisno dokumentacijo.</w:t>
      </w:r>
    </w:p>
    <w:p w14:paraId="23C17A7C" w14:textId="77777777" w:rsidR="00100D36" w:rsidRPr="00BD5126" w:rsidRDefault="00100D36" w:rsidP="00100D36">
      <w:pPr>
        <w:jc w:val="both"/>
      </w:pPr>
      <w:r w:rsidRPr="00BD5126">
        <w:t>Vloge prijaviteljev, ki ne izpolnjujejo zgornjih pogojev, bodo izločene iz postopka ocenjevanja in zavržene.</w:t>
      </w:r>
    </w:p>
    <w:p w14:paraId="5084B905" w14:textId="77777777" w:rsidR="00100D36" w:rsidRPr="00BD5126" w:rsidRDefault="00100D36" w:rsidP="00100D36">
      <w:pPr>
        <w:jc w:val="both"/>
      </w:pPr>
      <w:r w:rsidRPr="00BD5126">
        <w:lastRenderedPageBreak/>
        <w:t>Prijavitelj lahko na javni razpis prijavi največ 1 (en) projekt.</w:t>
      </w:r>
    </w:p>
    <w:p w14:paraId="0EBAD21B" w14:textId="77777777" w:rsidR="00100D36" w:rsidRPr="00BD5126" w:rsidRDefault="00100D36" w:rsidP="00100D36">
      <w:pPr>
        <w:jc w:val="both"/>
      </w:pPr>
      <w:r w:rsidRPr="00BD5126">
        <w:t>V primeru, da prijavitelj prijavi več projektov, kot je določeno v predhodnem odstavku, se vloga kot neustrezna zavrže.</w:t>
      </w:r>
    </w:p>
    <w:p w14:paraId="301B0EC1" w14:textId="77777777" w:rsidR="00100D36" w:rsidRPr="00BD5126" w:rsidRDefault="00100D36" w:rsidP="00100D36">
      <w:pPr>
        <w:jc w:val="both"/>
      </w:pPr>
      <w:r w:rsidRPr="00BD5126">
        <w:t>Prijavitelji, ki imajo z MONG sklenjeno pogodbo o sofinanciranju javnega kulturnega programa za obdobje 2023 – 2026 na podlagi Javnega razpisa za sofinanciranje javnih kulturnih programov in kulturnih projektov v Mestni občini Nova Gorica v letu 2023, lahko izjemoma pridobijo sredstva na tem javnem razpisu za projekte, ki niso predmet, nadgradnja, razširitev, obogatitev programa iz prej navedene pogodbe iz tega odstavka in jih ni bilo mogoče vnaprej načrtovati.</w:t>
      </w:r>
    </w:p>
    <w:p w14:paraId="1911DDC1" w14:textId="77777777" w:rsidR="00100D36" w:rsidRPr="00BD5126" w:rsidRDefault="00100D36" w:rsidP="00100D36">
      <w:pPr>
        <w:jc w:val="both"/>
      </w:pPr>
      <w:r w:rsidRPr="00BD5126">
        <w:t>MONG iz sredstev tega javnega razpisa ne sofinancira profitnih projektov, odhodkov za formalno izobraževanje (redno in izredno) na vseh stopnjah ter vlaganja v nakup oziroma vzdrževanje nepremičnin in opreme.</w:t>
      </w:r>
    </w:p>
    <w:p w14:paraId="69E350D3" w14:textId="77777777" w:rsidR="00100D36" w:rsidRPr="00BD5126" w:rsidRDefault="00100D36" w:rsidP="00100D36">
      <w:pPr>
        <w:spacing w:after="0"/>
        <w:jc w:val="both"/>
      </w:pPr>
      <w:r w:rsidRPr="00BD5126">
        <w:t xml:space="preserve">Upravičenci za prijavo na javni razpis so: </w:t>
      </w:r>
    </w:p>
    <w:p w14:paraId="50A0AC3B" w14:textId="77777777" w:rsidR="00100D36" w:rsidRPr="00BD5126" w:rsidRDefault="00100D36" w:rsidP="00100D36">
      <w:pPr>
        <w:pStyle w:val="Odstavekseznama"/>
        <w:numPr>
          <w:ilvl w:val="0"/>
          <w:numId w:val="9"/>
        </w:numPr>
        <w:spacing w:after="0" w:line="259" w:lineRule="auto"/>
        <w:ind w:right="0"/>
        <w:jc w:val="both"/>
      </w:pPr>
      <w:r w:rsidRPr="00BD5126">
        <w:t>nevladne organizacije s statusom pravne osebe s sedežem v MONG, ki so ustanovljene kot društvo, zveza društev, ustanova, zavod ali druga nevladna organizacija, ki deluje na razpisnih področjih tega javnega razpisa, in</w:t>
      </w:r>
    </w:p>
    <w:p w14:paraId="3EFC3DC2" w14:textId="350ED478" w:rsidR="00100D36" w:rsidRPr="00BD5126" w:rsidRDefault="00100D36" w:rsidP="00100D36">
      <w:pPr>
        <w:pStyle w:val="Odstavekseznama"/>
        <w:numPr>
          <w:ilvl w:val="0"/>
          <w:numId w:val="9"/>
        </w:numPr>
        <w:spacing w:line="259" w:lineRule="auto"/>
        <w:ind w:right="0"/>
        <w:jc w:val="both"/>
      </w:pPr>
      <w:r w:rsidRPr="00BD5126">
        <w:t>samo</w:t>
      </w:r>
      <w:r w:rsidR="001A1C94" w:rsidRPr="00BD5126">
        <w:t xml:space="preserve">stojni delavci </w:t>
      </w:r>
      <w:r w:rsidRPr="00BD5126">
        <w:t>na področju kulture, ki so vpisani v razvid samo</w:t>
      </w:r>
      <w:r w:rsidR="001A1C94" w:rsidRPr="00BD5126">
        <w:t xml:space="preserve">stojnih delavcev </w:t>
      </w:r>
      <w:r w:rsidRPr="00BD5126">
        <w:t>na področju kulture pri Ministrstvu za kulturo Republike Slovenije.</w:t>
      </w:r>
    </w:p>
    <w:p w14:paraId="6DDA0BA6" w14:textId="6B591663" w:rsidR="00100D36" w:rsidRPr="00BD5126" w:rsidRDefault="00100D36" w:rsidP="00100D36">
      <w:pPr>
        <w:jc w:val="both"/>
      </w:pPr>
      <w:r w:rsidRPr="00BD5126">
        <w:t>Subjekti, ustanovljeni po Zakonu o gospodarskih družbah, javni zavodi in fizične osebe, ki niso vpisane v razvid samo</w:t>
      </w:r>
      <w:r w:rsidR="00A97F91" w:rsidRPr="00BD5126">
        <w:t>stojni</w:t>
      </w:r>
      <w:r w:rsidR="004D0582" w:rsidRPr="00BD5126">
        <w:t>h</w:t>
      </w:r>
      <w:r w:rsidR="00A97F91" w:rsidRPr="00BD5126">
        <w:t xml:space="preserve"> delav</w:t>
      </w:r>
      <w:r w:rsidR="004D0582" w:rsidRPr="00BD5126">
        <w:t>cev</w:t>
      </w:r>
      <w:r w:rsidR="00A97F91" w:rsidRPr="00BD5126">
        <w:t xml:space="preserve"> </w:t>
      </w:r>
      <w:r w:rsidRPr="00BD5126">
        <w:t>v kulturi, niso upravičenci za prijavo na javni razpis.</w:t>
      </w:r>
    </w:p>
    <w:p w14:paraId="60FDC6C7" w14:textId="0BF6E8D2" w:rsidR="00100D36" w:rsidRPr="00BD5126" w:rsidRDefault="00100D36" w:rsidP="00100D36">
      <w:pPr>
        <w:jc w:val="both"/>
      </w:pPr>
      <w:r w:rsidRPr="00BD5126">
        <w:t>Za sofinanciranje projektov po tem javnem razpisu morajo prijavitelji  upoštevati  omejitve poslovanja na podlagi Zakona o integriteti in preprečevanju korupcije (Ur. List RS, št. 69/11 – uradno prečiščeno besedilo</w:t>
      </w:r>
      <w:r w:rsidR="000A3EB1" w:rsidRPr="00BD5126">
        <w:t xml:space="preserve">, </w:t>
      </w:r>
      <w:hyperlink r:id="rId10" w:tgtFrame="_blank" w:tooltip="Zakon o spremembah in dopolnitvah Zakona o integriteti in preprečevanju korupcije (ZIntPK-C)" w:history="1">
        <w:r w:rsidR="000A3EB1" w:rsidRPr="00BD5126">
          <w:rPr>
            <w:rStyle w:val="Hiperpovezava"/>
            <w:color w:val="auto"/>
            <w:u w:val="none"/>
          </w:rPr>
          <w:t>158/20</w:t>
        </w:r>
      </w:hyperlink>
      <w:r w:rsidR="000A3EB1" w:rsidRPr="00BD5126">
        <w:t>, </w:t>
      </w:r>
      <w:hyperlink r:id="rId11" w:tgtFrame="_blank" w:tooltip="Zakon o debirokratizaciji (ZDeb)" w:history="1">
        <w:r w:rsidR="000A3EB1" w:rsidRPr="00BD5126">
          <w:rPr>
            <w:rStyle w:val="Hiperpovezava"/>
            <w:color w:val="auto"/>
            <w:u w:val="none"/>
          </w:rPr>
          <w:t>3/22</w:t>
        </w:r>
      </w:hyperlink>
      <w:r w:rsidR="000A3EB1" w:rsidRPr="00BD5126">
        <w:t> – ZDeb in </w:t>
      </w:r>
      <w:hyperlink r:id="rId12" w:tgtFrame="_blank" w:tooltip="Zakon o zaščiti prijaviteljev (ZZPri)" w:history="1">
        <w:r w:rsidR="000A3EB1" w:rsidRPr="00BD5126">
          <w:rPr>
            <w:rStyle w:val="Hiperpovezava"/>
            <w:color w:val="auto"/>
            <w:u w:val="none"/>
          </w:rPr>
          <w:t>16/23</w:t>
        </w:r>
      </w:hyperlink>
      <w:r w:rsidR="000A3EB1" w:rsidRPr="00BD5126">
        <w:t> – ZZPri</w:t>
      </w:r>
      <w:r w:rsidRPr="00BD5126">
        <w:t>).</w:t>
      </w:r>
    </w:p>
    <w:p w14:paraId="02BFBAA8" w14:textId="77777777" w:rsidR="00100D36" w:rsidRPr="00BD5126" w:rsidRDefault="00100D36" w:rsidP="00100D36">
      <w:pPr>
        <w:jc w:val="both"/>
      </w:pPr>
      <w:r w:rsidRPr="00BD5126">
        <w:t>Če je znesek javnih sredstev v pogodbi določen glede na predvidevanje, da sredstva proračuna MONG, namenjena za sofinanciranje kulturnih projektov, v času veljavnosti pogodbe ne bodo manjša kot so ob podpisu pogodbe, pa se kasneje zmanjšajo v takšnem obsegu, da projekta ni več mogoče izpolniti v dogovorjenem obsegu, se pogodba iz tega razloga v javnem interesu spremeni.</w:t>
      </w:r>
    </w:p>
    <w:p w14:paraId="106863E6" w14:textId="77777777" w:rsidR="00100D36" w:rsidRPr="00BD5126" w:rsidRDefault="00100D36" w:rsidP="007C58DF">
      <w:pPr>
        <w:pStyle w:val="odstavek"/>
        <w:shd w:val="clear" w:color="auto" w:fill="FFFFFF"/>
        <w:spacing w:before="240" w:beforeAutospacing="0" w:after="0" w:afterAutospacing="0" w:line="288" w:lineRule="auto"/>
        <w:ind w:left="709"/>
        <w:jc w:val="both"/>
        <w:rPr>
          <w:rFonts w:ascii="Verdana" w:hAnsi="Verdana" w:cs="Arial"/>
          <w:bCs/>
          <w:noProof/>
          <w:sz w:val="20"/>
          <w:szCs w:val="22"/>
        </w:rPr>
      </w:pPr>
      <w:r w:rsidRPr="00BD5126">
        <w:rPr>
          <w:rFonts w:ascii="Verdana" w:hAnsi="Verdana" w:cs="Arial"/>
          <w:bCs/>
          <w:noProof/>
          <w:sz w:val="20"/>
          <w:szCs w:val="22"/>
        </w:rPr>
        <w:t>Če se po podpisu pogodbe zmanjša obseg sredstev, ki je v proračunu MONG namenjen za sofinanciranje kulturnih projektov do takšne mere, da izpolnitev pogodbe za financiranje projekta ni več mogoča, se pogodba na predlog MONG razveže.</w:t>
      </w:r>
    </w:p>
    <w:p w14:paraId="0FCD301F" w14:textId="40EE84F5" w:rsidR="00100D36" w:rsidRPr="00BD5126" w:rsidRDefault="00100D36" w:rsidP="007C58DF">
      <w:pPr>
        <w:pStyle w:val="odstavek"/>
        <w:shd w:val="clear" w:color="auto" w:fill="FFFFFF"/>
        <w:spacing w:before="240" w:beforeAutospacing="0" w:after="240" w:afterAutospacing="0" w:line="288" w:lineRule="auto"/>
        <w:ind w:left="709"/>
        <w:jc w:val="both"/>
        <w:rPr>
          <w:rFonts w:ascii="Verdana" w:hAnsi="Verdana" w:cs="Arial"/>
          <w:bCs/>
          <w:noProof/>
          <w:sz w:val="20"/>
          <w:szCs w:val="22"/>
        </w:rPr>
      </w:pPr>
      <w:r w:rsidRPr="00BD5126">
        <w:rPr>
          <w:rFonts w:ascii="Verdana" w:hAnsi="Verdana" w:cs="Arial"/>
          <w:bCs/>
          <w:noProof/>
          <w:sz w:val="20"/>
          <w:szCs w:val="22"/>
        </w:rPr>
        <w:t>Prejemnik sredstev mora izvesti tolikšen del projekta, ki ustreza do razveze prejetim sredstvom v skladu s pogodbo, razen če taka izpolnitev ni smiselna. V tem primeru mora vrniti sredstva, ki jih je prejel in niso bila porabljena za izvršitev dejavnosti oziroma izvedbo projekta, ki je bil predmet pogodbe.</w:t>
      </w:r>
    </w:p>
    <w:p w14:paraId="4DBBDD44" w14:textId="317A9D8E" w:rsidR="00100D36" w:rsidRPr="00BD5126" w:rsidRDefault="00100D36" w:rsidP="00214025">
      <w:pPr>
        <w:pStyle w:val="Naslov2"/>
        <w:numPr>
          <w:ilvl w:val="0"/>
          <w:numId w:val="14"/>
        </w:numPr>
        <w:spacing w:line="240" w:lineRule="auto"/>
      </w:pPr>
      <w:r w:rsidRPr="00BD5126">
        <w:lastRenderedPageBreak/>
        <w:t>Upravičenost stroškov</w:t>
      </w:r>
    </w:p>
    <w:p w14:paraId="3B2468E6" w14:textId="77777777" w:rsidR="00100D36" w:rsidRPr="00BD5126" w:rsidRDefault="00100D36" w:rsidP="00D8580B">
      <w:pPr>
        <w:spacing w:after="0"/>
        <w:jc w:val="both"/>
      </w:pPr>
      <w:r w:rsidRPr="00BD5126">
        <w:t>Upravičeni stroški, ki jih MONG sofinancira v okviru tega javnega razpisa, morajo biti navedeni v razpisni dokumentaciji, in so:</w:t>
      </w:r>
    </w:p>
    <w:p w14:paraId="7ED9084E" w14:textId="77777777" w:rsidR="00100D36" w:rsidRPr="00BD5126" w:rsidRDefault="00100D36" w:rsidP="00D8580B">
      <w:pPr>
        <w:pStyle w:val="Odstavekseznama"/>
        <w:numPr>
          <w:ilvl w:val="0"/>
          <w:numId w:val="8"/>
        </w:numPr>
        <w:spacing w:after="0"/>
        <w:ind w:left="1429" w:right="0"/>
        <w:jc w:val="both"/>
      </w:pPr>
      <w:r w:rsidRPr="00BD5126">
        <w:t>nujno potrebni za kvalitetno izvedbo prijavljenega projekta in so vezani izključno na izvedbo projekta na območju MONG,</w:t>
      </w:r>
    </w:p>
    <w:p w14:paraId="6720A6D9" w14:textId="77777777" w:rsidR="00100D36" w:rsidRPr="00BD5126" w:rsidRDefault="00100D36" w:rsidP="00D8580B">
      <w:pPr>
        <w:pStyle w:val="Odstavekseznama"/>
        <w:numPr>
          <w:ilvl w:val="0"/>
          <w:numId w:val="8"/>
        </w:numPr>
        <w:spacing w:after="0"/>
        <w:ind w:left="1429" w:right="0"/>
        <w:jc w:val="both"/>
      </w:pPr>
      <w:r w:rsidRPr="00BD5126">
        <w:t>opredeljeni v prijavi prijavitelja,</w:t>
      </w:r>
    </w:p>
    <w:p w14:paraId="6AADBF40" w14:textId="77777777" w:rsidR="00100D36" w:rsidRPr="00BD5126" w:rsidRDefault="00100D36" w:rsidP="00D8580B">
      <w:pPr>
        <w:pStyle w:val="Odstavekseznama"/>
        <w:numPr>
          <w:ilvl w:val="0"/>
          <w:numId w:val="8"/>
        </w:numPr>
        <w:spacing w:after="0"/>
        <w:ind w:left="1429" w:right="0"/>
        <w:jc w:val="both"/>
      </w:pPr>
      <w:r w:rsidRPr="00BD5126">
        <w:t>razumni in utemeljeni z načeli dobrega finančnega poslovanja, predvsem glede cenovne primernosti in stroškovne učinkovitosti,</w:t>
      </w:r>
    </w:p>
    <w:p w14:paraId="268EF416" w14:textId="77777777" w:rsidR="00100D36" w:rsidRPr="00BD5126" w:rsidRDefault="00100D36" w:rsidP="00D8580B">
      <w:pPr>
        <w:pStyle w:val="Odstavekseznama"/>
        <w:numPr>
          <w:ilvl w:val="0"/>
          <w:numId w:val="8"/>
        </w:numPr>
        <w:spacing w:after="0"/>
        <w:ind w:left="1429" w:right="0"/>
        <w:jc w:val="both"/>
      </w:pPr>
      <w:r w:rsidRPr="00BD5126">
        <w:t>dejansko nastali,</w:t>
      </w:r>
    </w:p>
    <w:p w14:paraId="5536B0CE" w14:textId="77777777" w:rsidR="00100D36" w:rsidRPr="00BD5126" w:rsidRDefault="00100D36" w:rsidP="00D8580B">
      <w:pPr>
        <w:pStyle w:val="Odstavekseznama"/>
        <w:numPr>
          <w:ilvl w:val="0"/>
          <w:numId w:val="8"/>
        </w:numPr>
        <w:spacing w:after="0"/>
        <w:ind w:left="1429" w:right="0"/>
        <w:jc w:val="both"/>
      </w:pPr>
      <w:r w:rsidRPr="00BD5126">
        <w:t>transparentni in preverljivi,</w:t>
      </w:r>
    </w:p>
    <w:p w14:paraId="2E29AD3F" w14:textId="77777777" w:rsidR="00100D36" w:rsidRPr="00BD5126" w:rsidRDefault="00100D36" w:rsidP="00D8580B">
      <w:pPr>
        <w:pStyle w:val="Odstavekseznama"/>
        <w:numPr>
          <w:ilvl w:val="0"/>
          <w:numId w:val="8"/>
        </w:numPr>
        <w:spacing w:after="0"/>
        <w:ind w:left="1429" w:right="0"/>
        <w:jc w:val="both"/>
      </w:pPr>
      <w:r w:rsidRPr="00BD5126">
        <w:t>temeljijo na verodostojnih knjigovodskih in drugih listinah, so evidentirani na računih izvajalca v skladu z veljavnimi računovodskimi načeli in so opredeljeni v skladu z zahtevami obstoječe zakonodaje,</w:t>
      </w:r>
    </w:p>
    <w:p w14:paraId="0FE81EA2" w14:textId="77777777" w:rsidR="00100D36" w:rsidRPr="00BD5126" w:rsidRDefault="00100D36" w:rsidP="00D8580B">
      <w:pPr>
        <w:pStyle w:val="Odstavekseznama"/>
        <w:numPr>
          <w:ilvl w:val="0"/>
          <w:numId w:val="8"/>
        </w:numPr>
        <w:spacing w:after="0"/>
        <w:ind w:left="1429" w:right="0"/>
        <w:jc w:val="both"/>
      </w:pPr>
      <w:r w:rsidRPr="00BD5126">
        <w:t>izkazani s preverljivimi dokazili (računi, pogodbe, potrdila o izvedenih plačilih in druga obračunska dokumentacija),</w:t>
      </w:r>
    </w:p>
    <w:p w14:paraId="56EBF109" w14:textId="77777777" w:rsidR="00100D36" w:rsidRPr="00BD5126" w:rsidRDefault="00100D36" w:rsidP="00D8580B">
      <w:pPr>
        <w:pStyle w:val="Odstavekseznama"/>
        <w:numPr>
          <w:ilvl w:val="0"/>
          <w:numId w:val="8"/>
        </w:numPr>
        <w:spacing w:after="0"/>
        <w:ind w:left="1429" w:right="0"/>
        <w:jc w:val="both"/>
      </w:pPr>
      <w:r w:rsidRPr="00BD5126">
        <w:t>niso in ne bodo sočasno financirani s strani drugih sofinancerjev projekta ali iz drugih javnih razpisov oziroma drugih proračunskih postavk MONG (dvojno financiranje).</w:t>
      </w:r>
    </w:p>
    <w:p w14:paraId="445C3063" w14:textId="77777777" w:rsidR="00214025" w:rsidRPr="00BD5126" w:rsidRDefault="00214025" w:rsidP="00214025">
      <w:pPr>
        <w:spacing w:after="0"/>
        <w:ind w:left="0"/>
        <w:rPr>
          <w:b/>
        </w:rPr>
      </w:pPr>
    </w:p>
    <w:p w14:paraId="4BA7F072" w14:textId="6545DDD5" w:rsidR="00100D36" w:rsidRPr="00BD5126" w:rsidRDefault="00100D36" w:rsidP="00D8580B">
      <w:pPr>
        <w:spacing w:after="0"/>
        <w:ind w:left="0" w:firstLine="708"/>
        <w:rPr>
          <w:b/>
          <w:bCs w:val="0"/>
        </w:rPr>
      </w:pPr>
      <w:r w:rsidRPr="00BD5126">
        <w:rPr>
          <w:b/>
        </w:rPr>
        <w:t>Upravičeni stroški za izvedbo projekta:</w:t>
      </w:r>
    </w:p>
    <w:p w14:paraId="04C01A76" w14:textId="77777777" w:rsidR="00100D36" w:rsidRPr="00BD5126" w:rsidRDefault="00100D36" w:rsidP="00D8580B">
      <w:pPr>
        <w:pStyle w:val="Odstavekseznama"/>
        <w:numPr>
          <w:ilvl w:val="0"/>
          <w:numId w:val="8"/>
        </w:numPr>
        <w:spacing w:after="0"/>
        <w:ind w:left="1429" w:right="0"/>
        <w:jc w:val="both"/>
      </w:pPr>
      <w:r w:rsidRPr="00BD5126">
        <w:t>stroški, ki so potrebni za izvedbo kulturnega projekta in so opredeljeni v prijavi na razpis (stroški najema, promocije, drugi materialni stroški…),</w:t>
      </w:r>
    </w:p>
    <w:p w14:paraId="58C3DA90" w14:textId="77777777" w:rsidR="00100D36" w:rsidRPr="00BD5126" w:rsidRDefault="00100D36" w:rsidP="00D8580B">
      <w:pPr>
        <w:pStyle w:val="Odstavekseznama"/>
        <w:numPr>
          <w:ilvl w:val="0"/>
          <w:numId w:val="8"/>
        </w:numPr>
        <w:spacing w:after="0"/>
        <w:ind w:left="1429" w:right="0"/>
        <w:jc w:val="both"/>
      </w:pPr>
      <w:r w:rsidRPr="00BD5126">
        <w:t>splošni stroški delovanja prijavitelja, vezani na prijavljeni projekt (stroški telekomunikacij, plačilnega prometa, računovodstva, pisarniškega materiala, vode, elektrike…) največ do višine 10% odobrenih sredstev na javnem razpisu,</w:t>
      </w:r>
    </w:p>
    <w:p w14:paraId="6CA49AE7" w14:textId="77777777" w:rsidR="00100D36" w:rsidRPr="00BD5126" w:rsidRDefault="00100D36" w:rsidP="00D8580B">
      <w:pPr>
        <w:pStyle w:val="Odstavekseznama"/>
        <w:numPr>
          <w:ilvl w:val="0"/>
          <w:numId w:val="8"/>
        </w:numPr>
        <w:spacing w:after="0"/>
        <w:ind w:left="1429" w:right="0"/>
        <w:jc w:val="both"/>
      </w:pPr>
      <w:r w:rsidRPr="00BD5126">
        <w:t>stroški dela zaposlenih pri prijavitelju največ do višine 40% vrednosti odobrenih proračunskih sredstev MONG,</w:t>
      </w:r>
    </w:p>
    <w:p w14:paraId="01D792E6" w14:textId="608CC121" w:rsidR="00100D36" w:rsidRPr="00BD5126" w:rsidRDefault="00100D36" w:rsidP="00D8580B">
      <w:pPr>
        <w:pStyle w:val="Odstavekseznama"/>
        <w:numPr>
          <w:ilvl w:val="0"/>
          <w:numId w:val="8"/>
        </w:numPr>
        <w:ind w:left="1429" w:right="0"/>
        <w:contextualSpacing w:val="0"/>
        <w:jc w:val="both"/>
      </w:pPr>
      <w:r w:rsidRPr="00BD5126">
        <w:t>če je prijavitelj samo</w:t>
      </w:r>
      <w:r w:rsidR="004D0582" w:rsidRPr="00BD5126">
        <w:t xml:space="preserve">stojni </w:t>
      </w:r>
      <w:r w:rsidR="002272A3" w:rsidRPr="00BD5126">
        <w:t>delavec</w:t>
      </w:r>
      <w:r w:rsidR="004D0582" w:rsidRPr="00BD5126">
        <w:t xml:space="preserve"> na področju kulture</w:t>
      </w:r>
      <w:r w:rsidRPr="00BD5126">
        <w:t>, se kot upravičen strošek za lasten honorar prizna največ 40% vrednosti odobrenih proračunskih sredstev MONG, razlika se prizna za druge stroške, potrebne za izvedbo projekta (stroški najemna, promocije, drugi materialni stroški…).</w:t>
      </w:r>
    </w:p>
    <w:p w14:paraId="462B2226" w14:textId="77777777" w:rsidR="00100D36" w:rsidRPr="00BD5126" w:rsidRDefault="00100D36" w:rsidP="00100D36">
      <w:pPr>
        <w:jc w:val="both"/>
      </w:pPr>
      <w:r w:rsidRPr="00BD5126">
        <w:rPr>
          <w:b/>
        </w:rPr>
        <w:t>Finančna uravnoteženost projekta</w:t>
      </w:r>
      <w:r w:rsidRPr="00BD5126">
        <w:t xml:space="preserve"> pomeni, da so uravnoteženi upravičeni stroški projekta z njegovim obsegom in vsebino zlasti glede cenovne primernosti in stroškovne učinkovitosti ter da so prihodki enaki odhodkom. Celotna vrednost projekta obsega vse načrtovane prihodke in odhodke.</w:t>
      </w:r>
    </w:p>
    <w:p w14:paraId="7FC9E62B" w14:textId="77777777" w:rsidR="00100D36" w:rsidRPr="00BD5126" w:rsidRDefault="00100D36" w:rsidP="00100D36">
      <w:pPr>
        <w:jc w:val="both"/>
      </w:pPr>
      <w:r w:rsidRPr="00BD5126">
        <w:t>Neupravičeni stroški za izvedbo projekta vedno predstavljajo breme, ki ga nosi izvajalec.</w:t>
      </w:r>
    </w:p>
    <w:p w14:paraId="7F8FF2B5" w14:textId="77777777" w:rsidR="00100D36" w:rsidRPr="00BD5126" w:rsidRDefault="00100D36" w:rsidP="00100D36">
      <w:pPr>
        <w:jc w:val="both"/>
      </w:pPr>
      <w:r w:rsidRPr="00BD5126">
        <w:t>Med lastna sredstva prijavitelja se šteje tudi prostovoljno delo članov v nevladnih organizacijah, in sicer v višini največ 10% predvidenih lastnih sredstev. Enako razmerje se upošteva tudi pri poročanju ob dokazovanju lastnega deleža sredstev.</w:t>
      </w:r>
    </w:p>
    <w:p w14:paraId="505F09F5" w14:textId="1C09215C" w:rsidR="00100D36" w:rsidRPr="00BD5126" w:rsidRDefault="00100D36" w:rsidP="00214025">
      <w:pPr>
        <w:pStyle w:val="Naslov2"/>
        <w:numPr>
          <w:ilvl w:val="0"/>
          <w:numId w:val="14"/>
        </w:numPr>
        <w:spacing w:line="240" w:lineRule="auto"/>
      </w:pPr>
      <w:r w:rsidRPr="00BD5126">
        <w:lastRenderedPageBreak/>
        <w:t>Višina razpoložljivih in zaprošenih sredstev za sofinanciranje</w:t>
      </w:r>
    </w:p>
    <w:p w14:paraId="690DCDC0" w14:textId="5525A61B" w:rsidR="00100D36" w:rsidRPr="00BD5126" w:rsidRDefault="00100D36" w:rsidP="00100D36">
      <w:pPr>
        <w:jc w:val="both"/>
      </w:pPr>
      <w:r w:rsidRPr="00BD5126">
        <w:t xml:space="preserve">Višina razpoložljivih sredstev za javni razpis za leto </w:t>
      </w:r>
      <w:r w:rsidR="00E72AF5" w:rsidRPr="00BD5126">
        <w:t>2026</w:t>
      </w:r>
      <w:r w:rsidRPr="00BD5126">
        <w:t xml:space="preserve"> znaša 40.000,00 EUR.</w:t>
      </w:r>
    </w:p>
    <w:p w14:paraId="519B1F1B" w14:textId="3CCC7F5C" w:rsidR="00100D36" w:rsidRPr="00BD5126" w:rsidRDefault="00100D36" w:rsidP="00100D36">
      <w:pPr>
        <w:jc w:val="both"/>
      </w:pPr>
      <w:r w:rsidRPr="00BD5126">
        <w:t xml:space="preserve">Projekti morajo biti realizirani in dodeljena sredstva porabljena v letu </w:t>
      </w:r>
      <w:r w:rsidR="00214025" w:rsidRPr="00BD5126">
        <w:t>2026</w:t>
      </w:r>
      <w:r w:rsidRPr="00BD5126">
        <w:t>.</w:t>
      </w:r>
    </w:p>
    <w:p w14:paraId="47053F47" w14:textId="16367275" w:rsidR="00100D36" w:rsidRPr="00BD5126" w:rsidRDefault="00100D36" w:rsidP="00100D36">
      <w:pPr>
        <w:jc w:val="both"/>
      </w:pPr>
      <w:r w:rsidRPr="00BD5126">
        <w:t xml:space="preserve">Višina zaprošenih sredstev za sofinanciranje projekta, ki se bo izvedel v letu </w:t>
      </w:r>
      <w:r w:rsidR="00E72AF5" w:rsidRPr="00BD5126">
        <w:t>2026</w:t>
      </w:r>
      <w:r w:rsidRPr="00BD5126">
        <w:t xml:space="preserve">, je omejena. Prijavitelj lahko iz javnega razpisa za leto  </w:t>
      </w:r>
      <w:r w:rsidR="002512FC" w:rsidRPr="00BD5126">
        <w:t>2026</w:t>
      </w:r>
      <w:r w:rsidRPr="00BD5126">
        <w:t xml:space="preserve"> zaprosi za sofinanciranje do največ 60% vrednosti projekta, hkrati pa višina zaprošenega zneska ne sme presegati 5.000,00 EUR.</w:t>
      </w:r>
    </w:p>
    <w:p w14:paraId="2F5952EC" w14:textId="77777777" w:rsidR="00100D36" w:rsidRPr="00BD5126" w:rsidRDefault="00100D36" w:rsidP="00100D36">
      <w:pPr>
        <w:jc w:val="both"/>
      </w:pPr>
      <w:r w:rsidRPr="00BD5126">
        <w:t>Vloge prijaviteljev, ki ne izpolnjujejo pogoja iz prejšnjega odstavka te točke, pristojni organ zavrže.</w:t>
      </w:r>
    </w:p>
    <w:p w14:paraId="10CEF031" w14:textId="5E916C39" w:rsidR="00100D36" w:rsidRPr="00BD5126" w:rsidRDefault="00100D36" w:rsidP="00100D36">
      <w:pPr>
        <w:jc w:val="both"/>
      </w:pPr>
      <w:r w:rsidRPr="00BD5126">
        <w:t xml:space="preserve">MONG si pridržuje pravico do spremembe razpoložljivih sredstev v primeru, da se razpoložljiva sredstva spremenijo v postopku rebalansa proračuna MONG za leto </w:t>
      </w:r>
      <w:r w:rsidR="002512FC" w:rsidRPr="00BD5126">
        <w:t>2026</w:t>
      </w:r>
      <w:r w:rsidRPr="00BD5126">
        <w:t xml:space="preserve">. </w:t>
      </w:r>
    </w:p>
    <w:p w14:paraId="6DE15413" w14:textId="47E9C02E" w:rsidR="00100D36" w:rsidRPr="00BD5126" w:rsidRDefault="00100D36" w:rsidP="00214025">
      <w:pPr>
        <w:pStyle w:val="Naslov2"/>
        <w:numPr>
          <w:ilvl w:val="0"/>
          <w:numId w:val="14"/>
        </w:numPr>
        <w:spacing w:line="240" w:lineRule="auto"/>
      </w:pPr>
      <w:r w:rsidRPr="00BD5126">
        <w:t>Razpisni kriteriji</w:t>
      </w:r>
    </w:p>
    <w:p w14:paraId="16736C82" w14:textId="05E820F7" w:rsidR="00100D36" w:rsidRPr="00BD5126" w:rsidRDefault="00100D36" w:rsidP="00214025">
      <w:pPr>
        <w:jc w:val="both"/>
      </w:pPr>
      <w:r w:rsidRPr="00BD5126">
        <w:t>Prijave prijaviteljev na ta javni razpis se bodo ocenjevale po naslednjih kriterijih:</w:t>
      </w:r>
    </w:p>
    <w:p w14:paraId="65166F0C" w14:textId="77777777" w:rsidR="00100D36" w:rsidRPr="00BD5126" w:rsidRDefault="00100D36" w:rsidP="00100D36">
      <w:pPr>
        <w:pStyle w:val="Odstavekseznama"/>
        <w:numPr>
          <w:ilvl w:val="0"/>
          <w:numId w:val="12"/>
        </w:numPr>
        <w:spacing w:after="160" w:line="259" w:lineRule="auto"/>
        <w:ind w:right="0"/>
        <w:jc w:val="both"/>
        <w:rPr>
          <w:b/>
          <w:bCs w:val="0"/>
        </w:rPr>
      </w:pPr>
      <w:r w:rsidRPr="00BD5126">
        <w:rPr>
          <w:b/>
        </w:rPr>
        <w:t>Kriterij 1 – Kakovost projekta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Kriterij 1 - kakovost projekta"/>
        <w:tblDescription w:val="Podatki o vsebini kriterija ter število možnih točk glede na posamezno vsebino."/>
      </w:tblPr>
      <w:tblGrid>
        <w:gridCol w:w="1419"/>
        <w:gridCol w:w="4277"/>
        <w:gridCol w:w="2660"/>
      </w:tblGrid>
      <w:tr w:rsidR="00100D36" w:rsidRPr="00BD5126" w14:paraId="3D80A30E" w14:textId="77777777" w:rsidTr="00E10D65">
        <w:tc>
          <w:tcPr>
            <w:tcW w:w="1419" w:type="dxa"/>
          </w:tcPr>
          <w:p w14:paraId="28AF0590" w14:textId="77777777" w:rsidR="00100D36" w:rsidRPr="00BD5126" w:rsidRDefault="00100D36" w:rsidP="003463AA">
            <w:pPr>
              <w:ind w:left="0" w:right="0"/>
              <w:jc w:val="both"/>
              <w:rPr>
                <w:b/>
                <w:bCs w:val="0"/>
              </w:rPr>
            </w:pPr>
            <w:r w:rsidRPr="00BD5126">
              <w:rPr>
                <w:b/>
              </w:rPr>
              <w:t>Zaporedna št.</w:t>
            </w:r>
          </w:p>
        </w:tc>
        <w:tc>
          <w:tcPr>
            <w:tcW w:w="4277" w:type="dxa"/>
          </w:tcPr>
          <w:p w14:paraId="5D7535DC" w14:textId="77777777" w:rsidR="00100D36" w:rsidRPr="00BD5126" w:rsidRDefault="00100D36" w:rsidP="005A2FEA">
            <w:pPr>
              <w:jc w:val="both"/>
              <w:rPr>
                <w:b/>
                <w:bCs w:val="0"/>
              </w:rPr>
            </w:pPr>
            <w:r w:rsidRPr="00BD5126">
              <w:rPr>
                <w:b/>
              </w:rPr>
              <w:t>Vsebina kriterija 1</w:t>
            </w:r>
          </w:p>
        </w:tc>
        <w:tc>
          <w:tcPr>
            <w:tcW w:w="2660" w:type="dxa"/>
          </w:tcPr>
          <w:p w14:paraId="74A01CE0" w14:textId="34DF48E7" w:rsidR="00100D36" w:rsidRPr="00BD5126" w:rsidRDefault="00100D36" w:rsidP="00E92959">
            <w:pPr>
              <w:ind w:left="0"/>
              <w:jc w:val="both"/>
              <w:rPr>
                <w:b/>
              </w:rPr>
            </w:pPr>
            <w:r w:rsidRPr="00BD5126">
              <w:rPr>
                <w:b/>
              </w:rPr>
              <w:t>Število</w:t>
            </w:r>
            <w:r w:rsidR="00E92959" w:rsidRPr="00BD5126">
              <w:rPr>
                <w:b/>
              </w:rPr>
              <w:t xml:space="preserve"> </w:t>
            </w:r>
            <w:r w:rsidRPr="00BD5126">
              <w:rPr>
                <w:b/>
              </w:rPr>
              <w:t>možnih točk</w:t>
            </w:r>
          </w:p>
        </w:tc>
      </w:tr>
      <w:tr w:rsidR="00100D36" w:rsidRPr="00BD5126" w14:paraId="2B04C6FF" w14:textId="77777777" w:rsidTr="00E10D65">
        <w:trPr>
          <w:cantSplit/>
        </w:trPr>
        <w:tc>
          <w:tcPr>
            <w:tcW w:w="1419" w:type="dxa"/>
          </w:tcPr>
          <w:p w14:paraId="0AFC164C" w14:textId="77777777" w:rsidR="00100D36" w:rsidRPr="00BD5126" w:rsidRDefault="00100D36" w:rsidP="003463AA">
            <w:pPr>
              <w:pStyle w:val="Odstavekseznama"/>
              <w:spacing w:after="0"/>
              <w:ind w:left="0" w:right="0"/>
            </w:pPr>
            <w:r w:rsidRPr="00BD5126">
              <w:t>1.1</w:t>
            </w:r>
          </w:p>
        </w:tc>
        <w:tc>
          <w:tcPr>
            <w:tcW w:w="4277" w:type="dxa"/>
          </w:tcPr>
          <w:p w14:paraId="03F01CA8" w14:textId="77777777" w:rsidR="00100D36" w:rsidRPr="00BD5126" w:rsidRDefault="00100D36" w:rsidP="007A5BF8">
            <w:pPr>
              <w:pStyle w:val="Odstavekseznama"/>
              <w:spacing w:after="0"/>
              <w:ind w:left="0" w:right="0"/>
              <w:jc w:val="both"/>
            </w:pPr>
            <w:r w:rsidRPr="00BD5126">
              <w:t>Vsebinska ocena projekta:</w:t>
            </w:r>
          </w:p>
          <w:p w14:paraId="2D88119B" w14:textId="77777777" w:rsidR="00100D36" w:rsidRPr="00BD5126" w:rsidRDefault="00100D36" w:rsidP="007A5BF8">
            <w:pPr>
              <w:pStyle w:val="Odstavekseznama"/>
              <w:numPr>
                <w:ilvl w:val="0"/>
                <w:numId w:val="11"/>
              </w:numPr>
              <w:spacing w:after="0" w:line="259" w:lineRule="auto"/>
              <w:ind w:right="0"/>
              <w:jc w:val="both"/>
            </w:pPr>
            <w:r w:rsidRPr="00BD5126">
              <w:t>vsebinska zaokroženost projekta, celovitost, aktualnost</w:t>
            </w:r>
          </w:p>
          <w:p w14:paraId="5818201A" w14:textId="77777777" w:rsidR="00100D36" w:rsidRPr="00BD5126" w:rsidRDefault="00100D36" w:rsidP="007A5BF8">
            <w:pPr>
              <w:pStyle w:val="Odstavekseznama"/>
              <w:numPr>
                <w:ilvl w:val="0"/>
                <w:numId w:val="11"/>
              </w:numPr>
              <w:spacing w:after="0" w:line="259" w:lineRule="auto"/>
              <w:ind w:right="0"/>
              <w:jc w:val="both"/>
            </w:pPr>
            <w:r w:rsidRPr="00BD5126">
              <w:t>ustvarjalnost, inovativnost v pristopu in izvedbi</w:t>
            </w:r>
          </w:p>
          <w:p w14:paraId="30947983" w14:textId="77777777" w:rsidR="00100D36" w:rsidRPr="00BD5126" w:rsidRDefault="00100D36" w:rsidP="007A5BF8">
            <w:pPr>
              <w:pStyle w:val="Odstavekseznama"/>
              <w:numPr>
                <w:ilvl w:val="0"/>
                <w:numId w:val="11"/>
              </w:numPr>
              <w:spacing w:after="0" w:line="259" w:lineRule="auto"/>
              <w:ind w:right="0"/>
              <w:jc w:val="both"/>
            </w:pPr>
            <w:r w:rsidRPr="00BD5126">
              <w:t>bogatenje ponudbe na področju kulture v občini</w:t>
            </w:r>
          </w:p>
          <w:p w14:paraId="4B0657ED" w14:textId="77777777" w:rsidR="00100D36" w:rsidRPr="00BD5126" w:rsidRDefault="00100D36" w:rsidP="007A5BF8">
            <w:pPr>
              <w:pStyle w:val="Odstavekseznama"/>
              <w:numPr>
                <w:ilvl w:val="0"/>
                <w:numId w:val="11"/>
              </w:numPr>
              <w:spacing w:after="0" w:line="259" w:lineRule="auto"/>
              <w:ind w:right="0"/>
              <w:jc w:val="both"/>
            </w:pPr>
            <w:r w:rsidRPr="00BD5126">
              <w:t>razvoj projekta v času njegovega trajanja (kvalitativen oz./in kvantitativen razvoj)</w:t>
            </w:r>
          </w:p>
        </w:tc>
        <w:tc>
          <w:tcPr>
            <w:tcW w:w="2660" w:type="dxa"/>
          </w:tcPr>
          <w:p w14:paraId="4D6807EC" w14:textId="77777777" w:rsidR="00100D36" w:rsidRPr="00BD5126" w:rsidRDefault="00100D36" w:rsidP="005A2FEA">
            <w:pPr>
              <w:jc w:val="both"/>
            </w:pPr>
            <w:r w:rsidRPr="00BD5126">
              <w:t>Do 25 točk</w:t>
            </w:r>
          </w:p>
        </w:tc>
      </w:tr>
      <w:tr w:rsidR="00100D36" w:rsidRPr="00BD5126" w14:paraId="1471F07C" w14:textId="77777777" w:rsidTr="00E10D65">
        <w:tc>
          <w:tcPr>
            <w:tcW w:w="1419" w:type="dxa"/>
          </w:tcPr>
          <w:p w14:paraId="7152EB71" w14:textId="77777777" w:rsidR="00100D36" w:rsidRPr="00BD5126" w:rsidRDefault="00100D36" w:rsidP="003463AA">
            <w:pPr>
              <w:pStyle w:val="Odstavekseznama"/>
              <w:spacing w:after="0"/>
              <w:ind w:left="0" w:right="0"/>
            </w:pPr>
            <w:r w:rsidRPr="00BD5126">
              <w:t>1.2</w:t>
            </w:r>
          </w:p>
        </w:tc>
        <w:tc>
          <w:tcPr>
            <w:tcW w:w="4277" w:type="dxa"/>
          </w:tcPr>
          <w:p w14:paraId="151F40D8" w14:textId="77777777" w:rsidR="00100D36" w:rsidRPr="00BD5126" w:rsidRDefault="00100D36" w:rsidP="007A5BF8">
            <w:pPr>
              <w:pStyle w:val="Odstavekseznama"/>
              <w:spacing w:after="0"/>
              <w:ind w:left="0" w:right="0"/>
              <w:jc w:val="both"/>
            </w:pPr>
            <w:r w:rsidRPr="00BD5126">
              <w:t xml:space="preserve">Prepoznavnost projekta in sodelujočih pri projektu v lokalnem, slovenskem in mednarodnem prostoru, mednarodna partnerstva, vključevanje domačih in tujih kvalitetnih (vrhunskih) ustvarjalcev </w:t>
            </w:r>
          </w:p>
        </w:tc>
        <w:tc>
          <w:tcPr>
            <w:tcW w:w="2660" w:type="dxa"/>
          </w:tcPr>
          <w:p w14:paraId="6B075C6F" w14:textId="77777777" w:rsidR="00100D36" w:rsidRPr="00BD5126" w:rsidRDefault="00100D36" w:rsidP="005A2FEA">
            <w:pPr>
              <w:jc w:val="both"/>
            </w:pPr>
            <w:r w:rsidRPr="00BD5126">
              <w:t>Do 10 točk</w:t>
            </w:r>
          </w:p>
        </w:tc>
      </w:tr>
      <w:tr w:rsidR="00100D36" w:rsidRPr="00BD5126" w14:paraId="16578118" w14:textId="77777777" w:rsidTr="00E10D65">
        <w:tc>
          <w:tcPr>
            <w:tcW w:w="1419" w:type="dxa"/>
          </w:tcPr>
          <w:p w14:paraId="722376B9" w14:textId="77777777" w:rsidR="00100D36" w:rsidRPr="00BD5126" w:rsidRDefault="00100D36" w:rsidP="003463AA">
            <w:pPr>
              <w:spacing w:after="0"/>
              <w:ind w:left="0" w:right="0"/>
              <w:jc w:val="both"/>
            </w:pPr>
            <w:r w:rsidRPr="00BD5126">
              <w:t>1.3</w:t>
            </w:r>
          </w:p>
        </w:tc>
        <w:tc>
          <w:tcPr>
            <w:tcW w:w="4277" w:type="dxa"/>
          </w:tcPr>
          <w:p w14:paraId="558E8174" w14:textId="7AD06FF8" w:rsidR="00100D36" w:rsidRPr="00BD5126" w:rsidRDefault="00100D36" w:rsidP="00A55865">
            <w:pPr>
              <w:spacing w:after="0"/>
              <w:ind w:left="0" w:right="0"/>
              <w:jc w:val="both"/>
            </w:pPr>
            <w:r w:rsidRPr="00BD5126">
              <w:t>Povezovanje z uveljavljenimi čezmejnimi</w:t>
            </w:r>
            <w:r w:rsidR="00FE34C9" w:rsidRPr="00BD5126">
              <w:t>/domačimi</w:t>
            </w:r>
            <w:r w:rsidRPr="00BD5126">
              <w:t xml:space="preserve"> partnerji </w:t>
            </w:r>
          </w:p>
        </w:tc>
        <w:tc>
          <w:tcPr>
            <w:tcW w:w="2660" w:type="dxa"/>
          </w:tcPr>
          <w:p w14:paraId="57092EDC" w14:textId="63F50881" w:rsidR="00100D36" w:rsidRPr="00BD5126" w:rsidRDefault="00100D36" w:rsidP="005A2FEA">
            <w:pPr>
              <w:jc w:val="both"/>
            </w:pPr>
            <w:r w:rsidRPr="00BD5126">
              <w:t xml:space="preserve">Do </w:t>
            </w:r>
            <w:r w:rsidR="00606D60" w:rsidRPr="00BD5126">
              <w:t>5</w:t>
            </w:r>
            <w:r w:rsidRPr="00BD5126">
              <w:t xml:space="preserve"> točk</w:t>
            </w:r>
          </w:p>
        </w:tc>
      </w:tr>
      <w:tr w:rsidR="00100D36" w:rsidRPr="00BD5126" w14:paraId="695EBA0E" w14:textId="77777777" w:rsidTr="00E10D65">
        <w:tc>
          <w:tcPr>
            <w:tcW w:w="1419" w:type="dxa"/>
          </w:tcPr>
          <w:p w14:paraId="36004106" w14:textId="77777777" w:rsidR="00100D36" w:rsidRPr="00BD5126" w:rsidRDefault="00100D36" w:rsidP="003463AA">
            <w:pPr>
              <w:spacing w:after="0"/>
              <w:ind w:left="0" w:right="0"/>
              <w:jc w:val="both"/>
            </w:pPr>
            <w:r w:rsidRPr="00BD5126">
              <w:t>1.4</w:t>
            </w:r>
          </w:p>
        </w:tc>
        <w:tc>
          <w:tcPr>
            <w:tcW w:w="4277" w:type="dxa"/>
          </w:tcPr>
          <w:p w14:paraId="42CB4BB6" w14:textId="77777777" w:rsidR="00100D36" w:rsidRPr="00BD5126" w:rsidRDefault="00100D36" w:rsidP="00A55865">
            <w:pPr>
              <w:spacing w:after="0"/>
              <w:ind w:left="0" w:right="0"/>
              <w:jc w:val="both"/>
            </w:pPr>
            <w:r w:rsidRPr="00BD5126">
              <w:t xml:space="preserve">Kakovost predstavitve projekta in njegova dostopnost javnosti: tehtnost predstavitve, promocijski načrt, pričakovani učinki in odmevnost </w:t>
            </w:r>
            <w:r w:rsidRPr="00BD5126">
              <w:lastRenderedPageBreak/>
              <w:t>projekta, načrtovani doseg ciljnih skupin, mednarodna promocija, dostopnost projekta</w:t>
            </w:r>
          </w:p>
        </w:tc>
        <w:tc>
          <w:tcPr>
            <w:tcW w:w="2660" w:type="dxa"/>
          </w:tcPr>
          <w:p w14:paraId="0C24585E" w14:textId="77777777" w:rsidR="00100D36" w:rsidRPr="00BD5126" w:rsidRDefault="00100D36" w:rsidP="005A2FEA">
            <w:pPr>
              <w:jc w:val="both"/>
            </w:pPr>
            <w:r w:rsidRPr="00BD5126">
              <w:lastRenderedPageBreak/>
              <w:t>Do 15 točk</w:t>
            </w:r>
          </w:p>
        </w:tc>
      </w:tr>
      <w:tr w:rsidR="00100D36" w:rsidRPr="00BD5126" w14:paraId="2D22CA0E" w14:textId="77777777" w:rsidTr="00E10D65">
        <w:tc>
          <w:tcPr>
            <w:tcW w:w="1419" w:type="dxa"/>
          </w:tcPr>
          <w:p w14:paraId="721495DB" w14:textId="77777777" w:rsidR="00100D36" w:rsidRPr="00BD5126" w:rsidRDefault="00100D36" w:rsidP="003463AA">
            <w:pPr>
              <w:spacing w:after="0"/>
              <w:ind w:left="0" w:right="0"/>
              <w:jc w:val="both"/>
            </w:pPr>
            <w:r w:rsidRPr="00BD5126">
              <w:t>1.5.</w:t>
            </w:r>
          </w:p>
        </w:tc>
        <w:tc>
          <w:tcPr>
            <w:tcW w:w="4277" w:type="dxa"/>
          </w:tcPr>
          <w:p w14:paraId="1AC5EC8B" w14:textId="77777777" w:rsidR="00100D36" w:rsidRPr="00BD5126" w:rsidRDefault="00100D36" w:rsidP="00A55865">
            <w:pPr>
              <w:spacing w:after="0"/>
              <w:ind w:left="0" w:right="0"/>
              <w:jc w:val="both"/>
            </w:pPr>
            <w:r w:rsidRPr="00BD5126">
              <w:t>Organizacijska in tehnična zahtevnost, dlje časa trajajoči projekt</w:t>
            </w:r>
          </w:p>
        </w:tc>
        <w:tc>
          <w:tcPr>
            <w:tcW w:w="2660" w:type="dxa"/>
          </w:tcPr>
          <w:p w14:paraId="36105F3F" w14:textId="77777777" w:rsidR="00100D36" w:rsidRPr="00BD5126" w:rsidRDefault="00100D36" w:rsidP="005A2FEA">
            <w:pPr>
              <w:jc w:val="both"/>
            </w:pPr>
            <w:r w:rsidRPr="00BD5126">
              <w:t>Do 15 točk</w:t>
            </w:r>
          </w:p>
        </w:tc>
      </w:tr>
      <w:tr w:rsidR="00100D36" w:rsidRPr="00BD5126" w14:paraId="39FAE08B" w14:textId="77777777" w:rsidTr="00E10D65">
        <w:tc>
          <w:tcPr>
            <w:tcW w:w="1419" w:type="dxa"/>
          </w:tcPr>
          <w:p w14:paraId="2AAE5095" w14:textId="77777777" w:rsidR="00100D36" w:rsidRPr="00BD5126" w:rsidRDefault="00100D36" w:rsidP="00A55865">
            <w:pPr>
              <w:ind w:left="0"/>
              <w:rPr>
                <w:b/>
                <w:bCs w:val="0"/>
              </w:rPr>
            </w:pPr>
            <w:r w:rsidRPr="00BD5126">
              <w:rPr>
                <w:b/>
              </w:rPr>
              <w:t>Skupaj</w:t>
            </w:r>
          </w:p>
        </w:tc>
        <w:tc>
          <w:tcPr>
            <w:tcW w:w="4277" w:type="dxa"/>
          </w:tcPr>
          <w:p w14:paraId="7C562144" w14:textId="77777777" w:rsidR="00100D36" w:rsidRPr="00BD5126" w:rsidRDefault="00100D36" w:rsidP="00A55865">
            <w:pPr>
              <w:ind w:left="0" w:right="0"/>
              <w:jc w:val="both"/>
              <w:rPr>
                <w:b/>
                <w:bCs w:val="0"/>
              </w:rPr>
            </w:pPr>
            <w:r w:rsidRPr="00BD5126">
              <w:rPr>
                <w:b/>
              </w:rPr>
              <w:t>/</w:t>
            </w:r>
          </w:p>
        </w:tc>
        <w:tc>
          <w:tcPr>
            <w:tcW w:w="2660" w:type="dxa"/>
          </w:tcPr>
          <w:p w14:paraId="0F47364D" w14:textId="09AC8EB8" w:rsidR="00100D36" w:rsidRPr="00BD5126" w:rsidRDefault="00100D36" w:rsidP="005A2FEA">
            <w:pPr>
              <w:jc w:val="both"/>
              <w:rPr>
                <w:b/>
                <w:bCs w:val="0"/>
              </w:rPr>
            </w:pPr>
            <w:r w:rsidRPr="00BD5126">
              <w:rPr>
                <w:b/>
              </w:rPr>
              <w:t>Do 7</w:t>
            </w:r>
            <w:r w:rsidR="00CF13A2" w:rsidRPr="00BD5126">
              <w:rPr>
                <w:b/>
              </w:rPr>
              <w:t>0</w:t>
            </w:r>
            <w:r w:rsidRPr="00BD5126">
              <w:rPr>
                <w:b/>
              </w:rPr>
              <w:t xml:space="preserve"> točk</w:t>
            </w:r>
          </w:p>
        </w:tc>
      </w:tr>
    </w:tbl>
    <w:p w14:paraId="688513A7" w14:textId="77777777" w:rsidR="00100D36" w:rsidRPr="00BD5126" w:rsidRDefault="00100D36" w:rsidP="00100D36">
      <w:pPr>
        <w:pStyle w:val="Odstavekseznama"/>
        <w:ind w:left="360"/>
        <w:jc w:val="both"/>
      </w:pPr>
    </w:p>
    <w:p w14:paraId="544FE1BB" w14:textId="77777777" w:rsidR="00100D36" w:rsidRPr="00BD5126" w:rsidRDefault="00100D36" w:rsidP="00100D36">
      <w:pPr>
        <w:pStyle w:val="Odstavekseznama"/>
        <w:numPr>
          <w:ilvl w:val="0"/>
          <w:numId w:val="12"/>
        </w:numPr>
        <w:spacing w:after="160" w:line="259" w:lineRule="auto"/>
        <w:ind w:right="0"/>
        <w:jc w:val="both"/>
        <w:rPr>
          <w:b/>
          <w:bCs w:val="0"/>
        </w:rPr>
      </w:pPr>
      <w:r w:rsidRPr="00BD5126">
        <w:rPr>
          <w:b/>
        </w:rPr>
        <w:t>Kriterij 2 – Reference prijavitelja:</w:t>
      </w:r>
    </w:p>
    <w:p w14:paraId="1793AAA3" w14:textId="2C7231C3" w:rsidR="00100D36" w:rsidRPr="00BD5126" w:rsidRDefault="00555B55" w:rsidP="00100D36">
      <w:pPr>
        <w:pStyle w:val="Odstavekseznama"/>
        <w:numPr>
          <w:ilvl w:val="1"/>
          <w:numId w:val="12"/>
        </w:numPr>
        <w:spacing w:after="160" w:line="259" w:lineRule="auto"/>
        <w:ind w:right="0"/>
        <w:jc w:val="both"/>
        <w:rPr>
          <w:b/>
          <w:bCs w:val="0"/>
        </w:rPr>
      </w:pPr>
      <w:r w:rsidRPr="00BD5126">
        <w:rPr>
          <w:b/>
        </w:rPr>
        <w:t xml:space="preserve"> </w:t>
      </w:r>
      <w:r w:rsidR="00100D36" w:rsidRPr="00BD5126">
        <w:rPr>
          <w:b/>
        </w:rPr>
        <w:t>Za nevladne organizacije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Kriterij 2 - reference prijavitelja, nevladne organizacije"/>
        <w:tblDescription w:val="Podatki o vsebini kriterija ter število možnih točk glede na posamezno vsebino."/>
      </w:tblPr>
      <w:tblGrid>
        <w:gridCol w:w="2126"/>
        <w:gridCol w:w="3828"/>
        <w:gridCol w:w="2402"/>
      </w:tblGrid>
      <w:tr w:rsidR="00100D36" w:rsidRPr="00BD5126" w14:paraId="19E6999D" w14:textId="77777777" w:rsidTr="00555B55">
        <w:tc>
          <w:tcPr>
            <w:tcW w:w="2126" w:type="dxa"/>
          </w:tcPr>
          <w:p w14:paraId="1705F1AE" w14:textId="77777777" w:rsidR="00100D36" w:rsidRPr="00BD5126" w:rsidRDefault="00100D36" w:rsidP="00C50CE7">
            <w:pPr>
              <w:ind w:left="0"/>
              <w:jc w:val="both"/>
              <w:rPr>
                <w:b/>
                <w:bCs w:val="0"/>
              </w:rPr>
            </w:pPr>
            <w:r w:rsidRPr="00BD5126">
              <w:rPr>
                <w:b/>
              </w:rPr>
              <w:t>Zaporedna št.</w:t>
            </w:r>
          </w:p>
        </w:tc>
        <w:tc>
          <w:tcPr>
            <w:tcW w:w="3828" w:type="dxa"/>
          </w:tcPr>
          <w:p w14:paraId="5A15581B" w14:textId="77777777" w:rsidR="00100D36" w:rsidRPr="00BD5126" w:rsidRDefault="00100D36" w:rsidP="005A2FEA">
            <w:pPr>
              <w:jc w:val="both"/>
              <w:rPr>
                <w:b/>
                <w:bCs w:val="0"/>
              </w:rPr>
            </w:pPr>
            <w:r w:rsidRPr="00BD5126">
              <w:rPr>
                <w:b/>
              </w:rPr>
              <w:t>Vsebina</w:t>
            </w:r>
          </w:p>
        </w:tc>
        <w:tc>
          <w:tcPr>
            <w:tcW w:w="2402" w:type="dxa"/>
          </w:tcPr>
          <w:p w14:paraId="7FE1F0FA" w14:textId="33E416BC" w:rsidR="00100D36" w:rsidRPr="00BD5126" w:rsidRDefault="00100D36" w:rsidP="00E92959">
            <w:pPr>
              <w:ind w:left="0"/>
              <w:jc w:val="both"/>
              <w:rPr>
                <w:b/>
                <w:bCs w:val="0"/>
              </w:rPr>
            </w:pPr>
            <w:r w:rsidRPr="00BD5126">
              <w:rPr>
                <w:b/>
              </w:rPr>
              <w:t>Število možnih točk</w:t>
            </w:r>
          </w:p>
        </w:tc>
      </w:tr>
      <w:tr w:rsidR="00100D36" w:rsidRPr="00BD5126" w14:paraId="641F7D8B" w14:textId="77777777" w:rsidTr="00555B55">
        <w:tc>
          <w:tcPr>
            <w:tcW w:w="2126" w:type="dxa"/>
          </w:tcPr>
          <w:p w14:paraId="3E9FDA00" w14:textId="77777777" w:rsidR="00100D36" w:rsidRPr="00BD5126" w:rsidRDefault="00100D36" w:rsidP="00C50CE7">
            <w:pPr>
              <w:spacing w:after="0"/>
              <w:ind w:left="0"/>
              <w:jc w:val="both"/>
            </w:pPr>
            <w:r w:rsidRPr="00BD5126">
              <w:t>2aa</w:t>
            </w:r>
          </w:p>
        </w:tc>
        <w:tc>
          <w:tcPr>
            <w:tcW w:w="3828" w:type="dxa"/>
          </w:tcPr>
          <w:p w14:paraId="157B1429" w14:textId="77777777" w:rsidR="00100D36" w:rsidRPr="00BD5126" w:rsidRDefault="00100D36" w:rsidP="00C50CE7">
            <w:pPr>
              <w:spacing w:after="0"/>
              <w:ind w:left="0" w:right="0"/>
              <w:jc w:val="both"/>
            </w:pPr>
            <w:r w:rsidRPr="00BD5126">
              <w:t>Izvajalec ima status nevladne organizacije v javnem interesu na področju kulture in /ali je prejel Nagrado Franceta Bevka oz. Bevkovo listino oz. Referenčno nagrado na državnem nivoju (Prešernova nagrada, Borštnikov prstan, ipd.)</w:t>
            </w:r>
          </w:p>
        </w:tc>
        <w:tc>
          <w:tcPr>
            <w:tcW w:w="2402" w:type="dxa"/>
          </w:tcPr>
          <w:p w14:paraId="2DC11A6C" w14:textId="77777777" w:rsidR="00100D36" w:rsidRPr="00BD5126" w:rsidRDefault="00100D36" w:rsidP="005A2FEA">
            <w:pPr>
              <w:spacing w:after="0"/>
              <w:jc w:val="both"/>
            </w:pPr>
            <w:r w:rsidRPr="00BD5126">
              <w:t>5 točk</w:t>
            </w:r>
          </w:p>
        </w:tc>
      </w:tr>
      <w:tr w:rsidR="00100D36" w:rsidRPr="00BD5126" w14:paraId="17283164" w14:textId="77777777" w:rsidTr="00555B55">
        <w:tc>
          <w:tcPr>
            <w:tcW w:w="2126" w:type="dxa"/>
          </w:tcPr>
          <w:p w14:paraId="2720354F" w14:textId="77777777" w:rsidR="00100D36" w:rsidRPr="00BD5126" w:rsidRDefault="00100D36" w:rsidP="00C50CE7">
            <w:pPr>
              <w:spacing w:after="0"/>
              <w:ind w:left="0"/>
              <w:jc w:val="both"/>
            </w:pPr>
            <w:r w:rsidRPr="00BD5126">
              <w:t>2ab</w:t>
            </w:r>
          </w:p>
        </w:tc>
        <w:tc>
          <w:tcPr>
            <w:tcW w:w="3828" w:type="dxa"/>
          </w:tcPr>
          <w:p w14:paraId="19A9DC30" w14:textId="77777777" w:rsidR="00100D36" w:rsidRPr="00BD5126" w:rsidRDefault="00100D36" w:rsidP="00C50CE7">
            <w:pPr>
              <w:spacing w:after="0"/>
              <w:ind w:left="0" w:right="0"/>
              <w:jc w:val="both"/>
            </w:pPr>
            <w:r w:rsidRPr="00BD5126">
              <w:t>Druge reference: z dokazili izkazuje reference o izvedbi pomembnih projektov, odmevnost dela in ustvarjanja v širšem (državnem, čezmejnem) okolju, nagrade, priznanja, itd. za obdobje zadnjih treh let</w:t>
            </w:r>
          </w:p>
        </w:tc>
        <w:tc>
          <w:tcPr>
            <w:tcW w:w="2402" w:type="dxa"/>
          </w:tcPr>
          <w:p w14:paraId="2470D1AA" w14:textId="77777777" w:rsidR="00100D36" w:rsidRPr="00BD5126" w:rsidRDefault="00100D36" w:rsidP="005A2FEA">
            <w:pPr>
              <w:spacing w:after="0"/>
              <w:jc w:val="both"/>
            </w:pPr>
            <w:r w:rsidRPr="00BD5126">
              <w:t>Do 10 točk</w:t>
            </w:r>
          </w:p>
        </w:tc>
      </w:tr>
      <w:tr w:rsidR="00100D36" w:rsidRPr="00BD5126" w14:paraId="30499285" w14:textId="77777777" w:rsidTr="00555B55">
        <w:tc>
          <w:tcPr>
            <w:tcW w:w="2126" w:type="dxa"/>
          </w:tcPr>
          <w:p w14:paraId="7BFB7981" w14:textId="77777777" w:rsidR="00100D36" w:rsidRPr="00BD5126" w:rsidRDefault="00100D36" w:rsidP="00C50CE7">
            <w:pPr>
              <w:ind w:left="0"/>
              <w:jc w:val="both"/>
              <w:rPr>
                <w:b/>
                <w:bCs w:val="0"/>
              </w:rPr>
            </w:pPr>
            <w:r w:rsidRPr="00BD5126">
              <w:rPr>
                <w:b/>
              </w:rPr>
              <w:t>Skupaj</w:t>
            </w:r>
          </w:p>
        </w:tc>
        <w:tc>
          <w:tcPr>
            <w:tcW w:w="3828" w:type="dxa"/>
          </w:tcPr>
          <w:p w14:paraId="79714232" w14:textId="77777777" w:rsidR="00100D36" w:rsidRPr="00BD5126" w:rsidRDefault="00100D36" w:rsidP="005A2FEA">
            <w:pPr>
              <w:jc w:val="both"/>
              <w:rPr>
                <w:b/>
                <w:bCs w:val="0"/>
              </w:rPr>
            </w:pPr>
            <w:r w:rsidRPr="00BD5126">
              <w:rPr>
                <w:b/>
              </w:rPr>
              <w:t>/</w:t>
            </w:r>
          </w:p>
        </w:tc>
        <w:tc>
          <w:tcPr>
            <w:tcW w:w="2402" w:type="dxa"/>
          </w:tcPr>
          <w:p w14:paraId="09056D95" w14:textId="77777777" w:rsidR="00100D36" w:rsidRPr="00BD5126" w:rsidRDefault="00100D36" w:rsidP="005A2FEA">
            <w:pPr>
              <w:jc w:val="both"/>
              <w:rPr>
                <w:b/>
                <w:bCs w:val="0"/>
              </w:rPr>
            </w:pPr>
            <w:r w:rsidRPr="00BD5126">
              <w:rPr>
                <w:b/>
              </w:rPr>
              <w:t>Do 15 točk</w:t>
            </w:r>
          </w:p>
        </w:tc>
      </w:tr>
    </w:tbl>
    <w:p w14:paraId="6DDAC72C" w14:textId="77777777" w:rsidR="00C50CE7" w:rsidRPr="00BD5126" w:rsidRDefault="00C50CE7" w:rsidP="00E92959">
      <w:pPr>
        <w:pStyle w:val="Odstavekseznama"/>
        <w:spacing w:after="160" w:line="259" w:lineRule="auto"/>
        <w:ind w:left="1428" w:right="0"/>
        <w:jc w:val="both"/>
        <w:rPr>
          <w:b/>
          <w:bCs w:val="0"/>
        </w:rPr>
      </w:pPr>
    </w:p>
    <w:p w14:paraId="7A255220" w14:textId="690D6D71" w:rsidR="00100D36" w:rsidRPr="00BD5126" w:rsidRDefault="003E6489" w:rsidP="00100D36">
      <w:pPr>
        <w:pStyle w:val="Odstavekseznama"/>
        <w:numPr>
          <w:ilvl w:val="1"/>
          <w:numId w:val="12"/>
        </w:numPr>
        <w:spacing w:after="160" w:line="259" w:lineRule="auto"/>
        <w:ind w:right="0"/>
        <w:jc w:val="both"/>
        <w:rPr>
          <w:b/>
          <w:bCs w:val="0"/>
        </w:rPr>
      </w:pPr>
      <w:r w:rsidRPr="00BD5126">
        <w:rPr>
          <w:b/>
        </w:rPr>
        <w:t xml:space="preserve"> </w:t>
      </w:r>
      <w:r w:rsidR="00100D36" w:rsidRPr="00BD5126">
        <w:rPr>
          <w:b/>
        </w:rPr>
        <w:t>Za samo</w:t>
      </w:r>
      <w:r w:rsidR="00893C06" w:rsidRPr="00BD5126">
        <w:rPr>
          <w:b/>
        </w:rPr>
        <w:t xml:space="preserve">stojne delavce </w:t>
      </w:r>
      <w:r w:rsidR="00100D36" w:rsidRPr="00BD5126">
        <w:rPr>
          <w:b/>
        </w:rPr>
        <w:t>na področju kulture</w:t>
      </w:r>
    </w:p>
    <w:p w14:paraId="69E37CD8" w14:textId="77777777" w:rsidR="00E92959" w:rsidRPr="00BD5126" w:rsidRDefault="00E92959" w:rsidP="00E92959">
      <w:pPr>
        <w:pStyle w:val="Odstavekseznama"/>
        <w:spacing w:after="160" w:line="259" w:lineRule="auto"/>
        <w:ind w:left="1428" w:right="0"/>
        <w:jc w:val="both"/>
        <w:rPr>
          <w:b/>
          <w:bCs w:val="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Kriterij 2 - reference prijavitelja, samozaposleni na področju kulture"/>
        <w:tblDescription w:val="Podatki o vsebini kriterija ter število možnih točk glede na posamezno vsebino."/>
      </w:tblPr>
      <w:tblGrid>
        <w:gridCol w:w="1419"/>
        <w:gridCol w:w="4188"/>
        <w:gridCol w:w="2749"/>
      </w:tblGrid>
      <w:tr w:rsidR="00100D36" w:rsidRPr="00BD5126" w14:paraId="46CB8A58" w14:textId="77777777" w:rsidTr="00555B55">
        <w:tc>
          <w:tcPr>
            <w:tcW w:w="1419" w:type="dxa"/>
          </w:tcPr>
          <w:p w14:paraId="04CC9083" w14:textId="77777777" w:rsidR="00100D36" w:rsidRPr="00BD5126" w:rsidRDefault="00100D36" w:rsidP="00C50CE7">
            <w:pPr>
              <w:spacing w:after="0"/>
              <w:ind w:left="0"/>
              <w:jc w:val="both"/>
              <w:rPr>
                <w:b/>
                <w:bCs w:val="0"/>
              </w:rPr>
            </w:pPr>
            <w:r w:rsidRPr="00BD5126">
              <w:rPr>
                <w:b/>
              </w:rPr>
              <w:t>Zaporedna št.</w:t>
            </w:r>
          </w:p>
        </w:tc>
        <w:tc>
          <w:tcPr>
            <w:tcW w:w="4188" w:type="dxa"/>
          </w:tcPr>
          <w:p w14:paraId="36D0A0DF" w14:textId="77777777" w:rsidR="00100D36" w:rsidRPr="00BD5126" w:rsidRDefault="00100D36" w:rsidP="005A2FEA">
            <w:pPr>
              <w:spacing w:after="0"/>
              <w:jc w:val="both"/>
              <w:rPr>
                <w:b/>
                <w:bCs w:val="0"/>
              </w:rPr>
            </w:pPr>
            <w:r w:rsidRPr="00BD5126">
              <w:rPr>
                <w:b/>
              </w:rPr>
              <w:t>Vsebina</w:t>
            </w:r>
          </w:p>
        </w:tc>
        <w:tc>
          <w:tcPr>
            <w:tcW w:w="2749" w:type="dxa"/>
          </w:tcPr>
          <w:p w14:paraId="7CB85616" w14:textId="77777777" w:rsidR="00100D36" w:rsidRPr="00BD5126" w:rsidRDefault="00100D36" w:rsidP="00E92959">
            <w:pPr>
              <w:spacing w:after="0"/>
              <w:ind w:left="0"/>
              <w:jc w:val="both"/>
              <w:rPr>
                <w:b/>
                <w:bCs w:val="0"/>
              </w:rPr>
            </w:pPr>
            <w:r w:rsidRPr="00BD5126">
              <w:rPr>
                <w:b/>
              </w:rPr>
              <w:t>Število možnih točk</w:t>
            </w:r>
          </w:p>
        </w:tc>
      </w:tr>
      <w:tr w:rsidR="00100D36" w:rsidRPr="00BD5126" w14:paraId="70E83E75" w14:textId="77777777" w:rsidTr="00555B55">
        <w:tc>
          <w:tcPr>
            <w:tcW w:w="1419" w:type="dxa"/>
          </w:tcPr>
          <w:p w14:paraId="098731A8" w14:textId="77777777" w:rsidR="00100D36" w:rsidRPr="00BD5126" w:rsidRDefault="00100D36" w:rsidP="00C50CE7">
            <w:pPr>
              <w:spacing w:after="0"/>
              <w:ind w:left="0"/>
              <w:jc w:val="both"/>
            </w:pPr>
            <w:r w:rsidRPr="00BD5126">
              <w:t>2ba</w:t>
            </w:r>
          </w:p>
        </w:tc>
        <w:tc>
          <w:tcPr>
            <w:tcW w:w="4188" w:type="dxa"/>
          </w:tcPr>
          <w:p w14:paraId="2288ABC9" w14:textId="77777777" w:rsidR="00100D36" w:rsidRPr="00BD5126" w:rsidRDefault="00100D36" w:rsidP="00C50CE7">
            <w:pPr>
              <w:spacing w:after="0"/>
              <w:ind w:left="0" w:right="0"/>
              <w:jc w:val="both"/>
            </w:pPr>
            <w:r w:rsidRPr="00BD5126">
              <w:t>2ba Izvajalec je prejel Nagrado Franceta Bevka oz. Bevkovo listino oz. referenčno nagrado na državnem nivoju (Prešernova nagrada, Borštnikov prstan, ipd.)</w:t>
            </w:r>
          </w:p>
        </w:tc>
        <w:tc>
          <w:tcPr>
            <w:tcW w:w="2749" w:type="dxa"/>
          </w:tcPr>
          <w:p w14:paraId="703308DF" w14:textId="77777777" w:rsidR="00100D36" w:rsidRPr="00BD5126" w:rsidRDefault="00100D36" w:rsidP="005A2FEA">
            <w:pPr>
              <w:spacing w:after="0"/>
              <w:jc w:val="both"/>
            </w:pPr>
            <w:r w:rsidRPr="00BD5126">
              <w:t>5 točk</w:t>
            </w:r>
          </w:p>
        </w:tc>
      </w:tr>
      <w:tr w:rsidR="00100D36" w:rsidRPr="00BD5126" w14:paraId="3AB160AF" w14:textId="77777777" w:rsidTr="00555B55">
        <w:tc>
          <w:tcPr>
            <w:tcW w:w="1419" w:type="dxa"/>
          </w:tcPr>
          <w:p w14:paraId="18B0FAA1" w14:textId="77777777" w:rsidR="00100D36" w:rsidRPr="00BD5126" w:rsidRDefault="00100D36" w:rsidP="00C50CE7">
            <w:pPr>
              <w:spacing w:after="0"/>
              <w:ind w:left="0"/>
              <w:jc w:val="both"/>
            </w:pPr>
            <w:r w:rsidRPr="00BD5126">
              <w:t>2bb</w:t>
            </w:r>
          </w:p>
        </w:tc>
        <w:tc>
          <w:tcPr>
            <w:tcW w:w="4188" w:type="dxa"/>
          </w:tcPr>
          <w:p w14:paraId="588BAA29" w14:textId="77777777" w:rsidR="00100D36" w:rsidRPr="00BD5126" w:rsidRDefault="00100D36" w:rsidP="00C50CE7">
            <w:pPr>
              <w:spacing w:after="0"/>
              <w:ind w:left="0" w:right="0"/>
              <w:jc w:val="both"/>
            </w:pPr>
            <w:r w:rsidRPr="00BD5126">
              <w:t>2bb Druge reference: z dokazili izkazuje o izvedbi pomembnih projektov, odmevnost dela in ustvarjanja v širšem (državnem, čezmejnem) okolju, nagrade, priznanja, itd. za obdobje zadnjih treh let</w:t>
            </w:r>
          </w:p>
        </w:tc>
        <w:tc>
          <w:tcPr>
            <w:tcW w:w="2749" w:type="dxa"/>
          </w:tcPr>
          <w:p w14:paraId="010BBF2A" w14:textId="77777777" w:rsidR="00100D36" w:rsidRPr="00BD5126" w:rsidRDefault="00100D36" w:rsidP="005A2FEA">
            <w:pPr>
              <w:spacing w:after="0"/>
              <w:jc w:val="both"/>
            </w:pPr>
            <w:r w:rsidRPr="00BD5126">
              <w:t>Do 10 točk</w:t>
            </w:r>
          </w:p>
        </w:tc>
      </w:tr>
      <w:tr w:rsidR="00100D36" w:rsidRPr="00BD5126" w14:paraId="2A413F5D" w14:textId="77777777" w:rsidTr="00555B55">
        <w:tc>
          <w:tcPr>
            <w:tcW w:w="1419" w:type="dxa"/>
          </w:tcPr>
          <w:p w14:paraId="41D6FCC8" w14:textId="77777777" w:rsidR="00100D36" w:rsidRPr="00BD5126" w:rsidRDefault="00100D36" w:rsidP="00C50CE7">
            <w:pPr>
              <w:ind w:left="0"/>
              <w:jc w:val="both"/>
              <w:rPr>
                <w:b/>
                <w:bCs w:val="0"/>
              </w:rPr>
            </w:pPr>
            <w:r w:rsidRPr="00BD5126">
              <w:rPr>
                <w:b/>
              </w:rPr>
              <w:lastRenderedPageBreak/>
              <w:t>Skupaj</w:t>
            </w:r>
          </w:p>
        </w:tc>
        <w:tc>
          <w:tcPr>
            <w:tcW w:w="4188" w:type="dxa"/>
          </w:tcPr>
          <w:p w14:paraId="6FAC567A" w14:textId="77777777" w:rsidR="00100D36" w:rsidRPr="00BD5126" w:rsidRDefault="00100D36" w:rsidP="00E92959">
            <w:pPr>
              <w:ind w:left="0"/>
              <w:jc w:val="both"/>
              <w:rPr>
                <w:b/>
                <w:bCs w:val="0"/>
              </w:rPr>
            </w:pPr>
            <w:r w:rsidRPr="00BD5126">
              <w:rPr>
                <w:b/>
              </w:rPr>
              <w:t>/</w:t>
            </w:r>
          </w:p>
        </w:tc>
        <w:tc>
          <w:tcPr>
            <w:tcW w:w="2749" w:type="dxa"/>
          </w:tcPr>
          <w:p w14:paraId="417E6DA6" w14:textId="77777777" w:rsidR="00100D36" w:rsidRPr="00BD5126" w:rsidRDefault="00100D36" w:rsidP="005A2FEA">
            <w:pPr>
              <w:jc w:val="both"/>
              <w:rPr>
                <w:b/>
                <w:bCs w:val="0"/>
              </w:rPr>
            </w:pPr>
            <w:r w:rsidRPr="00BD5126">
              <w:rPr>
                <w:b/>
              </w:rPr>
              <w:t>Do 15 točk</w:t>
            </w:r>
          </w:p>
        </w:tc>
      </w:tr>
    </w:tbl>
    <w:p w14:paraId="1B6C182B" w14:textId="77777777" w:rsidR="002512FC" w:rsidRPr="00BD5126" w:rsidRDefault="002512FC" w:rsidP="002512FC">
      <w:pPr>
        <w:pStyle w:val="Odstavekseznama"/>
        <w:spacing w:after="160" w:line="259" w:lineRule="auto"/>
        <w:ind w:left="1068" w:right="0"/>
        <w:jc w:val="both"/>
        <w:rPr>
          <w:b/>
        </w:rPr>
      </w:pPr>
    </w:p>
    <w:p w14:paraId="2428A642" w14:textId="3F32D041" w:rsidR="00100D36" w:rsidRPr="00BD5126" w:rsidRDefault="00100D36" w:rsidP="002512FC">
      <w:pPr>
        <w:pStyle w:val="Odstavekseznama"/>
        <w:numPr>
          <w:ilvl w:val="0"/>
          <w:numId w:val="12"/>
        </w:numPr>
        <w:spacing w:after="160" w:line="259" w:lineRule="auto"/>
        <w:ind w:right="0"/>
        <w:jc w:val="both"/>
        <w:rPr>
          <w:b/>
        </w:rPr>
      </w:pPr>
      <w:r w:rsidRPr="00BD5126">
        <w:rPr>
          <w:b/>
        </w:rPr>
        <w:t>Kriterij 3 – Finančna ustreznost projekta</w:t>
      </w:r>
    </w:p>
    <w:p w14:paraId="42A7ECC3" w14:textId="77777777" w:rsidR="002512FC" w:rsidRPr="00BD5126" w:rsidRDefault="002512FC" w:rsidP="002512FC">
      <w:pPr>
        <w:pStyle w:val="Odstavekseznama"/>
        <w:spacing w:after="160" w:line="259" w:lineRule="auto"/>
        <w:ind w:left="1068" w:right="0"/>
        <w:jc w:val="both"/>
        <w:rPr>
          <w: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Caption w:val="Kriterij 3 - finančna ustreznost projekta"/>
        <w:tblDescription w:val="Podatki o vsebini kriterija ter število možnih točk glede na posamezno vsebino."/>
      </w:tblPr>
      <w:tblGrid>
        <w:gridCol w:w="3814"/>
        <w:gridCol w:w="4472"/>
      </w:tblGrid>
      <w:tr w:rsidR="00100D36" w:rsidRPr="00BD5126" w14:paraId="015EF97F" w14:textId="77777777" w:rsidTr="00555B55">
        <w:tc>
          <w:tcPr>
            <w:tcW w:w="3814" w:type="dxa"/>
          </w:tcPr>
          <w:p w14:paraId="467EF2CA" w14:textId="77777777" w:rsidR="00100D36" w:rsidRPr="00BD5126" w:rsidRDefault="00100D36" w:rsidP="005E5921">
            <w:pPr>
              <w:ind w:left="0"/>
              <w:jc w:val="both"/>
              <w:rPr>
                <w:b/>
                <w:bCs w:val="0"/>
              </w:rPr>
            </w:pPr>
            <w:r w:rsidRPr="00BD5126">
              <w:rPr>
                <w:b/>
              </w:rPr>
              <w:t>Vsebina kriterija 3</w:t>
            </w:r>
          </w:p>
        </w:tc>
        <w:tc>
          <w:tcPr>
            <w:tcW w:w="4472" w:type="dxa"/>
          </w:tcPr>
          <w:p w14:paraId="0F350DCC" w14:textId="77777777" w:rsidR="00100D36" w:rsidRPr="00BD5126" w:rsidRDefault="00100D36" w:rsidP="005E5921">
            <w:pPr>
              <w:ind w:left="0"/>
              <w:jc w:val="both"/>
              <w:rPr>
                <w:b/>
                <w:bCs w:val="0"/>
              </w:rPr>
            </w:pPr>
            <w:r w:rsidRPr="00BD5126">
              <w:rPr>
                <w:b/>
              </w:rPr>
              <w:t>Število možnih točk</w:t>
            </w:r>
          </w:p>
        </w:tc>
      </w:tr>
      <w:tr w:rsidR="00100D36" w:rsidRPr="00BD5126" w14:paraId="114A223F" w14:textId="77777777" w:rsidTr="00555B55">
        <w:tc>
          <w:tcPr>
            <w:tcW w:w="3814" w:type="dxa"/>
          </w:tcPr>
          <w:p w14:paraId="33961AF6" w14:textId="77777777" w:rsidR="00100D36" w:rsidRPr="00BD5126" w:rsidRDefault="00100D36" w:rsidP="005E5921">
            <w:pPr>
              <w:spacing w:after="0"/>
              <w:ind w:left="0" w:right="0"/>
              <w:jc w:val="both"/>
            </w:pPr>
            <w:r w:rsidRPr="00BD5126">
              <w:t>Finančna konstrukcija projekta je podana pregledno, realno in ekonomično</w:t>
            </w:r>
          </w:p>
        </w:tc>
        <w:tc>
          <w:tcPr>
            <w:tcW w:w="4472" w:type="dxa"/>
          </w:tcPr>
          <w:p w14:paraId="20950E16" w14:textId="16DA8674" w:rsidR="00100D36" w:rsidRPr="00BD5126" w:rsidRDefault="00100D36" w:rsidP="005A2FEA">
            <w:pPr>
              <w:jc w:val="both"/>
            </w:pPr>
            <w:r w:rsidRPr="00BD5126">
              <w:t xml:space="preserve">Do </w:t>
            </w:r>
            <w:r w:rsidR="00606D60" w:rsidRPr="00BD5126">
              <w:t>10</w:t>
            </w:r>
            <w:r w:rsidRPr="00BD5126">
              <w:t xml:space="preserve"> točk</w:t>
            </w:r>
          </w:p>
        </w:tc>
      </w:tr>
      <w:tr w:rsidR="00100D36" w:rsidRPr="00BD5126" w14:paraId="51A0D17A" w14:textId="77777777" w:rsidTr="00555B55">
        <w:tc>
          <w:tcPr>
            <w:tcW w:w="3814" w:type="dxa"/>
          </w:tcPr>
          <w:p w14:paraId="64108837" w14:textId="77777777" w:rsidR="00100D36" w:rsidRPr="00BD5126" w:rsidRDefault="00100D36" w:rsidP="005E5921">
            <w:pPr>
              <w:spacing w:after="0"/>
              <w:ind w:left="0" w:right="0"/>
              <w:jc w:val="both"/>
            </w:pPr>
            <w:r w:rsidRPr="00BD5126">
              <w:t>Izkazuje večji delež lastnih sredstev oz. sredstev drugih virov financiranja (ministrstva, koprodukcije, sredstva EU, itd.), nad 50% lastnih sredstev</w:t>
            </w:r>
          </w:p>
        </w:tc>
        <w:tc>
          <w:tcPr>
            <w:tcW w:w="4472" w:type="dxa"/>
          </w:tcPr>
          <w:p w14:paraId="69468673" w14:textId="77777777" w:rsidR="00100D36" w:rsidRPr="00BD5126" w:rsidRDefault="00100D36" w:rsidP="005A2FEA">
            <w:pPr>
              <w:jc w:val="both"/>
            </w:pPr>
            <w:r w:rsidRPr="00BD5126">
              <w:t>5 točk</w:t>
            </w:r>
          </w:p>
        </w:tc>
      </w:tr>
      <w:tr w:rsidR="00100D36" w:rsidRPr="00BD5126" w14:paraId="0C847334" w14:textId="77777777" w:rsidTr="00555B55">
        <w:tc>
          <w:tcPr>
            <w:tcW w:w="3814" w:type="dxa"/>
          </w:tcPr>
          <w:p w14:paraId="21911E26" w14:textId="77777777" w:rsidR="00100D36" w:rsidRPr="00BD5126" w:rsidRDefault="00100D36" w:rsidP="005E5921">
            <w:pPr>
              <w:ind w:left="0"/>
              <w:jc w:val="both"/>
              <w:rPr>
                <w:b/>
                <w:bCs w:val="0"/>
              </w:rPr>
            </w:pPr>
            <w:r w:rsidRPr="00BD5126">
              <w:rPr>
                <w:b/>
              </w:rPr>
              <w:t>Skupaj</w:t>
            </w:r>
          </w:p>
        </w:tc>
        <w:tc>
          <w:tcPr>
            <w:tcW w:w="4472" w:type="dxa"/>
          </w:tcPr>
          <w:p w14:paraId="573E4FB3" w14:textId="36846E71" w:rsidR="00100D36" w:rsidRPr="00BD5126" w:rsidRDefault="00100D36" w:rsidP="005A2FEA">
            <w:pPr>
              <w:jc w:val="both"/>
              <w:rPr>
                <w:b/>
                <w:bCs w:val="0"/>
              </w:rPr>
            </w:pPr>
            <w:r w:rsidRPr="00BD5126">
              <w:rPr>
                <w:b/>
              </w:rPr>
              <w:t>Do 1</w:t>
            </w:r>
            <w:r w:rsidR="001479A1" w:rsidRPr="00BD5126">
              <w:rPr>
                <w:b/>
              </w:rPr>
              <w:t>5</w:t>
            </w:r>
            <w:r w:rsidRPr="00BD5126">
              <w:rPr>
                <w:b/>
              </w:rPr>
              <w:t xml:space="preserve"> točk</w:t>
            </w:r>
          </w:p>
        </w:tc>
      </w:tr>
    </w:tbl>
    <w:p w14:paraId="504437F4" w14:textId="77777777" w:rsidR="00100D36" w:rsidRPr="00BD5126" w:rsidRDefault="00100D36" w:rsidP="00100D36">
      <w:pPr>
        <w:spacing w:before="240"/>
        <w:jc w:val="both"/>
      </w:pPr>
      <w:r w:rsidRPr="00BD5126">
        <w:t>Najvišje možno število točk za posamezen projekt znaša 100 točk.</w:t>
      </w:r>
    </w:p>
    <w:p w14:paraId="64236FF8" w14:textId="77777777" w:rsidR="00100D36" w:rsidRPr="00BD5126" w:rsidRDefault="00100D36" w:rsidP="00100D36">
      <w:pPr>
        <w:pStyle w:val="Naslov3"/>
      </w:pPr>
      <w:r w:rsidRPr="00BD5126">
        <w:t>Izračun vrednosti sofinanciranja projektov</w:t>
      </w:r>
    </w:p>
    <w:p w14:paraId="3E8B5F40" w14:textId="77777777" w:rsidR="00100D36" w:rsidRPr="00BD5126" w:rsidRDefault="00100D36" w:rsidP="00100D36">
      <w:pPr>
        <w:jc w:val="both"/>
      </w:pPr>
      <w:r w:rsidRPr="00BD5126">
        <w:t>Končno število točk za posamezen projekt se izračuna kot povprečna ocena članov strokovne komisije, ki projekt ocenijo.</w:t>
      </w:r>
    </w:p>
    <w:p w14:paraId="03D1F225" w14:textId="77777777" w:rsidR="00100D36" w:rsidRPr="00BD5126" w:rsidRDefault="00100D36" w:rsidP="00100D36">
      <w:pPr>
        <w:jc w:val="both"/>
      </w:pPr>
      <w:r w:rsidRPr="00BD5126">
        <w:t>Strokovna komisija razvrsti prijavljene projekte od najvišje do najnižje ocenjenega; sofinancirajo se projekti, ki dosežejo minimalno 70 točk.</w:t>
      </w:r>
    </w:p>
    <w:p w14:paraId="28432B64" w14:textId="77777777" w:rsidR="00100D36" w:rsidRPr="00BD5126" w:rsidRDefault="00100D36" w:rsidP="00100D36">
      <w:pPr>
        <w:jc w:val="both"/>
      </w:pPr>
      <w:r w:rsidRPr="00BD5126">
        <w:t>Razpoložljiva proračunska sredstva se razdeli med projekte, ki dosežejo minimalno 70 točk, na podlagi naslednje formule:</w:t>
      </w:r>
    </w:p>
    <w:p w14:paraId="33E46CC7" w14:textId="77777777" w:rsidR="00100D36" w:rsidRPr="00BD5126" w:rsidRDefault="00F05184" w:rsidP="00100D36">
      <w:pPr>
        <w:jc w:val="both"/>
        <w:rPr>
          <w:iCs/>
        </w:rPr>
      </w:pPr>
      <m:oMathPara>
        <m:oMath>
          <m:f>
            <m:fPr>
              <m:ctrlPr>
                <w:rPr>
                  <w:rFonts w:ascii="Cambria Math" w:hAnsi="Cambria Math"/>
                  <w:iCs/>
                </w:rPr>
              </m:ctrlPr>
            </m:fPr>
            <m:num>
              <m:r>
                <m:rPr>
                  <m:sty m:val="p"/>
                </m:rPr>
                <w:rPr>
                  <w:rFonts w:ascii="Cambria Math" w:hAnsi="Cambria Math"/>
                </w:rPr>
                <m:t>razpoložljiva sredstva</m:t>
              </m:r>
            </m:num>
            <m:den>
              <m:r>
                <m:rPr>
                  <m:sty m:val="p"/>
                </m:rPr>
                <w:rPr>
                  <w:rFonts w:ascii="Cambria Math" w:hAnsi="Cambria Math"/>
                </w:rPr>
                <m:t>vsota izračunanih deležev projekta</m:t>
              </m:r>
            </m:den>
          </m:f>
          <m:r>
            <m:rPr>
              <m:sty m:val="p"/>
            </m:rPr>
            <w:rPr>
              <w:rFonts w:ascii="Cambria Math" w:hAnsi="Cambria Math"/>
            </w:rPr>
            <m:t>×</m:t>
          </m:r>
          <m:f>
            <m:fPr>
              <m:ctrlPr>
                <w:rPr>
                  <w:rFonts w:ascii="Cambria Math" w:hAnsi="Cambria Math"/>
                  <w:iCs/>
                </w:rPr>
              </m:ctrlPr>
            </m:fPr>
            <m:num>
              <m:r>
                <m:rPr>
                  <m:sty m:val="p"/>
                </m:rPr>
                <w:rPr>
                  <w:rFonts w:ascii="Cambria Math" w:hAnsi="Cambria Math"/>
                </w:rPr>
                <m:t>končno število točk za projekt</m:t>
              </m:r>
            </m:num>
            <m:den>
              <m:r>
                <m:rPr>
                  <m:sty m:val="p"/>
                </m:rPr>
                <w:rPr>
                  <w:rFonts w:ascii="Cambria Math" w:hAnsi="Cambria Math"/>
                </w:rPr>
                <m:t>100</m:t>
              </m:r>
            </m:den>
          </m:f>
          <m:r>
            <m:rPr>
              <m:sty m:val="p"/>
            </m:rPr>
            <w:rPr>
              <w:rFonts w:ascii="Cambria Math" w:hAnsi="Cambria Math"/>
            </w:rPr>
            <m:t>×upravičena zaprošena sredstva za posamezen projekt</m:t>
          </m:r>
        </m:oMath>
      </m:oMathPara>
    </w:p>
    <w:p w14:paraId="5D2DD2C7" w14:textId="77777777" w:rsidR="00100D36" w:rsidRPr="00BD5126" w:rsidRDefault="00100D36" w:rsidP="00100D36">
      <w:pPr>
        <w:jc w:val="both"/>
      </w:pPr>
      <w:r w:rsidRPr="00BD5126">
        <w:t>Predlog višine sredstev sofinanciranja za posamezen projekt se določi na podlagi določb iz tega javnega razpisa, rezultatov ocenjevanja, višine upravičenih zaprošenih sredstev s strani prijavitelja ter višine razpisanih sredstev.</w:t>
      </w:r>
    </w:p>
    <w:p w14:paraId="41FBF6E2" w14:textId="77777777" w:rsidR="00100D36" w:rsidRPr="00BD5126" w:rsidRDefault="00100D36" w:rsidP="00100D36">
      <w:pPr>
        <w:jc w:val="both"/>
      </w:pPr>
      <w:r w:rsidRPr="00BD5126">
        <w:t>Višina dodeljenih sredstev za posamezen projekt ne sme presegati 60% upravičenih stroškov projekta in hkrati ne sme presegati maksimalnega zneska v višini 5.000,00 EUR, za katerega lahko zaprosi prijavitelj.</w:t>
      </w:r>
    </w:p>
    <w:p w14:paraId="7A3B06BA" w14:textId="6687EE79" w:rsidR="00100D36" w:rsidRPr="00BD5126" w:rsidRDefault="00100D36" w:rsidP="00DC1AA9">
      <w:pPr>
        <w:pStyle w:val="Naslov2"/>
        <w:numPr>
          <w:ilvl w:val="0"/>
          <w:numId w:val="14"/>
        </w:numPr>
        <w:spacing w:line="240" w:lineRule="auto"/>
      </w:pPr>
      <w:r w:rsidRPr="00BD5126">
        <w:t>Izvedba postopka</w:t>
      </w:r>
    </w:p>
    <w:p w14:paraId="457E0A7A" w14:textId="77777777" w:rsidR="00100D36" w:rsidRPr="00BD5126" w:rsidRDefault="00100D36" w:rsidP="00100D36">
      <w:pPr>
        <w:jc w:val="both"/>
      </w:pPr>
      <w:r w:rsidRPr="00BD5126">
        <w:t>Župan MONG izmed uradnikov, zaposlenih na MONG, imenuje komisijo za odpiranje vlog v postopku izbire programov in projektov. Komisija ima 3 člane in se imenuje za dobo mandata župana.</w:t>
      </w:r>
    </w:p>
    <w:p w14:paraId="0F64BC5F" w14:textId="77777777" w:rsidR="00100D36" w:rsidRPr="00BD5126" w:rsidRDefault="00100D36" w:rsidP="00100D36">
      <w:pPr>
        <w:jc w:val="both"/>
      </w:pPr>
      <w:r w:rsidRPr="00BD5126">
        <w:lastRenderedPageBreak/>
        <w:t>Po poteku razpisnega roka komisija za odpiranje vlog hkrati odpre vse vloge, ki so do tedaj prispele. Odpiranje se izvede v roku, ki je naveden v javnem razpisu. O odpiranju vlog se piše zapisnik.</w:t>
      </w:r>
    </w:p>
    <w:p w14:paraId="269B3805" w14:textId="77777777" w:rsidR="00100D36" w:rsidRPr="00BD5126" w:rsidRDefault="00100D36" w:rsidP="00100D36">
      <w:pPr>
        <w:jc w:val="both"/>
      </w:pPr>
      <w:r w:rsidRPr="00BD5126">
        <w:t xml:space="preserve">Za vsako vlogo komisija za odpiranje vlog ugotovi, ali je pravočasna, ali jo je podala oseba, ki izpolnjuje v javnem razpisu določene pogoje (upravičena oseba) in ali je popolna glede na besedilo javnega razpisa. </w:t>
      </w:r>
    </w:p>
    <w:p w14:paraId="2BC0D170" w14:textId="77777777" w:rsidR="00100D36" w:rsidRPr="00BD5126" w:rsidRDefault="00100D36" w:rsidP="00100D36">
      <w:pPr>
        <w:jc w:val="both"/>
      </w:pPr>
      <w:r w:rsidRPr="00BD5126">
        <w:t>Vlogo, ki ni pravočasna ali je ni vložila upravičena oseba, župan zavrže s sklepom.</w:t>
      </w:r>
    </w:p>
    <w:p w14:paraId="1F2F8351" w14:textId="77777777" w:rsidR="00100D36" w:rsidRPr="00BD5126" w:rsidRDefault="00100D36" w:rsidP="00100D36">
      <w:pPr>
        <w:jc w:val="both"/>
      </w:pPr>
      <w:r w:rsidRPr="00BD5126">
        <w:t>Če je vloga formalno nepopolna, se prijavitelja pozove, da jo dopolni. Prijavitelj mora vlogo dopolniti v petih dneh. Če prijavitelj vloge ne dopolni v zahtevanem roku, župan vlogo zavrže s sklepom.</w:t>
      </w:r>
    </w:p>
    <w:p w14:paraId="71067CB0" w14:textId="258F3A6A" w:rsidR="00100D36" w:rsidRPr="00BD5126" w:rsidRDefault="00100D36" w:rsidP="00904500">
      <w:pPr>
        <w:jc w:val="both"/>
      </w:pPr>
      <w:r w:rsidRPr="00BD5126">
        <w:t>Komisija za odpiranje vlog pripravi za vse popolne in pravočasne vloge upravičenih oseb (v nadaljnjem besedilu: ustrezne vloge) skupno poročilo in ga preda skupaj z vlogami pristojnemu uslužbencu. Skupno poročilo  mora vsebovati šifro vloge, prijavitelja in naslov projekta.</w:t>
      </w:r>
    </w:p>
    <w:p w14:paraId="20EA7057" w14:textId="77777777" w:rsidR="00100D36" w:rsidRPr="00BD5126" w:rsidRDefault="00100D36" w:rsidP="00100D36">
      <w:pPr>
        <w:jc w:val="both"/>
      </w:pPr>
      <w:r w:rsidRPr="00BD5126">
        <w:t>Prijavitelji na javni razpis ne morejo prisostvovati pripravi in sprejemanju poročila iz prejšnjega odstavka na komisiji za odpiranje vlog.</w:t>
      </w:r>
    </w:p>
    <w:p w14:paraId="5CE46B95" w14:textId="77777777" w:rsidR="00100D36" w:rsidRPr="00BD5126" w:rsidRDefault="00100D36" w:rsidP="00100D36">
      <w:pPr>
        <w:jc w:val="both"/>
      </w:pPr>
      <w:r w:rsidRPr="00BD5126">
        <w:t>Komisija za odpiranje vlog predloži ustrezne vloge na javni razpis skupaj s poročilom strokovni komisiji.</w:t>
      </w:r>
    </w:p>
    <w:p w14:paraId="420012E3" w14:textId="2E123362" w:rsidR="00100D36" w:rsidRPr="00BD5126" w:rsidRDefault="00100D36" w:rsidP="00100D36">
      <w:pPr>
        <w:jc w:val="both"/>
      </w:pPr>
      <w:r w:rsidRPr="00BD5126">
        <w:t>Za ocenjevanje in vrednotenje ustreznih vlog prispelih na javni razpis župan MONG imenuje 5-člansko strokovno komisijo na podlagi Pravilnika o strokovnih komisijah (Uradni list RS, št. 125/22).</w:t>
      </w:r>
    </w:p>
    <w:p w14:paraId="17E16D8D" w14:textId="77777777" w:rsidR="00100D36" w:rsidRPr="00BD5126" w:rsidRDefault="00100D36" w:rsidP="00100D36">
      <w:pPr>
        <w:jc w:val="both"/>
      </w:pPr>
      <w:r w:rsidRPr="00BD5126">
        <w:t>Komisija je sklepčna, če je na seji prisotnih več kot polovica članov komisije. Odločitve sprejema z večino glasov vseh članov.</w:t>
      </w:r>
    </w:p>
    <w:p w14:paraId="3E3480F5" w14:textId="352C8F12" w:rsidR="00100D36" w:rsidRPr="00BD5126" w:rsidRDefault="00100D36" w:rsidP="00100D36">
      <w:pPr>
        <w:jc w:val="both"/>
      </w:pPr>
      <w:r w:rsidRPr="00BD5126">
        <w:t>Komisija oceni projekt/</w:t>
      </w:r>
      <w:r w:rsidR="00CE0A60" w:rsidRPr="00BD5126">
        <w:t>-</w:t>
      </w:r>
      <w:r w:rsidRPr="00BD5126">
        <w:t xml:space="preserve">e na podlagi razpisnih kriterijev, ki so navedeni v tem javnem razpisu. </w:t>
      </w:r>
    </w:p>
    <w:p w14:paraId="7F43FC75" w14:textId="77777777" w:rsidR="00100D36" w:rsidRPr="00BD5126" w:rsidRDefault="00100D36" w:rsidP="002C02E1">
      <w:pPr>
        <w:pStyle w:val="odstavek"/>
        <w:shd w:val="clear" w:color="auto" w:fill="FFFFFF"/>
        <w:spacing w:before="240" w:beforeAutospacing="0" w:after="0" w:afterAutospacing="0" w:line="288" w:lineRule="auto"/>
        <w:ind w:left="709"/>
        <w:jc w:val="both"/>
        <w:rPr>
          <w:rFonts w:ascii="Verdana" w:hAnsi="Verdana" w:cs="Arial"/>
          <w:color w:val="000000"/>
          <w:sz w:val="20"/>
          <w:szCs w:val="20"/>
        </w:rPr>
      </w:pPr>
      <w:r w:rsidRPr="00BD5126">
        <w:rPr>
          <w:rFonts w:ascii="Verdana" w:hAnsi="Verdana" w:cs="Arial"/>
          <w:color w:val="000000"/>
          <w:sz w:val="20"/>
          <w:szCs w:val="20"/>
          <w:lang w:val="x-none"/>
        </w:rPr>
        <w:t>Strokovna komisija razvrsti vse projekte, ki so vsebovani v ustreznih vlogah, glede na kriterije za ocenjevanje in vrednotenje projekta, kot so določeni v objavi razpisa.</w:t>
      </w:r>
    </w:p>
    <w:p w14:paraId="6E392351" w14:textId="77777777" w:rsidR="00100D36" w:rsidRPr="00BD5126" w:rsidRDefault="00100D36" w:rsidP="002C02E1">
      <w:pPr>
        <w:pStyle w:val="odstavek"/>
        <w:shd w:val="clear" w:color="auto" w:fill="FFFFFF"/>
        <w:spacing w:before="240" w:beforeAutospacing="0" w:after="0" w:afterAutospacing="0" w:line="288" w:lineRule="auto"/>
        <w:ind w:left="709"/>
        <w:jc w:val="both"/>
        <w:rPr>
          <w:rFonts w:ascii="Verdana" w:hAnsi="Verdana" w:cs="Arial"/>
          <w:color w:val="000000"/>
          <w:sz w:val="20"/>
          <w:szCs w:val="20"/>
        </w:rPr>
      </w:pPr>
      <w:r w:rsidRPr="00BD5126">
        <w:rPr>
          <w:rFonts w:ascii="Verdana" w:hAnsi="Verdana" w:cs="Arial"/>
          <w:color w:val="000000"/>
          <w:sz w:val="20"/>
          <w:szCs w:val="20"/>
          <w:lang w:val="x-none"/>
        </w:rPr>
        <w:t xml:space="preserve">O razvrstitvi iz prejšnjega odstavka pripravi strokovna komisija poročilo, v katerem morajo biti navedeni razlogi za razvrstitev projektov in predlog, kateri projekti, ki so predmet ocenjevanih ustreznih vlog, se financirajo v določenem obsegu, kateri pa se glede na višino sredstev in razvrstitev ne financirajo. </w:t>
      </w:r>
    </w:p>
    <w:p w14:paraId="210CBC5C" w14:textId="77777777" w:rsidR="00100D36" w:rsidRPr="00BD5126" w:rsidRDefault="00100D36" w:rsidP="002C02E1">
      <w:pPr>
        <w:pStyle w:val="odstavek"/>
        <w:shd w:val="clear" w:color="auto" w:fill="FFFFFF"/>
        <w:spacing w:before="240" w:beforeAutospacing="0" w:after="0" w:afterAutospacing="0" w:line="288" w:lineRule="auto"/>
        <w:ind w:left="709"/>
        <w:jc w:val="both"/>
        <w:rPr>
          <w:rFonts w:ascii="Verdana" w:hAnsi="Verdana" w:cs="Arial"/>
          <w:color w:val="000000"/>
          <w:sz w:val="20"/>
          <w:szCs w:val="20"/>
          <w:lang w:val="x-none"/>
        </w:rPr>
      </w:pPr>
      <w:r w:rsidRPr="00BD5126">
        <w:rPr>
          <w:rFonts w:ascii="Verdana" w:hAnsi="Verdana" w:cs="Arial"/>
          <w:color w:val="000000"/>
          <w:sz w:val="20"/>
          <w:szCs w:val="20"/>
        </w:rPr>
        <w:t>Prijavitelji</w:t>
      </w:r>
      <w:r w:rsidRPr="00BD5126">
        <w:rPr>
          <w:rFonts w:ascii="Verdana" w:hAnsi="Verdana" w:cs="Arial"/>
          <w:color w:val="000000"/>
          <w:sz w:val="20"/>
          <w:szCs w:val="20"/>
          <w:lang w:val="x-none"/>
        </w:rPr>
        <w:t xml:space="preserve"> ne morejo prisostvovati ocenjevanju in vrednotenju vlog ter sprejemanju poročila na strokovni komisiji.</w:t>
      </w:r>
    </w:p>
    <w:p w14:paraId="00A2D87D" w14:textId="77777777" w:rsidR="00100D36" w:rsidRPr="00BD5126" w:rsidRDefault="00100D36" w:rsidP="002C02E1">
      <w:pPr>
        <w:pStyle w:val="odstavek"/>
        <w:shd w:val="clear" w:color="auto" w:fill="FFFFFF"/>
        <w:spacing w:before="240" w:beforeAutospacing="0" w:after="0" w:afterAutospacing="0" w:line="288" w:lineRule="auto"/>
        <w:ind w:left="709"/>
        <w:jc w:val="both"/>
        <w:rPr>
          <w:rFonts w:ascii="Verdana" w:hAnsi="Verdana" w:cs="Arial"/>
          <w:color w:val="000000"/>
          <w:sz w:val="20"/>
          <w:szCs w:val="20"/>
        </w:rPr>
      </w:pPr>
      <w:r w:rsidRPr="00BD5126">
        <w:rPr>
          <w:rFonts w:ascii="Verdana" w:hAnsi="Verdana" w:cs="Arial"/>
          <w:color w:val="000000"/>
          <w:sz w:val="20"/>
          <w:szCs w:val="20"/>
          <w:lang w:val="x-none"/>
        </w:rPr>
        <w:t>Na podlagi predloga strokovne komisije</w:t>
      </w:r>
      <w:r w:rsidRPr="00BD5126">
        <w:rPr>
          <w:rFonts w:ascii="Verdana" w:hAnsi="Verdana" w:cs="Arial"/>
          <w:color w:val="000000"/>
          <w:sz w:val="20"/>
          <w:szCs w:val="20"/>
        </w:rPr>
        <w:t xml:space="preserve"> župan</w:t>
      </w:r>
      <w:r w:rsidRPr="00BD5126">
        <w:rPr>
          <w:rFonts w:ascii="Verdana" w:hAnsi="Verdana" w:cs="Arial"/>
          <w:color w:val="000000"/>
          <w:sz w:val="20"/>
          <w:szCs w:val="20"/>
          <w:lang w:val="x-none"/>
        </w:rPr>
        <w:t xml:space="preserve"> izda o vsaki ustrezni vlogi, prispeli na javni razpis, posamično odločbo, s katero odloči o odobritvi ter deležu sofinanciranja ali o zavrnitvi sofinanciranja posameznega projekta. </w:t>
      </w:r>
      <w:r w:rsidRPr="00BD5126">
        <w:rPr>
          <w:rFonts w:ascii="Verdana" w:hAnsi="Verdana" w:cs="Arial"/>
          <w:color w:val="000000"/>
          <w:sz w:val="20"/>
          <w:szCs w:val="20"/>
        </w:rPr>
        <w:t>Župan</w:t>
      </w:r>
      <w:r w:rsidRPr="00BD5126">
        <w:rPr>
          <w:rFonts w:ascii="Verdana" w:hAnsi="Verdana" w:cs="Arial"/>
          <w:color w:val="000000"/>
          <w:sz w:val="20"/>
          <w:szCs w:val="20"/>
          <w:lang w:val="x-none"/>
        </w:rPr>
        <w:t xml:space="preserve"> lahko </w:t>
      </w:r>
      <w:r w:rsidRPr="00BD5126">
        <w:rPr>
          <w:rFonts w:ascii="Verdana" w:hAnsi="Verdana" w:cs="Arial"/>
          <w:color w:val="000000"/>
          <w:sz w:val="20"/>
          <w:szCs w:val="20"/>
          <w:lang w:val="x-none"/>
        </w:rPr>
        <w:lastRenderedPageBreak/>
        <w:t xml:space="preserve">zavrne predlog komisije glede financiranja posameznega projekta ter ga z utemeljitvijo vrne strokovni komisiji v ponovno presojo, ne more pa sprejeti drugačne odločitve, kot je predlagana v predlogu strokovne komisije. </w:t>
      </w:r>
      <w:r w:rsidRPr="00BD5126">
        <w:rPr>
          <w:rFonts w:ascii="Verdana" w:hAnsi="Verdana" w:cs="Arial"/>
          <w:color w:val="000000"/>
          <w:sz w:val="20"/>
          <w:szCs w:val="20"/>
        </w:rPr>
        <w:t>Župan</w:t>
      </w:r>
      <w:r w:rsidRPr="00BD5126">
        <w:rPr>
          <w:rFonts w:ascii="Verdana" w:hAnsi="Verdana" w:cs="Arial"/>
          <w:color w:val="000000"/>
          <w:sz w:val="20"/>
          <w:szCs w:val="20"/>
          <w:lang w:val="x-none"/>
        </w:rPr>
        <w:t xml:space="preserve"> lahko vrne projekt v ponovno presojo samo enkrat.</w:t>
      </w:r>
    </w:p>
    <w:p w14:paraId="0257D655" w14:textId="77777777" w:rsidR="00100D36" w:rsidRPr="00BD5126" w:rsidRDefault="00100D36" w:rsidP="002C02E1">
      <w:pPr>
        <w:pStyle w:val="odstavek"/>
        <w:shd w:val="clear" w:color="auto" w:fill="FFFFFF"/>
        <w:spacing w:before="240" w:beforeAutospacing="0" w:after="0" w:afterAutospacing="0" w:line="288" w:lineRule="auto"/>
        <w:ind w:firstLine="708"/>
        <w:jc w:val="both"/>
        <w:rPr>
          <w:rFonts w:ascii="Verdana" w:hAnsi="Verdana" w:cs="Arial"/>
          <w:color w:val="000000"/>
          <w:sz w:val="20"/>
          <w:szCs w:val="20"/>
        </w:rPr>
      </w:pPr>
      <w:r w:rsidRPr="00BD5126">
        <w:rPr>
          <w:rFonts w:ascii="Verdana" w:hAnsi="Verdana" w:cs="Arial"/>
          <w:color w:val="000000"/>
          <w:sz w:val="20"/>
          <w:szCs w:val="20"/>
          <w:lang w:val="x-none"/>
        </w:rPr>
        <w:t>Odločbe so podlaga za sklepanje pogodb o sofinanciranju projektov.</w:t>
      </w:r>
    </w:p>
    <w:p w14:paraId="7EC620B7" w14:textId="77777777" w:rsidR="00100D36" w:rsidRPr="00BD5126" w:rsidRDefault="00100D36" w:rsidP="002C02E1">
      <w:pPr>
        <w:jc w:val="both"/>
        <w:rPr>
          <w:szCs w:val="20"/>
        </w:rPr>
      </w:pPr>
      <w:r w:rsidRPr="00BD5126">
        <w:rPr>
          <w:szCs w:val="20"/>
        </w:rPr>
        <w:t>Hkrati s posredovanjem odločbe se prijavitelju posreduje v podpis pogodba o sofinanciranju projekta.</w:t>
      </w:r>
    </w:p>
    <w:p w14:paraId="11E20DC5" w14:textId="77777777" w:rsidR="00100D36" w:rsidRPr="00BD5126" w:rsidRDefault="00100D36" w:rsidP="00100D36">
      <w:pPr>
        <w:jc w:val="both"/>
        <w:rPr>
          <w:szCs w:val="20"/>
        </w:rPr>
      </w:pPr>
      <w:r w:rsidRPr="00BD5126">
        <w:rPr>
          <w:szCs w:val="20"/>
        </w:rPr>
        <w:t>Prijavitelj mora podpisano pogodbo vrniti v 15 dneh od prejema, sicer se šteje, da je odstopil od sofinanciranja projekta z javnimi sredstvi, da pogodba ni sklenjena  in da je MONG prosta obveznosti, ki bi zanjo izhajale iz odločbe o sofinanciranju.</w:t>
      </w:r>
    </w:p>
    <w:p w14:paraId="2836FE7B" w14:textId="6FC82468" w:rsidR="00100D36" w:rsidRPr="00BD5126" w:rsidRDefault="00100D36" w:rsidP="00E76DC7">
      <w:pPr>
        <w:jc w:val="both"/>
        <w:rPr>
          <w:szCs w:val="20"/>
        </w:rPr>
      </w:pPr>
      <w:r w:rsidRPr="00BD5126">
        <w:t>Za vprašanja izvedbe postopka, ki niso urejena v tem javnem razpisu se uporabljajo določbe Zakona o uresničevanju javnega interesa za kulturo (</w:t>
      </w:r>
      <w:r w:rsidRPr="00BD5126">
        <w:rPr>
          <w:szCs w:val="20"/>
        </w:rPr>
        <w:t>Uradni list RS št. 77/07 –</w:t>
      </w:r>
      <w:r w:rsidR="0071592F" w:rsidRPr="00BD5126">
        <w:rPr>
          <w:szCs w:val="20"/>
        </w:rPr>
        <w:t xml:space="preserve"> </w:t>
      </w:r>
      <w:r w:rsidRPr="00BD5126">
        <w:rPr>
          <w:szCs w:val="20"/>
        </w:rPr>
        <w:t>uradno</w:t>
      </w:r>
      <w:r w:rsidR="00D25530" w:rsidRPr="00BD5126">
        <w:rPr>
          <w:szCs w:val="20"/>
        </w:rPr>
        <w:t xml:space="preserve"> </w:t>
      </w:r>
      <w:r w:rsidRPr="00BD5126">
        <w:rPr>
          <w:szCs w:val="20"/>
        </w:rPr>
        <w:t>prečiščenobesedilo, 56/08, 4/10, 20/11, 111/13, 68/16, 61/17, 21/18 – ZNOrg, 3/22 – ZDeb</w:t>
      </w:r>
      <w:r w:rsidR="009A4EA9" w:rsidRPr="00BD5126">
        <w:rPr>
          <w:szCs w:val="20"/>
        </w:rPr>
        <w:t xml:space="preserve">, </w:t>
      </w:r>
      <w:r w:rsidRPr="00BD5126">
        <w:rPr>
          <w:szCs w:val="20"/>
        </w:rPr>
        <w:t>105/22 – ZZNŠPP</w:t>
      </w:r>
      <w:r w:rsidR="00DD5BDE" w:rsidRPr="00BD5126">
        <w:rPr>
          <w:szCs w:val="20"/>
        </w:rPr>
        <w:t>,</w:t>
      </w:r>
      <w:r w:rsidR="009A4EA9" w:rsidRPr="00BD5126">
        <w:rPr>
          <w:szCs w:val="20"/>
        </w:rPr>
        <w:t xml:space="preserve"> 8/25 in 77/25</w:t>
      </w:r>
      <w:r w:rsidR="00DD5BDE" w:rsidRPr="00BD5126">
        <w:rPr>
          <w:szCs w:val="20"/>
        </w:rPr>
        <w:t xml:space="preserve"> </w:t>
      </w:r>
      <w:r w:rsidR="009F1C0A" w:rsidRPr="00BD5126">
        <w:rPr>
          <w:szCs w:val="20"/>
        </w:rPr>
        <w:t>)</w:t>
      </w:r>
      <w:r w:rsidR="00041AD3" w:rsidRPr="00BD5126">
        <w:rPr>
          <w:szCs w:val="20"/>
        </w:rPr>
        <w:t xml:space="preserve"> in</w:t>
      </w:r>
      <w:r w:rsidRPr="00BD5126">
        <w:t xml:space="preserve"> Pravilnika o izvedbi javnega poziva in javnega razpisa za izbiro kulturnih programov in kulturnih projektov (Uradni list RS, št. 43/10, 62/16) in Pravilnika o strokovnih komisijah (Uradni list RS, št. 125/22</w:t>
      </w:r>
      <w:r w:rsidR="009F1C0A" w:rsidRPr="00BD5126">
        <w:t>)</w:t>
      </w:r>
      <w:r w:rsidRPr="00BD5126">
        <w:t>.</w:t>
      </w:r>
    </w:p>
    <w:p w14:paraId="60CD8C33" w14:textId="77777777" w:rsidR="00100D36" w:rsidRPr="00BD5126" w:rsidRDefault="00100D36" w:rsidP="00100D36">
      <w:pPr>
        <w:jc w:val="both"/>
        <w:rPr>
          <w:szCs w:val="20"/>
        </w:rPr>
      </w:pPr>
      <w:r w:rsidRPr="00BD5126">
        <w:rPr>
          <w:szCs w:val="20"/>
        </w:rPr>
        <w:t>Natančnejša določila o izvedbi in sofinanciranju odobrenega projekta so določena v osnutku pogodbe, ki je del razpisne dokumentacije.</w:t>
      </w:r>
    </w:p>
    <w:p w14:paraId="4888605C" w14:textId="23FC4A4F" w:rsidR="00100D36" w:rsidRPr="00BD5126" w:rsidRDefault="00100D36" w:rsidP="00DC1AA9">
      <w:pPr>
        <w:pStyle w:val="Naslov2"/>
        <w:numPr>
          <w:ilvl w:val="0"/>
          <w:numId w:val="14"/>
        </w:numPr>
        <w:spacing w:line="240" w:lineRule="auto"/>
      </w:pPr>
      <w:r w:rsidRPr="00BD5126">
        <w:t>Razpisna dokumentacija</w:t>
      </w:r>
    </w:p>
    <w:p w14:paraId="32E58F7A" w14:textId="77777777" w:rsidR="00100D36" w:rsidRPr="00BD5126" w:rsidRDefault="00100D36" w:rsidP="00DB2927">
      <w:pPr>
        <w:spacing w:after="0"/>
        <w:jc w:val="both"/>
      </w:pPr>
      <w:r w:rsidRPr="00BD5126">
        <w:t>Razpisna dokumentacija obsega:</w:t>
      </w:r>
    </w:p>
    <w:p w14:paraId="2BBDFDEF" w14:textId="77777777" w:rsidR="00100D36" w:rsidRPr="00BD5126" w:rsidRDefault="00100D36" w:rsidP="00DB2927">
      <w:pPr>
        <w:pStyle w:val="Odstavekseznama"/>
        <w:numPr>
          <w:ilvl w:val="0"/>
          <w:numId w:val="9"/>
        </w:numPr>
        <w:spacing w:after="0"/>
        <w:ind w:right="0"/>
        <w:jc w:val="both"/>
      </w:pPr>
      <w:r w:rsidRPr="00BD5126">
        <w:t>besedilo javnega razpisa,</w:t>
      </w:r>
    </w:p>
    <w:p w14:paraId="32C37FA9" w14:textId="77777777" w:rsidR="00100D36" w:rsidRPr="00BD5126" w:rsidRDefault="00100D36" w:rsidP="00DB2927">
      <w:pPr>
        <w:pStyle w:val="Odstavekseznama"/>
        <w:numPr>
          <w:ilvl w:val="0"/>
          <w:numId w:val="9"/>
        </w:numPr>
        <w:spacing w:after="0"/>
        <w:ind w:right="0"/>
        <w:jc w:val="both"/>
      </w:pPr>
      <w:r w:rsidRPr="00BD5126">
        <w:t>prijavna obrazca,</w:t>
      </w:r>
    </w:p>
    <w:p w14:paraId="110534F6" w14:textId="77777777" w:rsidR="00100D36" w:rsidRPr="00BD5126" w:rsidRDefault="00100D36" w:rsidP="00DB2927">
      <w:pPr>
        <w:pStyle w:val="Odstavekseznama"/>
        <w:numPr>
          <w:ilvl w:val="0"/>
          <w:numId w:val="9"/>
        </w:numPr>
        <w:spacing w:after="0"/>
        <w:ind w:right="0"/>
        <w:jc w:val="both"/>
      </w:pPr>
      <w:r w:rsidRPr="00BD5126">
        <w:t>vzorca pogodb o sofinanciranju projekta.</w:t>
      </w:r>
    </w:p>
    <w:p w14:paraId="0FCD8E8C" w14:textId="77777777" w:rsidR="00100D36" w:rsidRPr="00BD5126" w:rsidRDefault="00100D36" w:rsidP="00DB2927">
      <w:pPr>
        <w:spacing w:after="0"/>
        <w:jc w:val="both"/>
      </w:pPr>
      <w:r w:rsidRPr="00BD5126">
        <w:t>Prijavitelj mora v vlogi na javni razpis predložiti naslednjo dokumentacijo:</w:t>
      </w:r>
    </w:p>
    <w:p w14:paraId="5BE247C8" w14:textId="77777777" w:rsidR="00100D36" w:rsidRPr="00BD5126" w:rsidRDefault="00100D36" w:rsidP="00DB2927">
      <w:pPr>
        <w:pStyle w:val="Odstavekseznama"/>
        <w:numPr>
          <w:ilvl w:val="0"/>
          <w:numId w:val="9"/>
        </w:numPr>
        <w:spacing w:after="0"/>
        <w:ind w:right="0"/>
        <w:jc w:val="both"/>
      </w:pPr>
      <w:r w:rsidRPr="00BD5126">
        <w:t>v celoti izpolnjen prijavni obrazec  in</w:t>
      </w:r>
    </w:p>
    <w:p w14:paraId="12E8A2F8" w14:textId="77777777" w:rsidR="00100D36" w:rsidRPr="00BD5126" w:rsidRDefault="00100D36" w:rsidP="00DB2927">
      <w:pPr>
        <w:pStyle w:val="Odstavekseznama"/>
        <w:numPr>
          <w:ilvl w:val="0"/>
          <w:numId w:val="9"/>
        </w:numPr>
        <w:ind w:right="0"/>
        <w:jc w:val="both"/>
      </w:pPr>
      <w:r w:rsidRPr="00BD5126">
        <w:t>obvezne priloge k prijavnemu obrazcu.</w:t>
      </w:r>
    </w:p>
    <w:p w14:paraId="01C0B95F" w14:textId="77777777" w:rsidR="00100D36" w:rsidRPr="00BD5126" w:rsidRDefault="00100D36" w:rsidP="00100D36">
      <w:pPr>
        <w:jc w:val="both"/>
      </w:pPr>
      <w:r w:rsidRPr="00BD5126">
        <w:t>Vloga je popolna, če vsebuje vse zgoraj navedene dokumente, ki so podrobneje opredeljeni v razpisni dokumentaciji. Za popolno vlogo se šteje tudi nepopolna vloga, ki jo je stranka v celoti dopolnila v petih dneh od prejema poziva k dopolnitvi. Vlogo je dovoljeno dopolnjevati le v tistem delu, ki se ne nanaša na vsebino prijavljenih projektov. Po preteku roka za dopolnitev, dodatne dopolnitve vlog niso možne.</w:t>
      </w:r>
    </w:p>
    <w:p w14:paraId="59942A9B" w14:textId="77777777" w:rsidR="00100D36" w:rsidRPr="00BD5126" w:rsidRDefault="00100D36" w:rsidP="00100D36">
      <w:pPr>
        <w:jc w:val="both"/>
      </w:pPr>
      <w:r w:rsidRPr="00BD5126">
        <w:t>Prijavitelj lahko vlogo spreminja do preteka razpisnega roka.</w:t>
      </w:r>
    </w:p>
    <w:p w14:paraId="243365E3" w14:textId="6AE2612E" w:rsidR="00100D36" w:rsidRPr="00BD5126" w:rsidRDefault="00100D36" w:rsidP="00100D36">
      <w:pPr>
        <w:jc w:val="both"/>
      </w:pPr>
      <w:r w:rsidRPr="00BD5126">
        <w:t xml:space="preserve">Razpisna dokumentacija je od dneva objave do izteka prijavnega roka dosegljiva na spletni strani </w:t>
      </w:r>
      <w:r w:rsidRPr="00A5726D">
        <w:t>MONG</w:t>
      </w:r>
      <w:r w:rsidRPr="00BD5126">
        <w:t xml:space="preserve"> pod rubriko Razpisi. Dodatne informacije v zvezi z javnim razpisom lahko zainteresirani dobijo v času uradnih ur MONG </w:t>
      </w:r>
      <w:r w:rsidR="00E76DC7" w:rsidRPr="00BD5126">
        <w:t>ali na</w:t>
      </w:r>
      <w:r w:rsidRPr="00BD5126">
        <w:t xml:space="preserve"> tel. št. 05/335 0 352 (Petra Sismond) ali preko elektronskega naslova: petra.sismond@nova-</w:t>
      </w:r>
      <w:r w:rsidRPr="00BD5126">
        <w:lastRenderedPageBreak/>
        <w:t>gorica.si.</w:t>
      </w:r>
      <w:r w:rsidR="00D56D42" w:rsidRPr="00BD5126">
        <w:t xml:space="preserve"> </w:t>
      </w:r>
      <w:r w:rsidR="00953229" w:rsidRPr="00BD5126">
        <w:t xml:space="preserve">V primeru tehčničnih težav prijavitelji pošljejo pisni zahtevek </w:t>
      </w:r>
      <w:r w:rsidR="004543D7" w:rsidRPr="00BD5126">
        <w:t xml:space="preserve">v času uradnih </w:t>
      </w:r>
      <w:r w:rsidR="008E5F76" w:rsidRPr="00BD5126">
        <w:t>na elektronski naslov: podpora@nova-gorica.si.</w:t>
      </w:r>
    </w:p>
    <w:p w14:paraId="62D87D52" w14:textId="7A0B9916" w:rsidR="00100D36" w:rsidRPr="00BD5126" w:rsidRDefault="00100D36" w:rsidP="00C0635B">
      <w:pPr>
        <w:pStyle w:val="Naslov2"/>
        <w:numPr>
          <w:ilvl w:val="0"/>
          <w:numId w:val="14"/>
        </w:numPr>
        <w:spacing w:line="240" w:lineRule="auto"/>
      </w:pPr>
      <w:r w:rsidRPr="00BD5126">
        <w:t>Razpisni rok</w:t>
      </w:r>
    </w:p>
    <w:p w14:paraId="264C940C" w14:textId="18A872DD" w:rsidR="00100D36" w:rsidRPr="00BD5126" w:rsidRDefault="00100D36" w:rsidP="00100D36">
      <w:pPr>
        <w:jc w:val="both"/>
      </w:pPr>
      <w:r w:rsidRPr="00BD5126">
        <w:t xml:space="preserve">Javni razpis se prične </w:t>
      </w:r>
      <w:r w:rsidR="00454464" w:rsidRPr="00BD5126">
        <w:t>06.02.2026</w:t>
      </w:r>
      <w:r w:rsidRPr="00BD5126">
        <w:t xml:space="preserve"> in se zaključi </w:t>
      </w:r>
      <w:r w:rsidR="00454464" w:rsidRPr="00BD5126">
        <w:t>06.03.2026</w:t>
      </w:r>
      <w:r w:rsidR="004543D7" w:rsidRPr="00BD5126">
        <w:t>.</w:t>
      </w:r>
    </w:p>
    <w:p w14:paraId="62D8615B" w14:textId="62967990" w:rsidR="00100D36" w:rsidRPr="00BD5126" w:rsidRDefault="00100D36" w:rsidP="00C0635B">
      <w:pPr>
        <w:pStyle w:val="Naslov2"/>
        <w:numPr>
          <w:ilvl w:val="0"/>
          <w:numId w:val="14"/>
        </w:numPr>
        <w:spacing w:line="240" w:lineRule="auto"/>
      </w:pPr>
      <w:r w:rsidRPr="00BD5126">
        <w:t>Realizacija projektov ter poraba sredstev</w:t>
      </w:r>
    </w:p>
    <w:p w14:paraId="221BC776" w14:textId="230D815D" w:rsidR="00100D36" w:rsidRPr="00BD5126" w:rsidRDefault="00100D36" w:rsidP="00100D36">
      <w:pPr>
        <w:jc w:val="both"/>
      </w:pPr>
      <w:r w:rsidRPr="00BD5126">
        <w:t xml:space="preserve">Prijavljeni projekti morajo biti v celoti realizirani v letu </w:t>
      </w:r>
      <w:r w:rsidR="00C0635B" w:rsidRPr="00BD5126">
        <w:t>2026</w:t>
      </w:r>
      <w:r w:rsidRPr="00BD5126">
        <w:t>.</w:t>
      </w:r>
    </w:p>
    <w:p w14:paraId="1EBFC6D2" w14:textId="77777777" w:rsidR="00100D36" w:rsidRPr="00BD5126" w:rsidRDefault="00100D36" w:rsidP="00100D36">
      <w:pPr>
        <w:jc w:val="both"/>
      </w:pPr>
      <w:r w:rsidRPr="00BD5126">
        <w:t>Natančni roki, v katerih morajo biti projekti realizirani in sredstva porabljena ter obseg in dinamika izplačil s strani MONG so določeni v osnutkih pogodb o sofinanciranju projekta, ki sta sestavni del razpisne dokumentacije.</w:t>
      </w:r>
    </w:p>
    <w:p w14:paraId="3E3B2EAC" w14:textId="77777777" w:rsidR="00100D36" w:rsidRPr="00BD5126" w:rsidRDefault="00100D36" w:rsidP="00100D36">
      <w:pPr>
        <w:jc w:val="both"/>
      </w:pPr>
      <w:r w:rsidRPr="00BD5126">
        <w:t>MONG bo odobrena sredstva za sofinanciranje projektov nakazovala skladno z veljavnimi predpisi o izvrševanju proračuna.</w:t>
      </w:r>
    </w:p>
    <w:p w14:paraId="7F7A41CA" w14:textId="77777777" w:rsidR="00100D36" w:rsidRPr="00BD5126" w:rsidRDefault="00100D36" w:rsidP="00100D36">
      <w:pPr>
        <w:jc w:val="both"/>
      </w:pPr>
      <w:r w:rsidRPr="00BD5126">
        <w:t>Podrobnejša navodila o predložitvi dokazil o realizaciji projekta in o porabi sredstev ter načinu dokazovanja sredstev se določi v razpisni dokumentaciji.</w:t>
      </w:r>
    </w:p>
    <w:p w14:paraId="103AE343" w14:textId="160DE7EF" w:rsidR="00100D36" w:rsidRPr="00BD5126" w:rsidRDefault="00100D36" w:rsidP="00C0635B">
      <w:pPr>
        <w:pStyle w:val="Naslov2"/>
        <w:numPr>
          <w:ilvl w:val="0"/>
          <w:numId w:val="14"/>
        </w:numPr>
        <w:spacing w:line="240" w:lineRule="auto"/>
      </w:pPr>
      <w:r w:rsidRPr="00BD5126">
        <w:t>Način predložitve in vsebina vlog</w:t>
      </w:r>
    </w:p>
    <w:p w14:paraId="3E2D4500" w14:textId="3504CC36" w:rsidR="00100D36" w:rsidRPr="00BD5126" w:rsidRDefault="00100D36" w:rsidP="00100D36">
      <w:pPr>
        <w:jc w:val="both"/>
      </w:pPr>
      <w:r w:rsidRPr="00BD5126">
        <w:t xml:space="preserve">Prijava na javni razpis se izvede elektronsko v spletni aplikaciji na naslovu </w:t>
      </w:r>
      <w:r w:rsidRPr="00574D09">
        <w:t>MONG - občinski razpisi</w:t>
      </w:r>
      <w:r w:rsidRPr="00BD5126">
        <w:t xml:space="preserve">, pod rubriko </w:t>
      </w:r>
      <w:r w:rsidR="003C5C9E" w:rsidRPr="00BD5126">
        <w:t>Hitri dostop</w:t>
      </w:r>
      <w:r w:rsidR="009B186F" w:rsidRPr="00BD5126">
        <w:t>, Portal – MONG javni razpisi.</w:t>
      </w:r>
    </w:p>
    <w:p w14:paraId="69BCEBA9" w14:textId="274A8A43" w:rsidR="00100D36" w:rsidRPr="00BD5126" w:rsidRDefault="00100D36" w:rsidP="00100D36">
      <w:pPr>
        <w:jc w:val="both"/>
      </w:pPr>
      <w:r w:rsidRPr="00BD5126">
        <w:t xml:space="preserve">Po uspešno oddani elektronski prijavi se prijavitelju formira dokument v pdf obliki (izjava o sprejemanju pogojev razpisa). Podpisano in žigosano izjavo v zaprti kuverti pošljite kot priporočeno pošiljko na naslov: Mestna občina Nova Gorica, Trg Edvarda Kardelja 1, 5000 Nova Gorica, ali jo osebno oddajte v sprejemni pisarni MONG (pritličje desno, soba 12), z oznako »Javni razpis kulturni projekti </w:t>
      </w:r>
      <w:r w:rsidR="00C0635B" w:rsidRPr="00BD5126">
        <w:t>2026</w:t>
      </w:r>
      <w:r w:rsidRPr="00BD5126">
        <w:t xml:space="preserve"> – ne odpiraj«. Na ovojnici mora biti naveden tudi naziv in naslov prijavitelja.</w:t>
      </w:r>
    </w:p>
    <w:p w14:paraId="0FA9AA5C" w14:textId="54CC107D" w:rsidR="00100D36" w:rsidRPr="00BD5126" w:rsidRDefault="00100D36" w:rsidP="00100D36">
      <w:pPr>
        <w:jc w:val="both"/>
      </w:pPr>
      <w:r w:rsidRPr="00BD5126">
        <w:t xml:space="preserve">Za pravočasno se šteje prijava, ki je do izteka roka, to je najkasneje do </w:t>
      </w:r>
      <w:r w:rsidR="009B186F" w:rsidRPr="00BD5126">
        <w:t>06.03.2026</w:t>
      </w:r>
      <w:r w:rsidRPr="00BD5126">
        <w:t xml:space="preserve">, oddana na pošti kot priporočena pošiljka oziroma je do </w:t>
      </w:r>
      <w:r w:rsidR="00BD65B2" w:rsidRPr="00BD5126">
        <w:t>06.03.2026</w:t>
      </w:r>
      <w:r w:rsidRPr="00BD5126">
        <w:t xml:space="preserve"> </w:t>
      </w:r>
      <w:r w:rsidR="0070718C" w:rsidRPr="00BD5126">
        <w:t xml:space="preserve">v času uradnih ur </w:t>
      </w:r>
      <w:r w:rsidRPr="00BD5126">
        <w:t>vložena v sprejemno pisarno MONG (pritličje desno/soba 12).</w:t>
      </w:r>
    </w:p>
    <w:p w14:paraId="7AF9377A" w14:textId="77777777" w:rsidR="00100D36" w:rsidRPr="00BD5126" w:rsidRDefault="00100D36" w:rsidP="00100D36">
      <w:pPr>
        <w:jc w:val="both"/>
      </w:pPr>
      <w:r w:rsidRPr="00BD5126">
        <w:t>V primeru dopolnjevanja vloge, ki jo prijavitelj lahko dopolnjuje do izteka roka za prijavo na javni razpis, je potrebno poleg oznake javnega razpisa ter naziva in naslova prijavitelja navesti tudi besedo »Dopolnitev«.</w:t>
      </w:r>
    </w:p>
    <w:p w14:paraId="45D23C08" w14:textId="77777777" w:rsidR="00100D36" w:rsidRPr="00BD5126" w:rsidRDefault="00100D36" w:rsidP="00100D36">
      <w:pPr>
        <w:jc w:val="both"/>
      </w:pPr>
      <w:r w:rsidRPr="00BD5126">
        <w:t>Oddana vloga pomeni, da se prijavitelj strinja s pogoji in kriteriji tega javnega razpisa ter celotno razpisno dokumentacijo.</w:t>
      </w:r>
    </w:p>
    <w:p w14:paraId="2D55CA5C" w14:textId="77777777" w:rsidR="00100D36" w:rsidRPr="00BD5126" w:rsidRDefault="00100D36" w:rsidP="00100D36">
      <w:pPr>
        <w:jc w:val="both"/>
      </w:pPr>
      <w:r w:rsidRPr="00BD5126">
        <w:t>Postopek dodeljevanja sredstev vodi Oddelek za družbene dejavnosti, ocenjevanje in vrednotenje ustreznih vlog pa izvede strokovna komisija.</w:t>
      </w:r>
    </w:p>
    <w:p w14:paraId="4F4101E3" w14:textId="2B3E6DCA" w:rsidR="00100D36" w:rsidRPr="00BD5126" w:rsidRDefault="00100D36" w:rsidP="00C0635B">
      <w:pPr>
        <w:pStyle w:val="Naslov2"/>
        <w:numPr>
          <w:ilvl w:val="0"/>
          <w:numId w:val="14"/>
        </w:numPr>
        <w:spacing w:line="240" w:lineRule="auto"/>
      </w:pPr>
      <w:r w:rsidRPr="00BD5126">
        <w:lastRenderedPageBreak/>
        <w:t>Odpiranje vlog in obveščanje o izidu</w:t>
      </w:r>
    </w:p>
    <w:p w14:paraId="0BF252D6" w14:textId="5266E62A" w:rsidR="00100D36" w:rsidRPr="00BD5126" w:rsidRDefault="00100D36" w:rsidP="00100D36">
      <w:pPr>
        <w:jc w:val="both"/>
        <w:rPr>
          <w:b/>
          <w:bCs w:val="0"/>
        </w:rPr>
      </w:pPr>
      <w:r w:rsidRPr="00BD5126">
        <w:t xml:space="preserve">Predvideni datum odpiranja vlog bo v četrtek, </w:t>
      </w:r>
      <w:r w:rsidR="00DA5C72" w:rsidRPr="00BD5126">
        <w:t>12.03.2026</w:t>
      </w:r>
      <w:r w:rsidRPr="00BD5126">
        <w:t>, ob 1</w:t>
      </w:r>
      <w:r w:rsidR="0039632A" w:rsidRPr="00BD5126">
        <w:t>3</w:t>
      </w:r>
      <w:r w:rsidRPr="00BD5126">
        <w:t>.00 uri v  prostorih MONG.</w:t>
      </w:r>
    </w:p>
    <w:p w14:paraId="6A608866" w14:textId="77777777" w:rsidR="00100D36" w:rsidRPr="00BD5126" w:rsidRDefault="00100D36" w:rsidP="00100D36">
      <w:pPr>
        <w:jc w:val="both"/>
      </w:pPr>
      <w:r w:rsidRPr="00BD5126">
        <w:t>Odpiranju vlog sme prisostvovati vsak prijavitelj, ki kandidira na javnem razpisu.</w:t>
      </w:r>
    </w:p>
    <w:p w14:paraId="145D94CA" w14:textId="77777777" w:rsidR="00100D36" w:rsidRPr="00BD5126" w:rsidRDefault="00100D36" w:rsidP="00100D36">
      <w:pPr>
        <w:jc w:val="both"/>
      </w:pPr>
      <w:r w:rsidRPr="00BD5126">
        <w:t>MONG bo v zakonskem roku od zaključka odpiranja vlog z odločbo obvestila prijavitelje o odobritvi ter deležu sofinanciranja ali o zavrnitvi sofinanciranja projekta. Rezultati javnega razpisa bodo objavljeni na spletni strani MONG.</w:t>
      </w:r>
    </w:p>
    <w:p w14:paraId="6521B3CA" w14:textId="77777777" w:rsidR="00100D36" w:rsidRPr="00BD5126" w:rsidRDefault="00100D36" w:rsidP="00100D36">
      <w:pPr>
        <w:jc w:val="both"/>
      </w:pPr>
      <w:r w:rsidRPr="00BD5126">
        <w:t>Župan lahko do izdaje odločb ustavi postopek javnega razpisa. Župan sprejme sklep o ustavitvi postopka, ki se objavi na način, kot je bilo objavljeno obvestilo o objavi javnega razpisa oz. besedilo javnega razpisa.</w:t>
      </w:r>
    </w:p>
    <w:p w14:paraId="58FB453E" w14:textId="77777777" w:rsidR="00100D36" w:rsidRPr="00BD5126" w:rsidRDefault="00100D36" w:rsidP="00A762E6">
      <w:pPr>
        <w:spacing w:after="0"/>
        <w:jc w:val="both"/>
      </w:pPr>
      <w:r w:rsidRPr="00BD5126">
        <w:t>Za formalno nepopolno vlogo se šteje:</w:t>
      </w:r>
    </w:p>
    <w:p w14:paraId="3A9C34D7" w14:textId="77777777" w:rsidR="00100D36" w:rsidRPr="00BD5126" w:rsidRDefault="00100D36" w:rsidP="00A762E6">
      <w:pPr>
        <w:pStyle w:val="Odstavekseznama"/>
        <w:numPr>
          <w:ilvl w:val="0"/>
          <w:numId w:val="9"/>
        </w:numPr>
        <w:spacing w:after="0"/>
        <w:ind w:right="0"/>
        <w:jc w:val="both"/>
      </w:pPr>
      <w:r w:rsidRPr="00BD5126">
        <w:t>vloga, ki ne bo vsebovala obveznih prilog,</w:t>
      </w:r>
    </w:p>
    <w:p w14:paraId="15A3E35D" w14:textId="77777777" w:rsidR="00100D36" w:rsidRPr="00BD5126" w:rsidRDefault="00100D36" w:rsidP="00A762E6">
      <w:pPr>
        <w:pStyle w:val="Odstavekseznama"/>
        <w:numPr>
          <w:ilvl w:val="0"/>
          <w:numId w:val="9"/>
        </w:numPr>
        <w:ind w:right="0"/>
        <w:jc w:val="both"/>
      </w:pPr>
      <w:r w:rsidRPr="00BD5126">
        <w:t>vloga, ki ne bo vsebovala vseh obveznih dokazil in drugih sestavin, ki jih zahteva besedilo javnega razpisa in razpisna dokumentacija.</w:t>
      </w:r>
    </w:p>
    <w:p w14:paraId="4B5636A9" w14:textId="347BC925" w:rsidR="00100D36" w:rsidRPr="00BD5126" w:rsidRDefault="00100D36" w:rsidP="00100D36">
      <w:pPr>
        <w:jc w:val="both"/>
        <w:rPr>
          <w:color w:val="EE0000"/>
        </w:rPr>
      </w:pPr>
      <w:r w:rsidRPr="00BD5126">
        <w:t xml:space="preserve">Za prepozno se šteje vloga, ki ne bo prispela na naslov naročnika, najkasneje do </w:t>
      </w:r>
      <w:r w:rsidR="00A762E6" w:rsidRPr="00BD5126">
        <w:t>06.03.2026</w:t>
      </w:r>
      <w:r w:rsidR="0070718C" w:rsidRPr="00BD5126">
        <w:t xml:space="preserve">. </w:t>
      </w:r>
    </w:p>
    <w:p w14:paraId="370E670B" w14:textId="77777777" w:rsidR="00100D36" w:rsidRDefault="00100D36" w:rsidP="00100D36">
      <w:pPr>
        <w:spacing w:after="480"/>
        <w:jc w:val="both"/>
      </w:pPr>
      <w:r w:rsidRPr="00BD5126">
        <w:t>Za neupravičeno osebo se šteje prijavitelj vloge, ki ne izpolnjuje razpisnih pogojev.</w:t>
      </w:r>
    </w:p>
    <w:p w14:paraId="17B67168" w14:textId="2149A3C7" w:rsidR="0029731F" w:rsidRDefault="00767AB3" w:rsidP="00767AB3">
      <w:pPr>
        <w:spacing w:after="0"/>
        <w:jc w:val="both"/>
      </w:pPr>
      <w:r>
        <w:t>Številka: 610-32/2025-3</w:t>
      </w:r>
    </w:p>
    <w:p w14:paraId="6AB5B2DE" w14:textId="5D4B35E3" w:rsidR="00767AB3" w:rsidRPr="00BD5126" w:rsidRDefault="00767AB3" w:rsidP="00767AB3">
      <w:pPr>
        <w:spacing w:after="0"/>
        <w:jc w:val="both"/>
      </w:pPr>
      <w:r>
        <w:t>Datum: 29.01.2026</w:t>
      </w:r>
    </w:p>
    <w:p w14:paraId="3E93D3C2" w14:textId="70D003B5" w:rsidR="00100D36" w:rsidRPr="00BD5126" w:rsidRDefault="0086518C" w:rsidP="0086518C">
      <w:pPr>
        <w:spacing w:after="0"/>
        <w:ind w:left="4249" w:firstLine="707"/>
        <w:jc w:val="both"/>
        <w:rPr>
          <w:rFonts w:eastAsiaTheme="majorEastAsia" w:cstheme="majorBidi"/>
          <w:b/>
          <w:color w:val="2F5496" w:themeColor="accent1" w:themeShade="BF"/>
          <w:sz w:val="24"/>
          <w:szCs w:val="26"/>
        </w:rPr>
      </w:pPr>
      <w:r w:rsidRPr="00BD5126">
        <w:rPr>
          <w:rFonts w:eastAsiaTheme="majorEastAsia" w:cstheme="majorBidi"/>
          <w:b/>
          <w:color w:val="2F5496" w:themeColor="accent1" w:themeShade="BF"/>
          <w:sz w:val="24"/>
          <w:szCs w:val="26"/>
        </w:rPr>
        <w:t>M</w:t>
      </w:r>
      <w:r w:rsidR="00100D36" w:rsidRPr="00BD5126">
        <w:rPr>
          <w:rFonts w:eastAsiaTheme="majorEastAsia" w:cstheme="majorBidi"/>
          <w:b/>
          <w:color w:val="2F5496" w:themeColor="accent1" w:themeShade="BF"/>
          <w:sz w:val="24"/>
          <w:szCs w:val="26"/>
        </w:rPr>
        <w:t>estna občina Nova Gorica</w:t>
      </w:r>
    </w:p>
    <w:p w14:paraId="482F8D3F" w14:textId="77777777" w:rsidR="00100D36" w:rsidRPr="0086518C" w:rsidRDefault="00100D36" w:rsidP="0086518C">
      <w:pPr>
        <w:spacing w:after="0"/>
        <w:ind w:left="4957" w:firstLine="707"/>
        <w:jc w:val="both"/>
        <w:rPr>
          <w:rFonts w:eastAsiaTheme="majorEastAsia" w:cstheme="majorBidi"/>
          <w:b/>
          <w:color w:val="2F5496" w:themeColor="accent1" w:themeShade="BF"/>
          <w:sz w:val="24"/>
          <w:szCs w:val="26"/>
        </w:rPr>
      </w:pPr>
      <w:r w:rsidRPr="00BD5126">
        <w:rPr>
          <w:rFonts w:eastAsiaTheme="majorEastAsia" w:cstheme="majorBidi"/>
          <w:b/>
          <w:color w:val="2F5496" w:themeColor="accent1" w:themeShade="BF"/>
          <w:sz w:val="24"/>
          <w:szCs w:val="26"/>
        </w:rPr>
        <w:t>Samo Turel</w:t>
      </w:r>
    </w:p>
    <w:p w14:paraId="5715013C" w14:textId="77777777" w:rsidR="00A45635" w:rsidRPr="0086518C" w:rsidRDefault="00A45635" w:rsidP="00A45635">
      <w:pPr>
        <w:pStyle w:val="Naslovnik"/>
        <w:spacing w:before="0" w:after="0" w:line="240" w:lineRule="auto"/>
        <w:rPr>
          <w:rFonts w:eastAsiaTheme="majorEastAsia" w:cstheme="majorBidi"/>
          <w:b/>
          <w:color w:val="2F5496" w:themeColor="accent1" w:themeShade="BF"/>
          <w:sz w:val="24"/>
          <w:szCs w:val="26"/>
        </w:rPr>
      </w:pPr>
    </w:p>
    <w:p w14:paraId="540D56C9" w14:textId="77777777" w:rsidR="00A45635" w:rsidRPr="0005678C" w:rsidRDefault="00A45635" w:rsidP="00A45635">
      <w:pPr>
        <w:pStyle w:val="Naslovnik"/>
        <w:spacing w:before="0" w:after="0" w:line="240" w:lineRule="auto"/>
        <w:rPr>
          <w:sz w:val="20"/>
          <w:szCs w:val="20"/>
        </w:rPr>
      </w:pPr>
    </w:p>
    <w:sectPr w:rsidR="00A45635" w:rsidRPr="0005678C" w:rsidSect="00722FAC">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3E22" w14:textId="77777777" w:rsidR="00F05184" w:rsidRDefault="00F05184" w:rsidP="003F3284">
      <w:r>
        <w:separator/>
      </w:r>
    </w:p>
  </w:endnote>
  <w:endnote w:type="continuationSeparator" w:id="0">
    <w:p w14:paraId="1DDAF111" w14:textId="77777777" w:rsidR="00F05184" w:rsidRDefault="00F05184"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D114" w14:textId="77777777" w:rsidR="00F05184" w:rsidRDefault="00F05184" w:rsidP="003F3284">
      <w:r>
        <w:separator/>
      </w:r>
    </w:p>
  </w:footnote>
  <w:footnote w:type="continuationSeparator" w:id="0">
    <w:p w14:paraId="59D8D1E5" w14:textId="77777777" w:rsidR="00F05184" w:rsidRDefault="00F05184"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F675D39"/>
    <w:multiLevelType w:val="hybridMultilevel"/>
    <w:tmpl w:val="06F41350"/>
    <w:lvl w:ilvl="0" w:tplc="4F3AE51C">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 w15:restartNumberingAfterBreak="0">
    <w:nsid w:val="24C143FB"/>
    <w:multiLevelType w:val="hybridMultilevel"/>
    <w:tmpl w:val="F6ACB1FC"/>
    <w:lvl w:ilvl="0" w:tplc="A882129A">
      <w:start w:val="1"/>
      <w:numFmt w:val="bullet"/>
      <w:lvlText w:val="-"/>
      <w:lvlJc w:val="left"/>
      <w:rPr>
        <w:rFonts w:ascii="Arial" w:eastAsia="Calibr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6F3F16"/>
    <w:multiLevelType w:val="hybridMultilevel"/>
    <w:tmpl w:val="0632F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A5E6BF5"/>
    <w:multiLevelType w:val="hybridMultilevel"/>
    <w:tmpl w:val="A3FEDBFA"/>
    <w:lvl w:ilvl="0" w:tplc="5076412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44430C66"/>
    <w:multiLevelType w:val="hybridMultilevel"/>
    <w:tmpl w:val="1054C770"/>
    <w:lvl w:ilvl="0" w:tplc="A882129A">
      <w:start w:val="1"/>
      <w:numFmt w:val="bullet"/>
      <w:lvlText w:val="-"/>
      <w:lvlJc w:val="left"/>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4EA8595E"/>
    <w:multiLevelType w:val="hybridMultilevel"/>
    <w:tmpl w:val="E876BF12"/>
    <w:lvl w:ilvl="0" w:tplc="D2F82B5E">
      <w:numFmt w:val="bullet"/>
      <w:lvlText w:val="-"/>
      <w:lvlJc w:val="left"/>
      <w:rPr>
        <w:rFonts w:ascii="Arial" w:eastAsia="Calibri" w:hAnsi="Arial" w:cs="Arial" w:hint="default"/>
      </w:rPr>
    </w:lvl>
    <w:lvl w:ilvl="1" w:tplc="04240003" w:tentative="1">
      <w:start w:val="1"/>
      <w:numFmt w:val="bullet"/>
      <w:lvlText w:val="o"/>
      <w:lvlJc w:val="left"/>
      <w:pPr>
        <w:ind w:left="3530" w:hanging="360"/>
      </w:pPr>
      <w:rPr>
        <w:rFonts w:ascii="Courier New" w:hAnsi="Courier New" w:cs="Courier New" w:hint="default"/>
      </w:rPr>
    </w:lvl>
    <w:lvl w:ilvl="2" w:tplc="04240005" w:tentative="1">
      <w:start w:val="1"/>
      <w:numFmt w:val="bullet"/>
      <w:lvlText w:val=""/>
      <w:lvlJc w:val="left"/>
      <w:pPr>
        <w:ind w:left="4250" w:hanging="360"/>
      </w:pPr>
      <w:rPr>
        <w:rFonts w:ascii="Wingdings" w:hAnsi="Wingdings" w:hint="default"/>
      </w:rPr>
    </w:lvl>
    <w:lvl w:ilvl="3" w:tplc="04240001" w:tentative="1">
      <w:start w:val="1"/>
      <w:numFmt w:val="bullet"/>
      <w:lvlText w:val=""/>
      <w:lvlJc w:val="left"/>
      <w:pPr>
        <w:ind w:left="4970" w:hanging="360"/>
      </w:pPr>
      <w:rPr>
        <w:rFonts w:ascii="Symbol" w:hAnsi="Symbol" w:hint="default"/>
      </w:rPr>
    </w:lvl>
    <w:lvl w:ilvl="4" w:tplc="04240003" w:tentative="1">
      <w:start w:val="1"/>
      <w:numFmt w:val="bullet"/>
      <w:lvlText w:val="o"/>
      <w:lvlJc w:val="left"/>
      <w:pPr>
        <w:ind w:left="5690" w:hanging="360"/>
      </w:pPr>
      <w:rPr>
        <w:rFonts w:ascii="Courier New" w:hAnsi="Courier New" w:cs="Courier New" w:hint="default"/>
      </w:rPr>
    </w:lvl>
    <w:lvl w:ilvl="5" w:tplc="04240005" w:tentative="1">
      <w:start w:val="1"/>
      <w:numFmt w:val="bullet"/>
      <w:lvlText w:val=""/>
      <w:lvlJc w:val="left"/>
      <w:pPr>
        <w:ind w:left="6410" w:hanging="360"/>
      </w:pPr>
      <w:rPr>
        <w:rFonts w:ascii="Wingdings" w:hAnsi="Wingdings" w:hint="default"/>
      </w:rPr>
    </w:lvl>
    <w:lvl w:ilvl="6" w:tplc="04240001" w:tentative="1">
      <w:start w:val="1"/>
      <w:numFmt w:val="bullet"/>
      <w:lvlText w:val=""/>
      <w:lvlJc w:val="left"/>
      <w:pPr>
        <w:ind w:left="7130" w:hanging="360"/>
      </w:pPr>
      <w:rPr>
        <w:rFonts w:ascii="Symbol" w:hAnsi="Symbol" w:hint="default"/>
      </w:rPr>
    </w:lvl>
    <w:lvl w:ilvl="7" w:tplc="04240003" w:tentative="1">
      <w:start w:val="1"/>
      <w:numFmt w:val="bullet"/>
      <w:lvlText w:val="o"/>
      <w:lvlJc w:val="left"/>
      <w:pPr>
        <w:ind w:left="7850" w:hanging="360"/>
      </w:pPr>
      <w:rPr>
        <w:rFonts w:ascii="Courier New" w:hAnsi="Courier New" w:cs="Courier New" w:hint="default"/>
      </w:rPr>
    </w:lvl>
    <w:lvl w:ilvl="8" w:tplc="04240005" w:tentative="1">
      <w:start w:val="1"/>
      <w:numFmt w:val="bullet"/>
      <w:lvlText w:val=""/>
      <w:lvlJc w:val="left"/>
      <w:pPr>
        <w:ind w:left="8570" w:hanging="360"/>
      </w:pPr>
      <w:rPr>
        <w:rFonts w:ascii="Wingdings" w:hAnsi="Wingdings" w:hint="default"/>
      </w:rPr>
    </w:lvl>
  </w:abstractNum>
  <w:abstractNum w:abstractNumId="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7C441F"/>
    <w:multiLevelType w:val="multilevel"/>
    <w:tmpl w:val="63646392"/>
    <w:lvl w:ilvl="0">
      <w:start w:val="1"/>
      <w:numFmt w:val="decimal"/>
      <w:lvlText w:val="%1."/>
      <w:lvlJc w:val="left"/>
      <w:pPr>
        <w:ind w:left="1068" w:hanging="360"/>
      </w:pPr>
      <w:rPr>
        <w:rFonts w:hint="default"/>
      </w:rPr>
    </w:lvl>
    <w:lvl w:ilvl="1">
      <w:start w:val="1"/>
      <w:numFmt w:val="lowerLetter"/>
      <w:lvlText w:val="%1.%2"/>
      <w:lvlJc w:val="left"/>
      <w:pPr>
        <w:ind w:left="1428" w:hanging="360"/>
      </w:pPr>
      <w:rPr>
        <w:rFonts w:hint="default"/>
      </w:rPr>
    </w:lvl>
    <w:lvl w:ilvl="2">
      <w:start w:val="1"/>
      <w:numFmt w:val="lowerLetter"/>
      <w:lvlText w:val="%1%2%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9"/>
  </w:num>
  <w:num w:numId="2" w16cid:durableId="1564440524">
    <w:abstractNumId w:val="12"/>
  </w:num>
  <w:num w:numId="3" w16cid:durableId="1989281952">
    <w:abstractNumId w:val="0"/>
  </w:num>
  <w:num w:numId="4" w16cid:durableId="457340087">
    <w:abstractNumId w:val="5"/>
  </w:num>
  <w:num w:numId="5" w16cid:durableId="2029018289">
    <w:abstractNumId w:val="11"/>
  </w:num>
  <w:num w:numId="6" w16cid:durableId="1927811028">
    <w:abstractNumId w:val="13"/>
  </w:num>
  <w:num w:numId="7" w16cid:durableId="1159418049">
    <w:abstractNumId w:val="1"/>
  </w:num>
  <w:num w:numId="8" w16cid:durableId="1221095932">
    <w:abstractNumId w:val="7"/>
  </w:num>
  <w:num w:numId="9" w16cid:durableId="613291792">
    <w:abstractNumId w:val="3"/>
  </w:num>
  <w:num w:numId="10" w16cid:durableId="1889874602">
    <w:abstractNumId w:val="8"/>
  </w:num>
  <w:num w:numId="11" w16cid:durableId="788545742">
    <w:abstractNumId w:val="4"/>
  </w:num>
  <w:num w:numId="12" w16cid:durableId="2072118103">
    <w:abstractNumId w:val="10"/>
  </w:num>
  <w:num w:numId="13" w16cid:durableId="1662734208">
    <w:abstractNumId w:val="2"/>
  </w:num>
  <w:num w:numId="14" w16cid:durableId="44334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4995"/>
    <w:rsid w:val="00035268"/>
    <w:rsid w:val="00041639"/>
    <w:rsid w:val="00041AD3"/>
    <w:rsid w:val="0005678C"/>
    <w:rsid w:val="00083CA2"/>
    <w:rsid w:val="00086597"/>
    <w:rsid w:val="000A3EB1"/>
    <w:rsid w:val="000C2297"/>
    <w:rsid w:val="000D6C77"/>
    <w:rsid w:val="00100D36"/>
    <w:rsid w:val="00101B99"/>
    <w:rsid w:val="00107709"/>
    <w:rsid w:val="00107D24"/>
    <w:rsid w:val="00110838"/>
    <w:rsid w:val="001137D1"/>
    <w:rsid w:val="00120F77"/>
    <w:rsid w:val="00145A3D"/>
    <w:rsid w:val="001479A1"/>
    <w:rsid w:val="001776A5"/>
    <w:rsid w:val="0018128C"/>
    <w:rsid w:val="00184E64"/>
    <w:rsid w:val="00192B9A"/>
    <w:rsid w:val="001A1C94"/>
    <w:rsid w:val="001B21C9"/>
    <w:rsid w:val="001B2389"/>
    <w:rsid w:val="001C3923"/>
    <w:rsid w:val="001C6438"/>
    <w:rsid w:val="001D7013"/>
    <w:rsid w:val="001F4732"/>
    <w:rsid w:val="00214025"/>
    <w:rsid w:val="0022273D"/>
    <w:rsid w:val="0022510F"/>
    <w:rsid w:val="00226E0E"/>
    <w:rsid w:val="002272A3"/>
    <w:rsid w:val="002512FC"/>
    <w:rsid w:val="0028430E"/>
    <w:rsid w:val="00284C55"/>
    <w:rsid w:val="00287D4F"/>
    <w:rsid w:val="0029731F"/>
    <w:rsid w:val="002A1067"/>
    <w:rsid w:val="002B08B0"/>
    <w:rsid w:val="002B4668"/>
    <w:rsid w:val="002C02E1"/>
    <w:rsid w:val="002E23A6"/>
    <w:rsid w:val="002F26F0"/>
    <w:rsid w:val="00305974"/>
    <w:rsid w:val="00327F2D"/>
    <w:rsid w:val="00345529"/>
    <w:rsid w:val="003463AA"/>
    <w:rsid w:val="00366240"/>
    <w:rsid w:val="0039457F"/>
    <w:rsid w:val="00394B8A"/>
    <w:rsid w:val="0039632A"/>
    <w:rsid w:val="003A0AE4"/>
    <w:rsid w:val="003A2C22"/>
    <w:rsid w:val="003B11F7"/>
    <w:rsid w:val="003B2550"/>
    <w:rsid w:val="003C5C9E"/>
    <w:rsid w:val="003E09CD"/>
    <w:rsid w:val="003E6489"/>
    <w:rsid w:val="003E75DF"/>
    <w:rsid w:val="003F3284"/>
    <w:rsid w:val="004021B3"/>
    <w:rsid w:val="00404823"/>
    <w:rsid w:val="004129EE"/>
    <w:rsid w:val="00454265"/>
    <w:rsid w:val="004543D7"/>
    <w:rsid w:val="00454464"/>
    <w:rsid w:val="00455DDC"/>
    <w:rsid w:val="00463FA4"/>
    <w:rsid w:val="0046621F"/>
    <w:rsid w:val="00486063"/>
    <w:rsid w:val="00487756"/>
    <w:rsid w:val="004953C5"/>
    <w:rsid w:val="004A325F"/>
    <w:rsid w:val="004A535E"/>
    <w:rsid w:val="004B070B"/>
    <w:rsid w:val="004D0582"/>
    <w:rsid w:val="004E19E6"/>
    <w:rsid w:val="004E242E"/>
    <w:rsid w:val="004F5FDB"/>
    <w:rsid w:val="00501EB2"/>
    <w:rsid w:val="00504A23"/>
    <w:rsid w:val="005210F0"/>
    <w:rsid w:val="005275DD"/>
    <w:rsid w:val="005361AF"/>
    <w:rsid w:val="00550677"/>
    <w:rsid w:val="00555B55"/>
    <w:rsid w:val="00561E5F"/>
    <w:rsid w:val="005741FA"/>
    <w:rsid w:val="00574D09"/>
    <w:rsid w:val="00581BE7"/>
    <w:rsid w:val="00592FB1"/>
    <w:rsid w:val="005C4702"/>
    <w:rsid w:val="005C5811"/>
    <w:rsid w:val="005C6640"/>
    <w:rsid w:val="005D45E8"/>
    <w:rsid w:val="005E5921"/>
    <w:rsid w:val="00606D60"/>
    <w:rsid w:val="00611F95"/>
    <w:rsid w:val="00652F96"/>
    <w:rsid w:val="006620F0"/>
    <w:rsid w:val="006752A2"/>
    <w:rsid w:val="006A1451"/>
    <w:rsid w:val="006B42F9"/>
    <w:rsid w:val="006B510E"/>
    <w:rsid w:val="006D6FBD"/>
    <w:rsid w:val="007063A4"/>
    <w:rsid w:val="0070718C"/>
    <w:rsid w:val="0071592F"/>
    <w:rsid w:val="0071791D"/>
    <w:rsid w:val="00722FAC"/>
    <w:rsid w:val="00724504"/>
    <w:rsid w:val="00734A18"/>
    <w:rsid w:val="00741DFE"/>
    <w:rsid w:val="0075310B"/>
    <w:rsid w:val="00767AB3"/>
    <w:rsid w:val="007913E2"/>
    <w:rsid w:val="0079172C"/>
    <w:rsid w:val="00791DB2"/>
    <w:rsid w:val="00792AB2"/>
    <w:rsid w:val="00793022"/>
    <w:rsid w:val="007A5BF8"/>
    <w:rsid w:val="007C0DEA"/>
    <w:rsid w:val="007C58DF"/>
    <w:rsid w:val="007C5B3A"/>
    <w:rsid w:val="007D2B04"/>
    <w:rsid w:val="007D3693"/>
    <w:rsid w:val="007E04A2"/>
    <w:rsid w:val="007F4356"/>
    <w:rsid w:val="00802CEC"/>
    <w:rsid w:val="00810854"/>
    <w:rsid w:val="008515CD"/>
    <w:rsid w:val="0085348D"/>
    <w:rsid w:val="00861A32"/>
    <w:rsid w:val="0086518C"/>
    <w:rsid w:val="00873CAB"/>
    <w:rsid w:val="008759F5"/>
    <w:rsid w:val="008802E3"/>
    <w:rsid w:val="008821D4"/>
    <w:rsid w:val="00886371"/>
    <w:rsid w:val="008904D0"/>
    <w:rsid w:val="00893C06"/>
    <w:rsid w:val="00894087"/>
    <w:rsid w:val="008A5F4D"/>
    <w:rsid w:val="008E5F76"/>
    <w:rsid w:val="00904500"/>
    <w:rsid w:val="00905F98"/>
    <w:rsid w:val="00923A6E"/>
    <w:rsid w:val="0093138F"/>
    <w:rsid w:val="00942356"/>
    <w:rsid w:val="00953229"/>
    <w:rsid w:val="009805C0"/>
    <w:rsid w:val="0099670D"/>
    <w:rsid w:val="009A4EA9"/>
    <w:rsid w:val="009B186F"/>
    <w:rsid w:val="009B2095"/>
    <w:rsid w:val="009D3904"/>
    <w:rsid w:val="009F1C0A"/>
    <w:rsid w:val="00A07EDB"/>
    <w:rsid w:val="00A4048E"/>
    <w:rsid w:val="00A45635"/>
    <w:rsid w:val="00A46ADC"/>
    <w:rsid w:val="00A5298C"/>
    <w:rsid w:val="00A55865"/>
    <w:rsid w:val="00A5726D"/>
    <w:rsid w:val="00A71BD7"/>
    <w:rsid w:val="00A762E6"/>
    <w:rsid w:val="00A9127C"/>
    <w:rsid w:val="00A95A58"/>
    <w:rsid w:val="00A97F91"/>
    <w:rsid w:val="00AA4BFD"/>
    <w:rsid w:val="00B32E03"/>
    <w:rsid w:val="00B358AC"/>
    <w:rsid w:val="00B754E3"/>
    <w:rsid w:val="00B84570"/>
    <w:rsid w:val="00B85D10"/>
    <w:rsid w:val="00BA46CD"/>
    <w:rsid w:val="00BD5126"/>
    <w:rsid w:val="00BD65B2"/>
    <w:rsid w:val="00BF7B56"/>
    <w:rsid w:val="00C0635B"/>
    <w:rsid w:val="00C072E2"/>
    <w:rsid w:val="00C10614"/>
    <w:rsid w:val="00C11C82"/>
    <w:rsid w:val="00C12D30"/>
    <w:rsid w:val="00C24844"/>
    <w:rsid w:val="00C50CE7"/>
    <w:rsid w:val="00C552CC"/>
    <w:rsid w:val="00C7627D"/>
    <w:rsid w:val="00C762F1"/>
    <w:rsid w:val="00C83E92"/>
    <w:rsid w:val="00C93D10"/>
    <w:rsid w:val="00C97128"/>
    <w:rsid w:val="00C973E8"/>
    <w:rsid w:val="00C9743C"/>
    <w:rsid w:val="00CA0120"/>
    <w:rsid w:val="00CA4FED"/>
    <w:rsid w:val="00CA5C73"/>
    <w:rsid w:val="00CD0869"/>
    <w:rsid w:val="00CD1C81"/>
    <w:rsid w:val="00CE01CB"/>
    <w:rsid w:val="00CE0A60"/>
    <w:rsid w:val="00CE489B"/>
    <w:rsid w:val="00CF13A2"/>
    <w:rsid w:val="00D25530"/>
    <w:rsid w:val="00D32794"/>
    <w:rsid w:val="00D56D42"/>
    <w:rsid w:val="00D731FF"/>
    <w:rsid w:val="00D81991"/>
    <w:rsid w:val="00D852C9"/>
    <w:rsid w:val="00D8580B"/>
    <w:rsid w:val="00D974D6"/>
    <w:rsid w:val="00DA5C72"/>
    <w:rsid w:val="00DA69BC"/>
    <w:rsid w:val="00DB2927"/>
    <w:rsid w:val="00DB324B"/>
    <w:rsid w:val="00DC1AA9"/>
    <w:rsid w:val="00DD1372"/>
    <w:rsid w:val="00DD5BDE"/>
    <w:rsid w:val="00DE7B81"/>
    <w:rsid w:val="00E10D65"/>
    <w:rsid w:val="00E14CC8"/>
    <w:rsid w:val="00E24464"/>
    <w:rsid w:val="00E43412"/>
    <w:rsid w:val="00E57102"/>
    <w:rsid w:val="00E72AF5"/>
    <w:rsid w:val="00E76DC7"/>
    <w:rsid w:val="00E876FD"/>
    <w:rsid w:val="00E92959"/>
    <w:rsid w:val="00EE5DDF"/>
    <w:rsid w:val="00EE7DBE"/>
    <w:rsid w:val="00EF0214"/>
    <w:rsid w:val="00EF54A1"/>
    <w:rsid w:val="00F05184"/>
    <w:rsid w:val="00F1107B"/>
    <w:rsid w:val="00F12361"/>
    <w:rsid w:val="00F216E4"/>
    <w:rsid w:val="00F24C66"/>
    <w:rsid w:val="00F272CE"/>
    <w:rsid w:val="00F27F42"/>
    <w:rsid w:val="00F40810"/>
    <w:rsid w:val="00F4231E"/>
    <w:rsid w:val="00F66755"/>
    <w:rsid w:val="00F811AF"/>
    <w:rsid w:val="00F84007"/>
    <w:rsid w:val="00FE34C9"/>
    <w:rsid w:val="00FE40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odstavek">
    <w:name w:val="odstavek"/>
    <w:basedOn w:val="Navaden"/>
    <w:rsid w:val="00100D36"/>
    <w:pPr>
      <w:spacing w:before="100" w:beforeAutospacing="1" w:after="100" w:afterAutospacing="1" w:line="240" w:lineRule="auto"/>
      <w:ind w:left="0" w:right="0"/>
    </w:pPr>
    <w:rPr>
      <w:rFonts w:ascii="Arial" w:hAnsi="Arial" w:cs="Times New Roman"/>
      <w:bCs w:val="0"/>
      <w:noProof w:val="0"/>
      <w:sz w:val="22"/>
      <w:szCs w:val="24"/>
    </w:rPr>
  </w:style>
  <w:style w:type="character" w:customStyle="1" w:styleId="cf01">
    <w:name w:val="cf01"/>
    <w:rsid w:val="00100D36"/>
    <w:rPr>
      <w:rFonts w:ascii="Segoe UI" w:hAnsi="Segoe UI" w:cs="Segoe UI" w:hint="default"/>
      <w:sz w:val="18"/>
      <w:szCs w:val="18"/>
    </w:rPr>
  </w:style>
  <w:style w:type="character" w:customStyle="1" w:styleId="cf11">
    <w:name w:val="cf11"/>
    <w:rsid w:val="00100D36"/>
    <w:rPr>
      <w:rFonts w:ascii="Segoe UI" w:hAnsi="Segoe UI" w:cs="Segoe UI" w:hint="default"/>
      <w:b/>
      <w:bCs/>
      <w:color w:val="62606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radni-list.si/glasilo-uradni-list-rs/vsebina/2023-01-03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2-01-001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radni-list.si/glasilo-uradni-list-rs/vsebina/2020-01-276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3422</Words>
  <Characters>19512</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Sismond</cp:lastModifiedBy>
  <cp:revision>127</cp:revision>
  <cp:lastPrinted>2026-01-29T11:37:00Z</cp:lastPrinted>
  <dcterms:created xsi:type="dcterms:W3CDTF">2025-10-22T11:46:00Z</dcterms:created>
  <dcterms:modified xsi:type="dcterms:W3CDTF">2026-02-02T09:59:00Z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