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94EC" w14:textId="716601B7" w:rsidR="007D660C" w:rsidRPr="007D660C" w:rsidRDefault="007D660C" w:rsidP="00C1293E">
      <w:pPr>
        <w:pStyle w:val="Telobesedila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D660C">
        <w:rPr>
          <w:rFonts w:ascii="Arial" w:hAnsi="Arial" w:cs="Arial"/>
          <w:b/>
          <w:bCs/>
          <w:sz w:val="72"/>
          <w:szCs w:val="72"/>
        </w:rPr>
        <w:t>9</w:t>
      </w:r>
    </w:p>
    <w:p w14:paraId="5AE5FE9B" w14:textId="7A5809E4" w:rsidR="00C1293E" w:rsidRPr="00331100" w:rsidRDefault="00C1293E" w:rsidP="00C1293E">
      <w:pPr>
        <w:pStyle w:val="Telobesedila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 xml:space="preserve">Na podlagi 14. člena Zakona o uresničevanju javnega interesa za kulturo (Uradni list RS, št. 77/07 – uradno prečiščeno besedilo, 56/08, 4/10, 20/11, 111/13, 68/16, 61/17, 21/18 – </w:t>
      </w:r>
      <w:proofErr w:type="spellStart"/>
      <w:r w:rsidRPr="00331100">
        <w:rPr>
          <w:rFonts w:ascii="Arial" w:hAnsi="Arial" w:cs="Arial"/>
          <w:sz w:val="22"/>
          <w:szCs w:val="22"/>
        </w:rPr>
        <w:t>ZNOrg</w:t>
      </w:r>
      <w:proofErr w:type="spellEnd"/>
      <w:r w:rsidRPr="00331100">
        <w:rPr>
          <w:rFonts w:ascii="Arial" w:hAnsi="Arial" w:cs="Arial"/>
          <w:sz w:val="22"/>
          <w:szCs w:val="22"/>
        </w:rPr>
        <w:t xml:space="preserve">, 3/22 – </w:t>
      </w:r>
      <w:proofErr w:type="spellStart"/>
      <w:r w:rsidRPr="00331100">
        <w:rPr>
          <w:rFonts w:ascii="Arial" w:hAnsi="Arial" w:cs="Arial"/>
          <w:sz w:val="22"/>
          <w:szCs w:val="22"/>
        </w:rPr>
        <w:t>ZDeb</w:t>
      </w:r>
      <w:proofErr w:type="spellEnd"/>
      <w:r w:rsidRPr="00331100">
        <w:rPr>
          <w:rFonts w:ascii="Arial" w:hAnsi="Arial" w:cs="Arial"/>
          <w:sz w:val="22"/>
          <w:szCs w:val="22"/>
        </w:rPr>
        <w:t xml:space="preserve">, 105/22 – ZZNŠPP in 8/25) in 19. člena Statuta Mestne občine Nova Gorica (Uradni list RS, št. 13/12, 18/17 in 18/19) je Mestni svet Mestne občine Nova Gorica na seji dne </w:t>
      </w:r>
      <w:r w:rsidR="007D660C">
        <w:rPr>
          <w:rFonts w:ascii="Arial" w:hAnsi="Arial" w:cs="Arial"/>
          <w:sz w:val="22"/>
          <w:szCs w:val="22"/>
        </w:rPr>
        <w:t>____________________</w:t>
      </w:r>
      <w:r w:rsidR="008D2621">
        <w:rPr>
          <w:rFonts w:ascii="Arial" w:hAnsi="Arial" w:cs="Arial"/>
          <w:sz w:val="22"/>
          <w:szCs w:val="22"/>
        </w:rPr>
        <w:t xml:space="preserve"> </w:t>
      </w:r>
      <w:r w:rsidRPr="00331100">
        <w:rPr>
          <w:rFonts w:ascii="Arial" w:hAnsi="Arial" w:cs="Arial"/>
          <w:sz w:val="22"/>
          <w:szCs w:val="22"/>
        </w:rPr>
        <w:t>sprejel naslednji</w:t>
      </w:r>
    </w:p>
    <w:p w14:paraId="44656889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</w:p>
    <w:p w14:paraId="01681CA6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</w:p>
    <w:p w14:paraId="121FCDB8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</w:p>
    <w:p w14:paraId="6923D546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</w:p>
    <w:p w14:paraId="1EB9C413" w14:textId="08497D83" w:rsidR="00C1293E" w:rsidRPr="00331100" w:rsidRDefault="00C1293E" w:rsidP="00C1293E">
      <w:pPr>
        <w:jc w:val="center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>S</w:t>
      </w:r>
      <w:r w:rsidR="007D660C">
        <w:rPr>
          <w:rFonts w:ascii="Arial" w:hAnsi="Arial" w:cs="Arial"/>
          <w:sz w:val="22"/>
          <w:szCs w:val="22"/>
        </w:rPr>
        <w:t xml:space="preserve"> </w:t>
      </w:r>
      <w:r w:rsidRPr="00331100">
        <w:rPr>
          <w:rFonts w:ascii="Arial" w:hAnsi="Arial" w:cs="Arial"/>
          <w:sz w:val="22"/>
          <w:szCs w:val="22"/>
        </w:rPr>
        <w:t>K</w:t>
      </w:r>
      <w:r w:rsidR="007D660C">
        <w:rPr>
          <w:rFonts w:ascii="Arial" w:hAnsi="Arial" w:cs="Arial"/>
          <w:sz w:val="22"/>
          <w:szCs w:val="22"/>
        </w:rPr>
        <w:t xml:space="preserve"> </w:t>
      </w:r>
      <w:r w:rsidRPr="00331100">
        <w:rPr>
          <w:rFonts w:ascii="Arial" w:hAnsi="Arial" w:cs="Arial"/>
          <w:sz w:val="22"/>
          <w:szCs w:val="22"/>
        </w:rPr>
        <w:t>L</w:t>
      </w:r>
      <w:r w:rsidR="007D660C">
        <w:rPr>
          <w:rFonts w:ascii="Arial" w:hAnsi="Arial" w:cs="Arial"/>
          <w:sz w:val="22"/>
          <w:szCs w:val="22"/>
        </w:rPr>
        <w:t xml:space="preserve"> </w:t>
      </w:r>
      <w:r w:rsidRPr="00331100">
        <w:rPr>
          <w:rFonts w:ascii="Arial" w:hAnsi="Arial" w:cs="Arial"/>
          <w:sz w:val="22"/>
          <w:szCs w:val="22"/>
        </w:rPr>
        <w:t>E</w:t>
      </w:r>
      <w:r w:rsidR="007D660C">
        <w:rPr>
          <w:rFonts w:ascii="Arial" w:hAnsi="Arial" w:cs="Arial"/>
          <w:sz w:val="22"/>
          <w:szCs w:val="22"/>
        </w:rPr>
        <w:t xml:space="preserve"> </w:t>
      </w:r>
      <w:r w:rsidRPr="00331100">
        <w:rPr>
          <w:rFonts w:ascii="Arial" w:hAnsi="Arial" w:cs="Arial"/>
          <w:sz w:val="22"/>
          <w:szCs w:val="22"/>
        </w:rPr>
        <w:t>P</w:t>
      </w:r>
    </w:p>
    <w:p w14:paraId="57A3BC68" w14:textId="77777777" w:rsidR="00C1293E" w:rsidRPr="00331100" w:rsidRDefault="00C1293E" w:rsidP="00C1293E">
      <w:pPr>
        <w:rPr>
          <w:rFonts w:ascii="Arial" w:hAnsi="Arial" w:cs="Arial"/>
          <w:b/>
        </w:rPr>
      </w:pPr>
    </w:p>
    <w:p w14:paraId="3F7FC1C4" w14:textId="77777777" w:rsidR="00C1293E" w:rsidRDefault="00C1293E" w:rsidP="00C1293E">
      <w:pPr>
        <w:rPr>
          <w:rFonts w:ascii="Arial" w:hAnsi="Arial" w:cs="Arial"/>
          <w:b/>
        </w:rPr>
      </w:pPr>
    </w:p>
    <w:p w14:paraId="47575022" w14:textId="77777777" w:rsidR="007D660C" w:rsidRPr="00331100" w:rsidRDefault="007D660C" w:rsidP="00C1293E">
      <w:pPr>
        <w:rPr>
          <w:rFonts w:ascii="Arial" w:hAnsi="Arial" w:cs="Arial"/>
          <w:b/>
        </w:rPr>
      </w:pPr>
    </w:p>
    <w:p w14:paraId="233949D5" w14:textId="77777777" w:rsidR="00C1293E" w:rsidRPr="00331100" w:rsidRDefault="00C1293E" w:rsidP="00C1293E">
      <w:pPr>
        <w:jc w:val="center"/>
        <w:rPr>
          <w:rFonts w:ascii="Arial" w:hAnsi="Arial" w:cs="Arial"/>
          <w:sz w:val="22"/>
        </w:rPr>
      </w:pPr>
      <w:r w:rsidRPr="00331100">
        <w:rPr>
          <w:rFonts w:ascii="Arial" w:hAnsi="Arial" w:cs="Arial"/>
          <w:sz w:val="22"/>
        </w:rPr>
        <w:t>1.</w:t>
      </w:r>
    </w:p>
    <w:p w14:paraId="67D22ABF" w14:textId="77777777" w:rsidR="00C1293E" w:rsidRDefault="00C1293E" w:rsidP="00C1293E">
      <w:pPr>
        <w:jc w:val="center"/>
        <w:rPr>
          <w:rFonts w:ascii="Arial" w:hAnsi="Arial" w:cs="Arial"/>
          <w:sz w:val="22"/>
        </w:rPr>
      </w:pPr>
    </w:p>
    <w:p w14:paraId="453F76AB" w14:textId="77777777" w:rsidR="007D660C" w:rsidRPr="00331100" w:rsidRDefault="007D660C" w:rsidP="00C1293E">
      <w:pPr>
        <w:jc w:val="center"/>
        <w:rPr>
          <w:rFonts w:ascii="Arial" w:hAnsi="Arial" w:cs="Arial"/>
          <w:sz w:val="22"/>
        </w:rPr>
      </w:pPr>
    </w:p>
    <w:p w14:paraId="04BECE56" w14:textId="77777777" w:rsidR="00C1293E" w:rsidRPr="00331100" w:rsidRDefault="00C1293E" w:rsidP="00C1293E">
      <w:pPr>
        <w:jc w:val="both"/>
        <w:rPr>
          <w:rFonts w:ascii="Arial" w:hAnsi="Arial" w:cs="Arial"/>
          <w:sz w:val="22"/>
        </w:rPr>
      </w:pPr>
      <w:r w:rsidRPr="00331100">
        <w:rPr>
          <w:rFonts w:ascii="Arial" w:hAnsi="Arial" w:cs="Arial"/>
          <w:sz w:val="22"/>
        </w:rPr>
        <w:t xml:space="preserve">Sprejme se </w:t>
      </w:r>
      <w:bookmarkStart w:id="0" w:name="_Hlk193203220"/>
      <w:r w:rsidRPr="00331100">
        <w:rPr>
          <w:rFonts w:ascii="Arial" w:hAnsi="Arial" w:cs="Arial"/>
          <w:sz w:val="22"/>
        </w:rPr>
        <w:t>Strategija razvoja kulture Mestne občine Nova Gorica 2025 – 2028</w:t>
      </w:r>
      <w:bookmarkEnd w:id="0"/>
      <w:r w:rsidRPr="00331100">
        <w:rPr>
          <w:rFonts w:ascii="Arial" w:hAnsi="Arial" w:cs="Arial"/>
          <w:sz w:val="22"/>
        </w:rPr>
        <w:t>.</w:t>
      </w:r>
    </w:p>
    <w:p w14:paraId="26FE70C4" w14:textId="77777777" w:rsidR="00C1293E" w:rsidRDefault="00C1293E" w:rsidP="00C1293E">
      <w:pPr>
        <w:jc w:val="both"/>
        <w:rPr>
          <w:rFonts w:ascii="Arial" w:hAnsi="Arial" w:cs="Arial"/>
          <w:sz w:val="22"/>
        </w:rPr>
      </w:pPr>
    </w:p>
    <w:p w14:paraId="731E7280" w14:textId="77777777" w:rsidR="007D660C" w:rsidRPr="00331100" w:rsidRDefault="007D660C" w:rsidP="00C1293E">
      <w:pPr>
        <w:jc w:val="both"/>
        <w:rPr>
          <w:rFonts w:ascii="Arial" w:hAnsi="Arial" w:cs="Arial"/>
          <w:sz w:val="22"/>
        </w:rPr>
      </w:pPr>
    </w:p>
    <w:p w14:paraId="0A38D989" w14:textId="77777777" w:rsidR="00C1293E" w:rsidRPr="00331100" w:rsidRDefault="00C1293E" w:rsidP="00C1293E">
      <w:pPr>
        <w:tabs>
          <w:tab w:val="left" w:pos="3780"/>
          <w:tab w:val="left" w:pos="3960"/>
        </w:tabs>
        <w:jc w:val="center"/>
        <w:rPr>
          <w:rFonts w:ascii="Arial" w:hAnsi="Arial" w:cs="Arial"/>
          <w:sz w:val="22"/>
        </w:rPr>
      </w:pPr>
      <w:r w:rsidRPr="00331100">
        <w:rPr>
          <w:rFonts w:ascii="Arial" w:hAnsi="Arial" w:cs="Arial"/>
          <w:sz w:val="22"/>
        </w:rPr>
        <w:t>2.</w:t>
      </w:r>
    </w:p>
    <w:p w14:paraId="41FE1770" w14:textId="77777777" w:rsidR="00C1293E" w:rsidRDefault="00C1293E" w:rsidP="00C1293E">
      <w:pPr>
        <w:jc w:val="both"/>
        <w:rPr>
          <w:rFonts w:ascii="Arial" w:hAnsi="Arial" w:cs="Arial"/>
          <w:sz w:val="22"/>
          <w:szCs w:val="22"/>
        </w:rPr>
      </w:pPr>
    </w:p>
    <w:p w14:paraId="7A9D6048" w14:textId="77777777" w:rsidR="003702B1" w:rsidRPr="00331100" w:rsidRDefault="003702B1" w:rsidP="00C1293E">
      <w:pPr>
        <w:jc w:val="both"/>
        <w:rPr>
          <w:rFonts w:ascii="Arial" w:hAnsi="Arial" w:cs="Arial"/>
          <w:sz w:val="22"/>
          <w:szCs w:val="22"/>
        </w:rPr>
      </w:pPr>
    </w:p>
    <w:p w14:paraId="4BD60625" w14:textId="6BA6E0CB" w:rsidR="00C1293E" w:rsidRDefault="004674D8" w:rsidP="00C129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s</w:t>
      </w:r>
      <w:r w:rsidR="00C1293E" w:rsidRPr="00331100">
        <w:rPr>
          <w:rFonts w:ascii="Arial" w:hAnsi="Arial" w:cs="Arial"/>
          <w:sz w:val="22"/>
          <w:szCs w:val="22"/>
        </w:rPr>
        <w:t>klep velja takoj.</w:t>
      </w:r>
    </w:p>
    <w:p w14:paraId="4F16D90C" w14:textId="77777777" w:rsidR="003702B1" w:rsidRPr="00331100" w:rsidRDefault="003702B1" w:rsidP="00C1293E">
      <w:pPr>
        <w:jc w:val="both"/>
        <w:rPr>
          <w:rFonts w:ascii="Arial" w:hAnsi="Arial" w:cs="Arial"/>
          <w:sz w:val="22"/>
          <w:szCs w:val="22"/>
        </w:rPr>
      </w:pPr>
    </w:p>
    <w:p w14:paraId="6CB686D7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</w:p>
    <w:p w14:paraId="315FD84C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</w:p>
    <w:p w14:paraId="44F9AE8E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</w:p>
    <w:p w14:paraId="39AA5A59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>Številka: 610-20/2024</w:t>
      </w:r>
    </w:p>
    <w:p w14:paraId="5758DD3A" w14:textId="218C2212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>Nova Gorica,</w:t>
      </w:r>
      <w:r w:rsidR="003702B1">
        <w:rPr>
          <w:rFonts w:ascii="Arial" w:hAnsi="Arial" w:cs="Arial"/>
          <w:sz w:val="22"/>
          <w:szCs w:val="22"/>
        </w:rPr>
        <w:t xml:space="preserve"> dne</w:t>
      </w:r>
    </w:p>
    <w:p w14:paraId="072BCC32" w14:textId="3D6E403B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3702B1">
        <w:rPr>
          <w:rFonts w:ascii="Arial" w:hAnsi="Arial" w:cs="Arial"/>
          <w:sz w:val="22"/>
          <w:szCs w:val="22"/>
        </w:rPr>
        <w:t xml:space="preserve">   </w:t>
      </w:r>
      <w:r w:rsidRPr="00331100">
        <w:rPr>
          <w:rFonts w:ascii="Arial" w:hAnsi="Arial" w:cs="Arial"/>
          <w:sz w:val="22"/>
          <w:szCs w:val="22"/>
        </w:rPr>
        <w:t>Samo Turel</w:t>
      </w:r>
    </w:p>
    <w:p w14:paraId="364550A3" w14:textId="3AC98478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3702B1">
        <w:rPr>
          <w:rFonts w:ascii="Arial" w:hAnsi="Arial" w:cs="Arial"/>
          <w:sz w:val="22"/>
          <w:szCs w:val="22"/>
        </w:rPr>
        <w:t xml:space="preserve">   </w:t>
      </w:r>
      <w:r w:rsidRPr="00331100">
        <w:rPr>
          <w:rFonts w:ascii="Arial" w:hAnsi="Arial" w:cs="Arial"/>
          <w:sz w:val="22"/>
          <w:szCs w:val="22"/>
        </w:rPr>
        <w:t xml:space="preserve"> ŽUPAN</w:t>
      </w:r>
    </w:p>
    <w:p w14:paraId="1C335914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14:paraId="78ED2243" w14:textId="77777777" w:rsidR="00C1293E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br w:type="page"/>
      </w:r>
    </w:p>
    <w:p w14:paraId="3C4867EA" w14:textId="77777777" w:rsidR="00A07333" w:rsidRDefault="00A07333" w:rsidP="00A07333">
      <w:pPr>
        <w:jc w:val="both"/>
        <w:rPr>
          <w:rFonts w:ascii="Arial" w:hAnsi="Arial" w:cs="Arial"/>
          <w:sz w:val="22"/>
          <w:szCs w:val="22"/>
        </w:rPr>
      </w:pPr>
    </w:p>
    <w:p w14:paraId="40C75459" w14:textId="0C83CB65" w:rsidR="00A07333" w:rsidRPr="00A07333" w:rsidRDefault="00A07333" w:rsidP="00A07333">
      <w:pPr>
        <w:jc w:val="both"/>
        <w:rPr>
          <w:rFonts w:ascii="Arial" w:hAnsi="Arial" w:cs="Arial"/>
          <w:sz w:val="22"/>
          <w:szCs w:val="22"/>
        </w:rPr>
      </w:pPr>
      <w:r w:rsidRPr="00A07333">
        <w:rPr>
          <w:rFonts w:ascii="Arial" w:hAnsi="Arial" w:cs="Arial"/>
          <w:sz w:val="22"/>
          <w:szCs w:val="22"/>
        </w:rPr>
        <w:t>Številka: 610-20/2024-2</w:t>
      </w:r>
      <w:r w:rsidR="00B203B2">
        <w:rPr>
          <w:rFonts w:ascii="Arial" w:hAnsi="Arial" w:cs="Arial"/>
          <w:sz w:val="22"/>
          <w:szCs w:val="22"/>
        </w:rPr>
        <w:t>4</w:t>
      </w:r>
    </w:p>
    <w:p w14:paraId="39FBBA17" w14:textId="2E40EB69" w:rsidR="00A07333" w:rsidRDefault="003702B1" w:rsidP="00A073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Nova </w:t>
      </w:r>
      <w:r w:rsidR="0010605B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orica, dne</w:t>
      </w:r>
      <w:r w:rsidR="00A07333" w:rsidRPr="00A07333">
        <w:rPr>
          <w:rFonts w:ascii="Arial" w:hAnsi="Arial" w:cs="Arial"/>
          <w:sz w:val="22"/>
          <w:szCs w:val="22"/>
        </w:rPr>
        <w:t xml:space="preserve"> </w:t>
      </w:r>
      <w:r w:rsidR="001B3898">
        <w:rPr>
          <w:rFonts w:ascii="Arial" w:hAnsi="Arial" w:cs="Arial"/>
          <w:sz w:val="22"/>
          <w:szCs w:val="22"/>
        </w:rPr>
        <w:t>30</w:t>
      </w:r>
      <w:r w:rsidR="00A06F95">
        <w:rPr>
          <w:rFonts w:ascii="Arial" w:hAnsi="Arial" w:cs="Arial"/>
          <w:sz w:val="22"/>
          <w:szCs w:val="22"/>
        </w:rPr>
        <w:t xml:space="preserve">. </w:t>
      </w:r>
      <w:r w:rsidR="0010605B">
        <w:rPr>
          <w:rFonts w:ascii="Arial" w:hAnsi="Arial" w:cs="Arial"/>
          <w:sz w:val="22"/>
          <w:szCs w:val="22"/>
        </w:rPr>
        <w:t>maja</w:t>
      </w:r>
      <w:r w:rsidR="00A06F95">
        <w:rPr>
          <w:rFonts w:ascii="Arial" w:hAnsi="Arial" w:cs="Arial"/>
          <w:sz w:val="22"/>
          <w:szCs w:val="22"/>
        </w:rPr>
        <w:t xml:space="preserve"> 2025</w:t>
      </w:r>
      <w:r w:rsidR="00A07333" w:rsidRPr="00A07333">
        <w:rPr>
          <w:rFonts w:ascii="Arial" w:hAnsi="Arial" w:cs="Arial"/>
          <w:sz w:val="22"/>
          <w:szCs w:val="22"/>
        </w:rPr>
        <w:t xml:space="preserve"> </w:t>
      </w:r>
    </w:p>
    <w:p w14:paraId="091EE371" w14:textId="77777777" w:rsidR="00A07333" w:rsidRDefault="00A07333" w:rsidP="00C1293E">
      <w:pPr>
        <w:jc w:val="both"/>
        <w:rPr>
          <w:rFonts w:ascii="Arial" w:hAnsi="Arial" w:cs="Arial"/>
          <w:sz w:val="22"/>
          <w:szCs w:val="22"/>
        </w:rPr>
      </w:pPr>
    </w:p>
    <w:p w14:paraId="01082CCA" w14:textId="77777777" w:rsidR="00A07333" w:rsidRPr="00331100" w:rsidRDefault="00A07333" w:rsidP="00C1293E">
      <w:pPr>
        <w:jc w:val="both"/>
        <w:rPr>
          <w:rFonts w:ascii="Arial" w:hAnsi="Arial" w:cs="Arial"/>
          <w:b/>
          <w:sz w:val="22"/>
          <w:szCs w:val="22"/>
        </w:rPr>
      </w:pPr>
    </w:p>
    <w:p w14:paraId="31AAE07B" w14:textId="0927BC35" w:rsidR="00C1293E" w:rsidRPr="0010605B" w:rsidRDefault="00BA412E" w:rsidP="00C1293E">
      <w:pPr>
        <w:jc w:val="center"/>
        <w:rPr>
          <w:rFonts w:ascii="Arial" w:hAnsi="Arial" w:cs="Arial"/>
          <w:bCs/>
          <w:sz w:val="22"/>
          <w:szCs w:val="22"/>
        </w:rPr>
      </w:pPr>
      <w:r w:rsidRPr="0010605B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0" wp14:anchorId="7E9AC4F1" wp14:editId="24131EF1">
            <wp:simplePos x="0" y="0"/>
            <wp:positionH relativeFrom="page">
              <wp:posOffset>430530</wp:posOffset>
            </wp:positionH>
            <wp:positionV relativeFrom="page">
              <wp:posOffset>214630</wp:posOffset>
            </wp:positionV>
            <wp:extent cx="2371725" cy="1000125"/>
            <wp:effectExtent l="0" t="0" r="0" b="0"/>
            <wp:wrapTopAndBottom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93E" w:rsidRPr="0010605B">
        <w:rPr>
          <w:rFonts w:ascii="Arial" w:hAnsi="Arial" w:cs="Arial"/>
          <w:bCs/>
          <w:sz w:val="22"/>
          <w:szCs w:val="22"/>
        </w:rPr>
        <w:t>O</w:t>
      </w:r>
      <w:r w:rsidR="0010605B">
        <w:rPr>
          <w:rFonts w:ascii="Arial" w:hAnsi="Arial" w:cs="Arial"/>
          <w:bCs/>
          <w:sz w:val="22"/>
          <w:szCs w:val="22"/>
        </w:rPr>
        <w:t xml:space="preserve"> </w:t>
      </w:r>
      <w:r w:rsidR="0010605B" w:rsidRPr="0010605B">
        <w:rPr>
          <w:rFonts w:ascii="Arial" w:hAnsi="Arial" w:cs="Arial"/>
          <w:bCs/>
          <w:sz w:val="22"/>
          <w:szCs w:val="22"/>
        </w:rPr>
        <w:t>B</w:t>
      </w:r>
      <w:r w:rsidR="0010605B">
        <w:rPr>
          <w:rFonts w:ascii="Arial" w:hAnsi="Arial" w:cs="Arial"/>
          <w:bCs/>
          <w:sz w:val="22"/>
          <w:szCs w:val="22"/>
        </w:rPr>
        <w:t xml:space="preserve"> </w:t>
      </w:r>
      <w:r w:rsidR="0010605B" w:rsidRPr="0010605B">
        <w:rPr>
          <w:rFonts w:ascii="Arial" w:hAnsi="Arial" w:cs="Arial"/>
          <w:bCs/>
          <w:sz w:val="22"/>
          <w:szCs w:val="22"/>
        </w:rPr>
        <w:t>R</w:t>
      </w:r>
      <w:r w:rsidR="0010605B">
        <w:rPr>
          <w:rFonts w:ascii="Arial" w:hAnsi="Arial" w:cs="Arial"/>
          <w:bCs/>
          <w:sz w:val="22"/>
          <w:szCs w:val="22"/>
        </w:rPr>
        <w:t xml:space="preserve"> </w:t>
      </w:r>
      <w:r w:rsidR="0010605B" w:rsidRPr="0010605B">
        <w:rPr>
          <w:rFonts w:ascii="Arial" w:hAnsi="Arial" w:cs="Arial"/>
          <w:bCs/>
          <w:sz w:val="22"/>
          <w:szCs w:val="22"/>
        </w:rPr>
        <w:t>A</w:t>
      </w:r>
      <w:r w:rsidR="0010605B">
        <w:rPr>
          <w:rFonts w:ascii="Arial" w:hAnsi="Arial" w:cs="Arial"/>
          <w:bCs/>
          <w:sz w:val="22"/>
          <w:szCs w:val="22"/>
        </w:rPr>
        <w:t xml:space="preserve"> </w:t>
      </w:r>
      <w:r w:rsidR="0010605B" w:rsidRPr="0010605B">
        <w:rPr>
          <w:rFonts w:ascii="Arial" w:hAnsi="Arial" w:cs="Arial"/>
          <w:bCs/>
          <w:sz w:val="22"/>
          <w:szCs w:val="22"/>
        </w:rPr>
        <w:t>Z</w:t>
      </w:r>
      <w:r w:rsidR="0010605B">
        <w:rPr>
          <w:rFonts w:ascii="Arial" w:hAnsi="Arial" w:cs="Arial"/>
          <w:bCs/>
          <w:sz w:val="22"/>
          <w:szCs w:val="22"/>
        </w:rPr>
        <w:t xml:space="preserve"> </w:t>
      </w:r>
      <w:r w:rsidR="0010605B" w:rsidRPr="0010605B">
        <w:rPr>
          <w:rFonts w:ascii="Arial" w:hAnsi="Arial" w:cs="Arial"/>
          <w:bCs/>
          <w:sz w:val="22"/>
          <w:szCs w:val="22"/>
        </w:rPr>
        <w:t>L</w:t>
      </w:r>
      <w:r w:rsidR="0010605B">
        <w:rPr>
          <w:rFonts w:ascii="Arial" w:hAnsi="Arial" w:cs="Arial"/>
          <w:bCs/>
          <w:sz w:val="22"/>
          <w:szCs w:val="22"/>
        </w:rPr>
        <w:t xml:space="preserve"> </w:t>
      </w:r>
      <w:r w:rsidR="0010605B" w:rsidRPr="0010605B">
        <w:rPr>
          <w:rFonts w:ascii="Arial" w:hAnsi="Arial" w:cs="Arial"/>
          <w:bCs/>
          <w:sz w:val="22"/>
          <w:szCs w:val="22"/>
        </w:rPr>
        <w:t>O</w:t>
      </w:r>
      <w:r w:rsidR="0010605B">
        <w:rPr>
          <w:rFonts w:ascii="Arial" w:hAnsi="Arial" w:cs="Arial"/>
          <w:bCs/>
          <w:sz w:val="22"/>
          <w:szCs w:val="22"/>
        </w:rPr>
        <w:t xml:space="preserve"> </w:t>
      </w:r>
      <w:r w:rsidR="0010605B" w:rsidRPr="0010605B">
        <w:rPr>
          <w:rFonts w:ascii="Arial" w:hAnsi="Arial" w:cs="Arial"/>
          <w:bCs/>
          <w:sz w:val="22"/>
          <w:szCs w:val="22"/>
        </w:rPr>
        <w:t>Ž</w:t>
      </w:r>
      <w:r w:rsidR="0010605B">
        <w:rPr>
          <w:rFonts w:ascii="Arial" w:hAnsi="Arial" w:cs="Arial"/>
          <w:bCs/>
          <w:sz w:val="22"/>
          <w:szCs w:val="22"/>
        </w:rPr>
        <w:t xml:space="preserve"> </w:t>
      </w:r>
      <w:r w:rsidR="0010605B" w:rsidRPr="0010605B">
        <w:rPr>
          <w:rFonts w:ascii="Arial" w:hAnsi="Arial" w:cs="Arial"/>
          <w:bCs/>
          <w:sz w:val="22"/>
          <w:szCs w:val="22"/>
        </w:rPr>
        <w:t>I</w:t>
      </w:r>
      <w:r w:rsidR="0010605B">
        <w:rPr>
          <w:rFonts w:ascii="Arial" w:hAnsi="Arial" w:cs="Arial"/>
          <w:bCs/>
          <w:sz w:val="22"/>
          <w:szCs w:val="22"/>
        </w:rPr>
        <w:t xml:space="preserve"> </w:t>
      </w:r>
      <w:r w:rsidR="0010605B" w:rsidRPr="0010605B">
        <w:rPr>
          <w:rFonts w:ascii="Arial" w:hAnsi="Arial" w:cs="Arial"/>
          <w:bCs/>
          <w:sz w:val="22"/>
          <w:szCs w:val="22"/>
        </w:rPr>
        <w:t>T</w:t>
      </w:r>
      <w:r w:rsidR="0010605B">
        <w:rPr>
          <w:rFonts w:ascii="Arial" w:hAnsi="Arial" w:cs="Arial"/>
          <w:bCs/>
          <w:sz w:val="22"/>
          <w:szCs w:val="22"/>
        </w:rPr>
        <w:t xml:space="preserve"> </w:t>
      </w:r>
      <w:r w:rsidR="0010605B" w:rsidRPr="0010605B">
        <w:rPr>
          <w:rFonts w:ascii="Arial" w:hAnsi="Arial" w:cs="Arial"/>
          <w:bCs/>
          <w:sz w:val="22"/>
          <w:szCs w:val="22"/>
        </w:rPr>
        <w:t>E</w:t>
      </w:r>
      <w:r w:rsidR="0010605B">
        <w:rPr>
          <w:rFonts w:ascii="Arial" w:hAnsi="Arial" w:cs="Arial"/>
          <w:bCs/>
          <w:sz w:val="22"/>
          <w:szCs w:val="22"/>
        </w:rPr>
        <w:t xml:space="preserve"> </w:t>
      </w:r>
      <w:r w:rsidR="0010605B" w:rsidRPr="0010605B">
        <w:rPr>
          <w:rFonts w:ascii="Arial" w:hAnsi="Arial" w:cs="Arial"/>
          <w:bCs/>
          <w:sz w:val="22"/>
          <w:szCs w:val="22"/>
        </w:rPr>
        <w:t>V</w:t>
      </w:r>
    </w:p>
    <w:p w14:paraId="5D28C2D9" w14:textId="77777777" w:rsidR="00C1293E" w:rsidRPr="00331100" w:rsidRDefault="00C1293E" w:rsidP="00C1293E">
      <w:pPr>
        <w:jc w:val="both"/>
        <w:rPr>
          <w:rFonts w:ascii="Arial" w:hAnsi="Arial" w:cs="Arial"/>
          <w:b/>
          <w:sz w:val="22"/>
          <w:szCs w:val="22"/>
        </w:rPr>
      </w:pPr>
    </w:p>
    <w:p w14:paraId="7FC7E8E4" w14:textId="77777777" w:rsidR="00C1293E" w:rsidRPr="00331100" w:rsidRDefault="00C1293E" w:rsidP="00C1293E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 w:rsidRPr="00331100">
        <w:rPr>
          <w:rFonts w:ascii="Arial" w:hAnsi="Arial" w:cs="Arial"/>
          <w:b/>
          <w:sz w:val="22"/>
        </w:rPr>
        <w:t xml:space="preserve">Razlogi, ki utemeljujejo potrebo po sprejetju </w:t>
      </w:r>
      <w:bookmarkStart w:id="1" w:name="_Hlk193296845"/>
      <w:r w:rsidRPr="00331100">
        <w:rPr>
          <w:rFonts w:ascii="Arial" w:hAnsi="Arial" w:cs="Arial"/>
          <w:b/>
          <w:sz w:val="22"/>
        </w:rPr>
        <w:t>Strategije razvoja kulture Mestne občine Nova Gorica 2025 – 2028:</w:t>
      </w:r>
      <w:bookmarkEnd w:id="1"/>
    </w:p>
    <w:p w14:paraId="333E641F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</w:p>
    <w:p w14:paraId="7B93C550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>Strategija razvoja kulture Mestne občine Nova Gorica 2025-2028 (v nadaljevanju: Strategija) je tretji dokument strateškega načrtovanja Mestne občine Nova Gorica (v nadaljevanju: MONG), ki določa razvojne smernice in cilje MONG na področju kulture. Obravnava obdobje 2025-2028, zajema pa tudi nekatere dolgoročne usmeritve do leta 2032. Dokument je pripravil Znanstvenoraziskovalni center Slovenske akademije znanosti in umetnosti, Raziskovalna postaja Nova Gorica (v nadaljevanju: ZRC SAZU) v sodelovanju z 10-člansko delovno skupino in upravo</w:t>
      </w:r>
      <w:r>
        <w:rPr>
          <w:rFonts w:ascii="Arial" w:hAnsi="Arial" w:cs="Arial"/>
          <w:sz w:val="22"/>
          <w:szCs w:val="22"/>
        </w:rPr>
        <w:t xml:space="preserve"> MONG</w:t>
      </w:r>
      <w:r w:rsidRPr="00331100">
        <w:rPr>
          <w:rFonts w:ascii="Arial" w:hAnsi="Arial" w:cs="Arial"/>
          <w:sz w:val="22"/>
          <w:szCs w:val="22"/>
        </w:rPr>
        <w:t xml:space="preserve">. Strategija je </w:t>
      </w:r>
      <w:r>
        <w:rPr>
          <w:rFonts w:ascii="Arial" w:hAnsi="Arial" w:cs="Arial"/>
          <w:sz w:val="22"/>
          <w:szCs w:val="22"/>
        </w:rPr>
        <w:t xml:space="preserve">s </w:t>
      </w:r>
      <w:r w:rsidRPr="00331100">
        <w:rPr>
          <w:rFonts w:ascii="Arial" w:hAnsi="Arial" w:cs="Arial"/>
          <w:sz w:val="22"/>
          <w:szCs w:val="22"/>
        </w:rPr>
        <w:t xml:space="preserve">formalnega vidika kombinacija izvajanja zakonskih podlag, ki na eni strani določajo javni interes za kulturo in so tudi za lokalno skupnost obligatorne, </w:t>
      </w:r>
      <w:r>
        <w:rPr>
          <w:rFonts w:ascii="Arial" w:hAnsi="Arial" w:cs="Arial"/>
          <w:sz w:val="22"/>
          <w:szCs w:val="22"/>
        </w:rPr>
        <w:t>predvsem</w:t>
      </w:r>
      <w:r w:rsidRPr="00331100">
        <w:rPr>
          <w:rFonts w:ascii="Arial" w:hAnsi="Arial" w:cs="Arial"/>
          <w:sz w:val="22"/>
          <w:szCs w:val="22"/>
        </w:rPr>
        <w:t xml:space="preserve"> pa želi MONG s tem dokumentom izpostaviti kulturne posebnosti in prioritete na lokalnem nivoju in s sprejemom konkretnih ukrepov doseči zastavljene strateške cilje ter spodbuditi nadaljnji razvoj kulture. Dokument v prvem delu opredeli pomen Strategije za MONG ter oriše kulturno-zgodovinski kontekst Nove Gorice, opiše proces priprave dokumenta, način evalvacije izvajanja strategije, navede osnovne podatke o občini, javni infrastrukturi, kadrih ter proračunskih sredstvih namenjenih kulturi v zadnjem petletnem obdobju. V nadaljevanju izpostavi temeljna načela kulturne politike, njene glavne usmeritve, glavne nosilce kulturnega razvoja, način financiranja kulturnih dejavnosti, cilje javnega interesa za kulturo v strateških dokumentih med nacionalnim in lokalnim ter glavne kriterije za opredelitev občinskega interesa za kulturo. Dokument posebej izpostavi naslednje splošne strateške cilje: Kultura kot razvojni dejavnik mesta, Nova Gorica kot pomembno umetniško in ustvarjalno središče, Regijsko žarišče znanja, E</w:t>
      </w:r>
      <w:r>
        <w:rPr>
          <w:rFonts w:ascii="Arial" w:hAnsi="Arial" w:cs="Arial"/>
          <w:sz w:val="22"/>
          <w:szCs w:val="22"/>
        </w:rPr>
        <w:t>vropska prestolnica kulture</w:t>
      </w:r>
      <w:r w:rsidRPr="00331100">
        <w:rPr>
          <w:rFonts w:ascii="Arial" w:hAnsi="Arial" w:cs="Arial"/>
          <w:sz w:val="22"/>
          <w:szCs w:val="22"/>
        </w:rPr>
        <w:t xml:space="preserve"> 2025 in njena zapuščina ter Infrastrukturni projekti na področju kulture do leta 2032. V okviru posamičnih strateških ciljev definira ukrepe za dosego ciljev, predviden čas izvedbe, pričakovane učinke, kazalnike in nosilce posameznih ciljev.</w:t>
      </w:r>
    </w:p>
    <w:p w14:paraId="6F0575E9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</w:p>
    <w:p w14:paraId="3F89628E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>Izhodišča, ki jih postavlja strategija predstavljajo osnovo za ukrepanje na posameznih področjih. Namen strategije je v določitvi prioritet in zagotavljanju pogojev za izvajanja le-teh. Opozoriti želi na temeljne probleme ter hkrati določiti ukrepe za dosego poglavitnih ciljev, ki naj bi jih lokalna kulturna politika dosegla v prihodnjih štirih letih.</w:t>
      </w:r>
    </w:p>
    <w:p w14:paraId="1496C59E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</w:p>
    <w:p w14:paraId="772804AE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Tudi na</w:t>
      </w:r>
      <w:r w:rsidRPr="00331100">
        <w:rPr>
          <w:rFonts w:ascii="Arial" w:hAnsi="Arial" w:cs="Arial"/>
          <w:sz w:val="22"/>
          <w:szCs w:val="22"/>
        </w:rPr>
        <w:t xml:space="preserve"> tem mestu želimo izpostaviti dejstvo, da je v letu 2025 Nova Gorica skupaj s sosednjo Goric</w:t>
      </w:r>
      <w:r>
        <w:rPr>
          <w:rFonts w:ascii="Arial" w:hAnsi="Arial" w:cs="Arial"/>
          <w:sz w:val="22"/>
          <w:szCs w:val="22"/>
        </w:rPr>
        <w:t>o</w:t>
      </w:r>
      <w:r w:rsidRPr="00331100">
        <w:rPr>
          <w:rFonts w:ascii="Arial" w:hAnsi="Arial" w:cs="Arial"/>
          <w:sz w:val="22"/>
          <w:szCs w:val="22"/>
        </w:rPr>
        <w:t xml:space="preserve"> nosilka prestižnega naziva Evropska prestolnica kulture 2025 (EPK 2025)</w:t>
      </w:r>
      <w:r>
        <w:rPr>
          <w:rFonts w:ascii="Arial" w:hAnsi="Arial" w:cs="Arial"/>
          <w:sz w:val="22"/>
          <w:szCs w:val="22"/>
        </w:rPr>
        <w:t xml:space="preserve"> ter</w:t>
      </w:r>
      <w:r w:rsidRPr="003311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kot </w:t>
      </w:r>
      <w:r w:rsidRPr="00331100">
        <w:rPr>
          <w:rFonts w:ascii="Arial" w:hAnsi="Arial" w:cs="Arial"/>
          <w:sz w:val="22"/>
          <w:szCs w:val="22"/>
        </w:rPr>
        <w:t xml:space="preserve">največji kulturni dogodek v destinaciji za MONG izjemnega pomena. Eno temeljnih in </w:t>
      </w:r>
      <w:r>
        <w:rPr>
          <w:rFonts w:ascii="Arial" w:hAnsi="Arial" w:cs="Arial"/>
          <w:sz w:val="22"/>
          <w:szCs w:val="22"/>
        </w:rPr>
        <w:t xml:space="preserve">najbolj </w:t>
      </w:r>
      <w:r w:rsidRPr="00331100">
        <w:rPr>
          <w:rFonts w:ascii="Arial" w:hAnsi="Arial" w:cs="Arial"/>
          <w:sz w:val="22"/>
          <w:szCs w:val="22"/>
        </w:rPr>
        <w:t xml:space="preserve">perečih vprašanj, s katerimi se soočamo že danes (ko je samo dogajanje </w:t>
      </w:r>
      <w:r>
        <w:rPr>
          <w:rFonts w:ascii="Arial" w:hAnsi="Arial" w:cs="Arial"/>
          <w:sz w:val="22"/>
          <w:szCs w:val="22"/>
        </w:rPr>
        <w:t xml:space="preserve">sicer </w:t>
      </w:r>
      <w:r w:rsidRPr="00331100">
        <w:rPr>
          <w:rFonts w:ascii="Arial" w:hAnsi="Arial" w:cs="Arial"/>
          <w:sz w:val="22"/>
          <w:szCs w:val="22"/>
        </w:rPr>
        <w:t xml:space="preserve">na vrhuncu) in </w:t>
      </w:r>
      <w:r>
        <w:rPr>
          <w:rFonts w:ascii="Arial" w:hAnsi="Arial" w:cs="Arial"/>
          <w:sz w:val="22"/>
          <w:szCs w:val="22"/>
        </w:rPr>
        <w:t>ki mu želimo dati posebno</w:t>
      </w:r>
      <w:r w:rsidRPr="00331100">
        <w:rPr>
          <w:rFonts w:ascii="Arial" w:hAnsi="Arial" w:cs="Arial"/>
          <w:sz w:val="22"/>
          <w:szCs w:val="22"/>
        </w:rPr>
        <w:t xml:space="preserve"> mesto tudi v tej strategiji, je vprašanje, kako dolgoročno ohraniti pozitivne učinke projekta na lokalno in širše okolje ter kako </w:t>
      </w:r>
      <w:r>
        <w:rPr>
          <w:rFonts w:ascii="Arial" w:hAnsi="Arial" w:cs="Arial"/>
          <w:sz w:val="22"/>
          <w:szCs w:val="22"/>
        </w:rPr>
        <w:t xml:space="preserve">v prihodnje čim bolj optimalno </w:t>
      </w:r>
      <w:r w:rsidRPr="00331100">
        <w:rPr>
          <w:rFonts w:ascii="Arial" w:hAnsi="Arial" w:cs="Arial"/>
          <w:sz w:val="22"/>
          <w:szCs w:val="22"/>
        </w:rPr>
        <w:t>upravljati s prostorsko, kadrovsko in drugo zapuščino EPK</w:t>
      </w:r>
      <w:r>
        <w:rPr>
          <w:rFonts w:ascii="Arial" w:hAnsi="Arial" w:cs="Arial"/>
          <w:sz w:val="22"/>
          <w:szCs w:val="22"/>
        </w:rPr>
        <w:t xml:space="preserve"> 2025.</w:t>
      </w:r>
      <w:r w:rsidRPr="00331100">
        <w:rPr>
          <w:rFonts w:ascii="Arial" w:hAnsi="Arial" w:cs="Arial"/>
          <w:sz w:val="22"/>
          <w:szCs w:val="22"/>
        </w:rPr>
        <w:t xml:space="preserve"> </w:t>
      </w:r>
    </w:p>
    <w:p w14:paraId="55486F96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</w:p>
    <w:p w14:paraId="56EDA861" w14:textId="77777777" w:rsidR="00C1293E" w:rsidRPr="00331100" w:rsidRDefault="00C1293E" w:rsidP="00C1293E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 w:rsidRPr="00331100">
        <w:rPr>
          <w:rFonts w:ascii="Arial" w:hAnsi="Arial" w:cs="Arial"/>
          <w:b/>
          <w:sz w:val="22"/>
        </w:rPr>
        <w:t>Cilji, ki se želijo doseči s sprejemom odloka:</w:t>
      </w:r>
    </w:p>
    <w:p w14:paraId="766177BD" w14:textId="77777777" w:rsidR="00C1293E" w:rsidRPr="00331100" w:rsidRDefault="00C1293E" w:rsidP="00C1293E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>izvajanje Zakona o uresničevanju javnega interesa za kulturo,</w:t>
      </w:r>
    </w:p>
    <w:p w14:paraId="143B7A16" w14:textId="77777777" w:rsidR="00C1293E" w:rsidRPr="00331100" w:rsidRDefault="00C1293E" w:rsidP="00C1293E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 xml:space="preserve">spodbuditi nadaljnji razvoj kulture v Mestni občini Nova Gorica. </w:t>
      </w:r>
    </w:p>
    <w:p w14:paraId="209BC522" w14:textId="77777777" w:rsidR="00C1293E" w:rsidRPr="00331100" w:rsidRDefault="00C1293E" w:rsidP="00C1293E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 w:rsidRPr="00331100">
        <w:rPr>
          <w:rFonts w:ascii="Arial" w:hAnsi="Arial" w:cs="Arial"/>
          <w:b/>
          <w:sz w:val="22"/>
        </w:rPr>
        <w:lastRenderedPageBreak/>
        <w:t>Materialne obveznosti, ki bodo nastale s sprejemom predlaganega programa:</w:t>
      </w:r>
    </w:p>
    <w:p w14:paraId="12E65D48" w14:textId="77777777" w:rsidR="00C1293E" w:rsidRPr="00331100" w:rsidRDefault="00C1293E" w:rsidP="00C1293E">
      <w:pPr>
        <w:jc w:val="both"/>
        <w:rPr>
          <w:rFonts w:ascii="Arial" w:hAnsi="Arial" w:cs="Arial"/>
          <w:sz w:val="22"/>
        </w:rPr>
      </w:pPr>
      <w:r w:rsidRPr="00331100">
        <w:rPr>
          <w:rFonts w:ascii="Arial" w:hAnsi="Arial" w:cs="Arial"/>
          <w:sz w:val="22"/>
        </w:rPr>
        <w:t>Materialne obveznosti bodo nastajale ob izvajanju posameznih ciljev in ukrepov predlaganega programa; sredstva bo sprejemal in potrjeval mestni svet v okviru občinskih proračunov za posamezno proračunsko leto ter v okviru načrta razvojnih programov.</w:t>
      </w:r>
    </w:p>
    <w:p w14:paraId="2A9541EA" w14:textId="77777777" w:rsidR="00C1293E" w:rsidRPr="00331100" w:rsidRDefault="00C1293E" w:rsidP="00C1293E">
      <w:pPr>
        <w:jc w:val="both"/>
        <w:rPr>
          <w:rFonts w:ascii="Arial" w:hAnsi="Arial" w:cs="Arial"/>
          <w:b/>
          <w:sz w:val="22"/>
        </w:rPr>
      </w:pPr>
    </w:p>
    <w:p w14:paraId="3B0E6EAC" w14:textId="77777777" w:rsidR="00C1293E" w:rsidRPr="00331100" w:rsidRDefault="00C1293E" w:rsidP="00C1293E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 w:rsidRPr="00331100">
        <w:rPr>
          <w:rFonts w:ascii="Arial" w:hAnsi="Arial" w:cs="Arial"/>
          <w:b/>
          <w:sz w:val="22"/>
        </w:rPr>
        <w:t>Druge pomembne okoliščine, glede vprašanj, ki jih ureja predlagani dokument:</w:t>
      </w:r>
    </w:p>
    <w:p w14:paraId="33B88CF5" w14:textId="77777777" w:rsidR="00C1293E" w:rsidRPr="00331100" w:rsidRDefault="00C1293E" w:rsidP="00C1293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/</w:t>
      </w:r>
    </w:p>
    <w:p w14:paraId="4A046FFD" w14:textId="77777777" w:rsidR="00C1293E" w:rsidRPr="00331100" w:rsidRDefault="00C1293E" w:rsidP="00C1293E">
      <w:pPr>
        <w:jc w:val="both"/>
        <w:rPr>
          <w:rFonts w:ascii="Arial" w:hAnsi="Arial" w:cs="Arial"/>
          <w:sz w:val="22"/>
        </w:rPr>
      </w:pPr>
    </w:p>
    <w:p w14:paraId="274926B6" w14:textId="77777777" w:rsidR="00C1293E" w:rsidRPr="00331100" w:rsidRDefault="00C1293E" w:rsidP="00C1293E">
      <w:pPr>
        <w:jc w:val="both"/>
        <w:rPr>
          <w:rFonts w:ascii="Arial" w:hAnsi="Arial" w:cs="Arial"/>
          <w:sz w:val="22"/>
        </w:rPr>
      </w:pPr>
    </w:p>
    <w:p w14:paraId="3C5ED9E0" w14:textId="77777777" w:rsidR="00C1293E" w:rsidRPr="00331100" w:rsidRDefault="00C1293E" w:rsidP="00C1293E">
      <w:pPr>
        <w:jc w:val="both"/>
        <w:rPr>
          <w:rFonts w:ascii="Arial" w:hAnsi="Arial" w:cs="Arial"/>
          <w:b/>
          <w:bCs/>
          <w:sz w:val="22"/>
        </w:rPr>
      </w:pPr>
      <w:r w:rsidRPr="00331100">
        <w:rPr>
          <w:rFonts w:ascii="Arial" w:hAnsi="Arial" w:cs="Arial"/>
          <w:b/>
          <w:bCs/>
          <w:sz w:val="22"/>
        </w:rPr>
        <w:t>Mestnemu svetu Mestne občine Nova Gorica predlagamo, da obravnava in sprejme predloženo Strategijo razvoja kulture Mestne občine Nova Gorica 2025 – 2028.</w:t>
      </w:r>
    </w:p>
    <w:p w14:paraId="1DD94456" w14:textId="77777777" w:rsidR="00C1293E" w:rsidRDefault="00C1293E" w:rsidP="00C1293E">
      <w:pPr>
        <w:jc w:val="both"/>
        <w:rPr>
          <w:rFonts w:ascii="Arial" w:hAnsi="Arial" w:cs="Arial"/>
          <w:sz w:val="22"/>
        </w:rPr>
      </w:pPr>
    </w:p>
    <w:p w14:paraId="331F688A" w14:textId="77777777" w:rsidR="00C1293E" w:rsidRDefault="00C1293E" w:rsidP="00C1293E">
      <w:pPr>
        <w:jc w:val="both"/>
        <w:rPr>
          <w:rFonts w:ascii="Arial" w:hAnsi="Arial" w:cs="Arial"/>
          <w:b/>
          <w:sz w:val="22"/>
          <w:szCs w:val="22"/>
        </w:rPr>
      </w:pPr>
      <w:r w:rsidRPr="00331100">
        <w:rPr>
          <w:rFonts w:ascii="Arial" w:hAnsi="Arial" w:cs="Arial"/>
          <w:b/>
          <w:sz w:val="22"/>
          <w:szCs w:val="22"/>
        </w:rPr>
        <w:t xml:space="preserve">       </w:t>
      </w:r>
    </w:p>
    <w:p w14:paraId="56FA530B" w14:textId="77777777" w:rsidR="00C1293E" w:rsidRPr="00331100" w:rsidRDefault="00C1293E" w:rsidP="00C1293E">
      <w:pPr>
        <w:jc w:val="both"/>
        <w:rPr>
          <w:rFonts w:ascii="Arial" w:hAnsi="Arial" w:cs="Arial"/>
          <w:sz w:val="22"/>
        </w:rPr>
      </w:pPr>
    </w:p>
    <w:p w14:paraId="5C50AFD3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Samo Turel                                                  </w:t>
      </w:r>
    </w:p>
    <w:p w14:paraId="1E7621E6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ŽUPAN  </w:t>
      </w:r>
    </w:p>
    <w:p w14:paraId="34FF2BC7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</w:p>
    <w:p w14:paraId="3C3F461D" w14:textId="77777777" w:rsidR="00C1293E" w:rsidRDefault="00C1293E" w:rsidP="00C1293E">
      <w:pPr>
        <w:jc w:val="both"/>
        <w:rPr>
          <w:rFonts w:ascii="Arial" w:hAnsi="Arial" w:cs="Arial"/>
          <w:sz w:val="22"/>
          <w:szCs w:val="22"/>
        </w:rPr>
      </w:pPr>
    </w:p>
    <w:p w14:paraId="627191B0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 xml:space="preserve">Pripravili:    </w:t>
      </w:r>
    </w:p>
    <w:p w14:paraId="39EEEDE5" w14:textId="77777777" w:rsidR="00C1293E" w:rsidRPr="00331100" w:rsidRDefault="00C1293E" w:rsidP="00C1293E">
      <w:pPr>
        <w:jc w:val="both"/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 xml:space="preserve"> </w:t>
      </w:r>
    </w:p>
    <w:p w14:paraId="1E2945AE" w14:textId="77777777" w:rsidR="00C1293E" w:rsidRPr="00331100" w:rsidRDefault="00C1293E" w:rsidP="00C1293E">
      <w:pPr>
        <w:jc w:val="both"/>
        <w:rPr>
          <w:rFonts w:ascii="Arial" w:hAnsi="Arial" w:cs="Arial"/>
          <w:b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 xml:space="preserve">mag. Marinka Saksida, </w:t>
      </w:r>
      <w:r>
        <w:rPr>
          <w:rFonts w:ascii="Arial" w:hAnsi="Arial" w:cs="Arial"/>
          <w:sz w:val="22"/>
          <w:szCs w:val="22"/>
        </w:rPr>
        <w:t>vodja oddelka</w:t>
      </w:r>
    </w:p>
    <w:p w14:paraId="3062F5BC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</w:p>
    <w:p w14:paraId="5F79F8C0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</w:p>
    <w:p w14:paraId="6548B437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>Majda Petejan, višja svetovalka za družbene dejavnosti</w:t>
      </w:r>
    </w:p>
    <w:p w14:paraId="31369359" w14:textId="77777777" w:rsidR="00C1293E" w:rsidRPr="00331100" w:rsidRDefault="00C1293E" w:rsidP="00C1293E"/>
    <w:p w14:paraId="15BF905B" w14:textId="77777777" w:rsidR="00C1293E" w:rsidRPr="00331100" w:rsidRDefault="00C1293E" w:rsidP="00C1293E"/>
    <w:p w14:paraId="7111B06C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</w:p>
    <w:p w14:paraId="4EAA165F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</w:p>
    <w:p w14:paraId="6E290D28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</w:p>
    <w:p w14:paraId="37EA9EC9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</w:p>
    <w:p w14:paraId="3EDA442F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</w:p>
    <w:p w14:paraId="56769DA2" w14:textId="77777777" w:rsidR="00C1293E" w:rsidRPr="00331100" w:rsidRDefault="00C1293E" w:rsidP="00C1293E">
      <w:pPr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>Priloga:</w:t>
      </w:r>
    </w:p>
    <w:p w14:paraId="1F8A3289" w14:textId="77777777" w:rsidR="00C1293E" w:rsidRPr="00331100" w:rsidRDefault="00C1293E" w:rsidP="00C1293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331100">
        <w:rPr>
          <w:rFonts w:ascii="Arial" w:hAnsi="Arial" w:cs="Arial"/>
          <w:sz w:val="22"/>
          <w:szCs w:val="22"/>
        </w:rPr>
        <w:t>Strategija razvoja kulture v Mestni občini Nova Gorica 2025 - 2028</w:t>
      </w:r>
    </w:p>
    <w:p w14:paraId="13C16DB7" w14:textId="77777777" w:rsidR="00D957AA" w:rsidRDefault="00D957AA">
      <w:pPr>
        <w:rPr>
          <w:rFonts w:ascii="Arial" w:hAnsi="Arial" w:cs="Arial"/>
          <w:sz w:val="22"/>
          <w:szCs w:val="22"/>
        </w:rPr>
      </w:pPr>
    </w:p>
    <w:sectPr w:rsidR="00D957AA" w:rsidSect="00A4161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4400" w14:textId="77777777" w:rsidR="00A70A1D" w:rsidRDefault="00A70A1D">
      <w:r>
        <w:separator/>
      </w:r>
    </w:p>
  </w:endnote>
  <w:endnote w:type="continuationSeparator" w:id="0">
    <w:p w14:paraId="32ADCA7B" w14:textId="77777777" w:rsidR="00A70A1D" w:rsidRDefault="00A7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6A8C" w14:textId="10C54808" w:rsidR="00707CDF" w:rsidRDefault="00BA412E">
    <w:pPr>
      <w:pStyle w:val="Nog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4A1B0D0" wp14:editId="037A957B">
          <wp:simplePos x="0" y="0"/>
          <wp:positionH relativeFrom="page">
            <wp:posOffset>440690</wp:posOffset>
          </wp:positionH>
          <wp:positionV relativeFrom="page">
            <wp:posOffset>9621520</wp:posOffset>
          </wp:positionV>
          <wp:extent cx="5581650" cy="685800"/>
          <wp:effectExtent l="0" t="0" r="0" b="0"/>
          <wp:wrapTopAndBottom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673D" w14:textId="278C21BC" w:rsidR="00707CDF" w:rsidRDefault="00BA412E">
    <w:pPr>
      <w:pStyle w:val="Noga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A08E00C" wp14:editId="629FCD19">
          <wp:simplePos x="0" y="0"/>
          <wp:positionH relativeFrom="page">
            <wp:posOffset>288290</wp:posOffset>
          </wp:positionH>
          <wp:positionV relativeFrom="page">
            <wp:posOffset>9469120</wp:posOffset>
          </wp:positionV>
          <wp:extent cx="5581650" cy="685800"/>
          <wp:effectExtent l="0" t="0" r="0" b="0"/>
          <wp:wrapTopAndBottom/>
          <wp:docPr id="1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30FF" w14:textId="02211604" w:rsidR="00674E3D" w:rsidRDefault="003C1CCA">
    <w:pPr>
      <w:pStyle w:val="Nog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564409" wp14:editId="19C2430D">
          <wp:simplePos x="0" y="0"/>
          <wp:positionH relativeFrom="page">
            <wp:posOffset>363855</wp:posOffset>
          </wp:positionH>
          <wp:positionV relativeFrom="page">
            <wp:posOffset>10043795</wp:posOffset>
          </wp:positionV>
          <wp:extent cx="5543550" cy="314325"/>
          <wp:effectExtent l="0" t="0" r="0" b="0"/>
          <wp:wrapTopAndBottom/>
          <wp:docPr id="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C739" w14:textId="77777777" w:rsidR="00A70A1D" w:rsidRDefault="00A70A1D">
      <w:r>
        <w:separator/>
      </w:r>
    </w:p>
  </w:footnote>
  <w:footnote w:type="continuationSeparator" w:id="0">
    <w:p w14:paraId="0F29D6A8" w14:textId="77777777" w:rsidR="00A70A1D" w:rsidRDefault="00A7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9258" w14:textId="094BF53D" w:rsidR="00A41617" w:rsidRDefault="002A054C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93BA79" wp14:editId="3E2BCFA8">
          <wp:simplePos x="0" y="0"/>
          <wp:positionH relativeFrom="page">
            <wp:posOffset>280035</wp:posOffset>
          </wp:positionH>
          <wp:positionV relativeFrom="page">
            <wp:posOffset>464820</wp:posOffset>
          </wp:positionV>
          <wp:extent cx="2371725" cy="1000125"/>
          <wp:effectExtent l="0" t="0" r="0" b="0"/>
          <wp:wrapTopAndBottom/>
          <wp:docPr id="1516616627" name="Slika 2" descr="Slika, ki vsebuje besede besedilo, pisava, posnetek zaslon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16627" name="Slika 2" descr="Slika, ki vsebuje besede besedilo, pisava, posnetek zaslon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51F12"/>
    <w:multiLevelType w:val="hybridMultilevel"/>
    <w:tmpl w:val="296C892E"/>
    <w:lvl w:ilvl="0" w:tplc="CB0C1E3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F304A"/>
    <w:multiLevelType w:val="hybridMultilevel"/>
    <w:tmpl w:val="9170F666"/>
    <w:lvl w:ilvl="0" w:tplc="14D231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1317C"/>
    <w:multiLevelType w:val="hybridMultilevel"/>
    <w:tmpl w:val="7590B23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0ECD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042753">
    <w:abstractNumId w:val="0"/>
  </w:num>
  <w:num w:numId="2" w16cid:durableId="835455652">
    <w:abstractNumId w:val="2"/>
  </w:num>
  <w:num w:numId="3" w16cid:durableId="1562865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3B"/>
    <w:rsid w:val="000721C9"/>
    <w:rsid w:val="0007782C"/>
    <w:rsid w:val="00086DE9"/>
    <w:rsid w:val="000915D7"/>
    <w:rsid w:val="000F2931"/>
    <w:rsid w:val="000F416A"/>
    <w:rsid w:val="0010605B"/>
    <w:rsid w:val="00151869"/>
    <w:rsid w:val="001B3898"/>
    <w:rsid w:val="001E7271"/>
    <w:rsid w:val="002161BA"/>
    <w:rsid w:val="0024522F"/>
    <w:rsid w:val="002A054C"/>
    <w:rsid w:val="002B5108"/>
    <w:rsid w:val="002E1623"/>
    <w:rsid w:val="00310C4C"/>
    <w:rsid w:val="0031115D"/>
    <w:rsid w:val="00351424"/>
    <w:rsid w:val="003702B1"/>
    <w:rsid w:val="0037271A"/>
    <w:rsid w:val="00381C8F"/>
    <w:rsid w:val="003A7C6C"/>
    <w:rsid w:val="003C1CCA"/>
    <w:rsid w:val="003D3A05"/>
    <w:rsid w:val="003E01F1"/>
    <w:rsid w:val="004674D8"/>
    <w:rsid w:val="004F50B3"/>
    <w:rsid w:val="005A5E1F"/>
    <w:rsid w:val="005C0ADE"/>
    <w:rsid w:val="0064797E"/>
    <w:rsid w:val="00655E37"/>
    <w:rsid w:val="00674E3D"/>
    <w:rsid w:val="006C549F"/>
    <w:rsid w:val="00707CDF"/>
    <w:rsid w:val="00727285"/>
    <w:rsid w:val="00763311"/>
    <w:rsid w:val="007D660C"/>
    <w:rsid w:val="007E4ADF"/>
    <w:rsid w:val="007F36BC"/>
    <w:rsid w:val="008B4450"/>
    <w:rsid w:val="008D2621"/>
    <w:rsid w:val="008E6E3F"/>
    <w:rsid w:val="009239C3"/>
    <w:rsid w:val="009240B3"/>
    <w:rsid w:val="00943688"/>
    <w:rsid w:val="009951DD"/>
    <w:rsid w:val="009B43CC"/>
    <w:rsid w:val="009E0057"/>
    <w:rsid w:val="00A06F95"/>
    <w:rsid w:val="00A07333"/>
    <w:rsid w:val="00A36D0E"/>
    <w:rsid w:val="00A404E2"/>
    <w:rsid w:val="00A41617"/>
    <w:rsid w:val="00A70A1D"/>
    <w:rsid w:val="00AA08DC"/>
    <w:rsid w:val="00AB6DC4"/>
    <w:rsid w:val="00AB6FB1"/>
    <w:rsid w:val="00B203B2"/>
    <w:rsid w:val="00B43339"/>
    <w:rsid w:val="00BA412E"/>
    <w:rsid w:val="00BD6CBB"/>
    <w:rsid w:val="00C1293E"/>
    <w:rsid w:val="00C2169F"/>
    <w:rsid w:val="00C50FDB"/>
    <w:rsid w:val="00C95E96"/>
    <w:rsid w:val="00D01681"/>
    <w:rsid w:val="00D113E8"/>
    <w:rsid w:val="00D22A95"/>
    <w:rsid w:val="00D30F20"/>
    <w:rsid w:val="00D52B99"/>
    <w:rsid w:val="00D52F02"/>
    <w:rsid w:val="00D56C52"/>
    <w:rsid w:val="00D65317"/>
    <w:rsid w:val="00D957AA"/>
    <w:rsid w:val="00DA2879"/>
    <w:rsid w:val="00DC4F20"/>
    <w:rsid w:val="00DC63A0"/>
    <w:rsid w:val="00DF4C86"/>
    <w:rsid w:val="00E10E00"/>
    <w:rsid w:val="00E93296"/>
    <w:rsid w:val="00EA303B"/>
    <w:rsid w:val="00EB5B12"/>
    <w:rsid w:val="00EC0FFA"/>
    <w:rsid w:val="00F042E3"/>
    <w:rsid w:val="00FC02C1"/>
    <w:rsid w:val="00FD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FC349"/>
  <w15:chartTrackingRefBased/>
  <w15:docId w15:val="{27A8E8C5-E171-4157-A1BA-DB6F0F30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303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303B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D113E8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semiHidden/>
    <w:unhideWhenUsed/>
    <w:rsid w:val="000915D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957AA"/>
    <w:pPr>
      <w:ind w:left="720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C1293E"/>
    <w:pPr>
      <w:jc w:val="both"/>
    </w:pPr>
  </w:style>
  <w:style w:type="character" w:customStyle="1" w:styleId="TelobesedilaZnak">
    <w:name w:val="Telo besedila Znak"/>
    <w:link w:val="Telobesedila"/>
    <w:rsid w:val="00C1293E"/>
    <w:rPr>
      <w:sz w:val="24"/>
      <w:szCs w:val="24"/>
    </w:rPr>
  </w:style>
  <w:style w:type="paragraph" w:styleId="Revizija">
    <w:name w:val="Revision"/>
    <w:hidden/>
    <w:uiPriority w:val="99"/>
    <w:semiHidden/>
    <w:rsid w:val="00D52B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672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MITFORMA d.o.o.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Miran Ljucovič</cp:lastModifiedBy>
  <cp:revision>15</cp:revision>
  <cp:lastPrinted>2023-05-10T06:28:00Z</cp:lastPrinted>
  <dcterms:created xsi:type="dcterms:W3CDTF">2025-05-28T08:15:00Z</dcterms:created>
  <dcterms:modified xsi:type="dcterms:W3CDTF">2025-06-05T10:44:00Z</dcterms:modified>
</cp:coreProperties>
</file>