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216B1" w14:textId="4FAAD6C2" w:rsidR="00ED42C7" w:rsidRDefault="00ED42C7" w:rsidP="00ED42C7">
      <w:r w:rsidRPr="00ED42C7">
        <w:t>Številka:</w:t>
      </w:r>
      <w:r>
        <w:t xml:space="preserve"> </w:t>
      </w:r>
      <w:r w:rsidRPr="00ED42C7">
        <w:t>352-1/2026-31968/</w:t>
      </w:r>
      <w:r w:rsidR="00285E80">
        <w:t>11</w:t>
      </w:r>
      <w:r w:rsidRPr="00ED42C7">
        <w:br/>
        <w:t xml:space="preserve">Datum: </w:t>
      </w:r>
      <w:r w:rsidR="00832661">
        <w:t>27</w:t>
      </w:r>
      <w:r w:rsidRPr="00ED42C7">
        <w:t>. 2. 2026</w:t>
      </w:r>
    </w:p>
    <w:p w14:paraId="2B2A32DA" w14:textId="04CC3175" w:rsidR="00116270" w:rsidRPr="00116270" w:rsidRDefault="00116270" w:rsidP="00ED42C7">
      <w:pPr>
        <w:jc w:val="both"/>
      </w:pPr>
      <w:r w:rsidRPr="00116270">
        <w:t>Center za socialno delo Severna Primorska, Delpinova ulica 18b, 5000 Nova Gorica na podlagi 51. člena Zakona o stvarnem premoženju države in samoupravnih lokalnih skupnosti (Uradni list RS, št. 11/18, 79/18 in 78/23 – ZORR – v nadaljevanju ZSPDSLS</w:t>
      </w:r>
      <w:r w:rsidRPr="00116270">
        <w:noBreakHyphen/>
        <w:t>1) in 16. členom Uredbe o stvarnem premoženju države in samoupravnih lokalnih skupnosti (Uradni list RS, št. 31/18) objavlja:</w:t>
      </w:r>
    </w:p>
    <w:p w14:paraId="0CEDACF1" w14:textId="77777777" w:rsidR="00116270" w:rsidRPr="00116270" w:rsidRDefault="00116270" w:rsidP="00ED42C7">
      <w:pPr>
        <w:jc w:val="both"/>
      </w:pPr>
      <w:r w:rsidRPr="00116270">
        <w:rPr>
          <w:b/>
          <w:bCs/>
        </w:rPr>
        <w:t>JAVNO ZBIRANJE PONUDB ZA NAJEM POSLOVNIH PROSTOROV Za potrebe Kriznega centra za otroke in mladostnike 10-KA.</w:t>
      </w:r>
    </w:p>
    <w:p w14:paraId="15104191" w14:textId="60CD4B2E" w:rsidR="00116270" w:rsidRPr="00116270" w:rsidRDefault="00116270" w:rsidP="00ED42C7">
      <w:pPr>
        <w:jc w:val="both"/>
      </w:pPr>
      <w:r w:rsidRPr="00116270">
        <w:t>V okviru Centra za socialno delo Severna Primorska</w:t>
      </w:r>
      <w:r>
        <w:t>, ki pokriva enoto Ajdovščina, Idrija, Nova Gorica in Tolmin,</w:t>
      </w:r>
      <w:r w:rsidRPr="00116270">
        <w:t xml:space="preserve"> deluje Krizni center za otroke in mladostnike 10-KA, ki je namenjen otrokom in mladostnikom od 6. do 18. leta starosti in se znajdejo v akutni stiski, zaradi katere je nujna izločitev iz okolja, v katerem bivajo. Krizni center deluje neprekinjeno 24 ur na dan. Trajanje namestitve traja do tri tedne, v izjemnih primerih, kar se pogosto dogaja, pa bivajo tudi več kot eno let. Pri izboru prostorov je prav zato potrebno upoštevati, da prostori ne služijo zgolj kratkotrajnemu začasnemu bivanju, temveč predstavljajo nameščenim otrokom /mladostnikom dejanski življenjski prostor. Zato je nujno zagotoviti zadostno prostornost, funkcionalnost in kakovosten bivanjski standard, ki omogoča varno, stabilno in dostojno okolje.</w:t>
      </w:r>
    </w:p>
    <w:p w14:paraId="2BB00B01" w14:textId="77777777" w:rsidR="00116270" w:rsidRPr="00116270" w:rsidRDefault="00116270" w:rsidP="00ED42C7">
      <w:pPr>
        <w:jc w:val="both"/>
      </w:pPr>
      <w:r w:rsidRPr="00116270">
        <w:t>Krizni center izvaja socialnovarstveno storitev začasnega intervencijskega bivanja otrok in mladostnikov, zato morajo prostori zagotavljati varno, funkcionalno in domače okolje, primerno za bivanje in delo z ranljivo populacijo. Naročnik nujno potrebuje nove prostore, ki morajo biti zagotovljeni </w:t>
      </w:r>
      <w:r w:rsidRPr="00116270">
        <w:rPr>
          <w:b/>
          <w:bCs/>
        </w:rPr>
        <w:t>najpozneje do oktobra 2026.</w:t>
      </w:r>
    </w:p>
    <w:p w14:paraId="1BA2E91A" w14:textId="77777777" w:rsidR="00116270" w:rsidRPr="00116270" w:rsidRDefault="00116270" w:rsidP="00ED42C7">
      <w:pPr>
        <w:jc w:val="both"/>
        <w:rPr>
          <w:b/>
          <w:bCs/>
        </w:rPr>
      </w:pPr>
      <w:r w:rsidRPr="00116270">
        <w:rPr>
          <w:b/>
          <w:bCs/>
        </w:rPr>
        <w:t>PREDMET JAVNEGA POZIVA</w:t>
      </w:r>
    </w:p>
    <w:p w14:paraId="53D545B6" w14:textId="77777777" w:rsidR="00116270" w:rsidRPr="00116270" w:rsidRDefault="00116270" w:rsidP="00ED42C7">
      <w:pPr>
        <w:numPr>
          <w:ilvl w:val="0"/>
          <w:numId w:val="1"/>
        </w:numPr>
        <w:jc w:val="both"/>
      </w:pPr>
      <w:r w:rsidRPr="00116270">
        <w:t>Predmet javnega zbiranja ponudb je najem nepremičnine (stanovanjska hiša ali drug primeren poslovni prostor), ki omogoča izvajanje 24</w:t>
      </w:r>
      <w:r w:rsidRPr="00116270">
        <w:noBreakHyphen/>
        <w:t>urnega programa kriznega centra.</w:t>
      </w:r>
    </w:p>
    <w:p w14:paraId="37E04AF5" w14:textId="77777777" w:rsidR="00116270" w:rsidRPr="00116270" w:rsidRDefault="00116270" w:rsidP="00ED42C7">
      <w:pPr>
        <w:numPr>
          <w:ilvl w:val="0"/>
          <w:numId w:val="1"/>
        </w:numPr>
        <w:jc w:val="both"/>
      </w:pPr>
      <w:r w:rsidRPr="00116270">
        <w:t>Stanovanjska hiša oziroma poslovni prostor mora omogočiti bivanje otrok in mladostnikov v več sobah, ločene prostore za strokovne delavce, skupni dnevni prostor, sanitarije in kopalnice, kuhinjo z jedilnim kotom, možnost varnega gibanja in bivanja. Zaželen je izhod na zelene površine, terasi in/ali vrt. Podrobneje so specifikacije prostorov navedeni v nadaljevanju.</w:t>
      </w:r>
    </w:p>
    <w:p w14:paraId="32A86BCD" w14:textId="77777777" w:rsidR="00116270" w:rsidRPr="00116270" w:rsidRDefault="00116270" w:rsidP="00ED42C7">
      <w:pPr>
        <w:numPr>
          <w:ilvl w:val="0"/>
          <w:numId w:val="1"/>
        </w:numPr>
        <w:jc w:val="both"/>
      </w:pPr>
      <w:r w:rsidRPr="00116270">
        <w:t>Prostori morajo biti oblikovani kot bivanjska enota oziroma stanovanje in ne institucionalni prostor; omogočati morajo zasebnost, varnost in dostojanstvo uporabnikov ter predstavljati zaključeno celoto, namenjeno izključno izvajanju dejavnosti kriznega centra.</w:t>
      </w:r>
      <w:r w:rsidRPr="00116270">
        <w:br/>
        <w:t>Omogočen mora biti dostop tudi gibalno oviranim osebam (novela Zakona o izenačevanju možnosti invalidov (ZIMI - D). Če se prostori nahajajo v višjih etažah, mora biti zagotovljen dostop z dvigalom, prilagojenim invalidnim osebam (ustrezna velikost kabine, tipke z brajlico, zvočni signali ipd.).</w:t>
      </w:r>
    </w:p>
    <w:p w14:paraId="023C664D" w14:textId="77777777" w:rsidR="00116270" w:rsidRPr="00116270" w:rsidRDefault="00116270" w:rsidP="00ED42C7">
      <w:pPr>
        <w:numPr>
          <w:ilvl w:val="0"/>
          <w:numId w:val="1"/>
        </w:numPr>
        <w:jc w:val="both"/>
      </w:pPr>
      <w:r w:rsidRPr="00116270">
        <w:t>Površine prostorov morajo biti v skladu s </w:t>
      </w:r>
      <w:hyperlink r:id="rId5" w:history="1">
        <w:r w:rsidRPr="00116270">
          <w:rPr>
            <w:rStyle w:val="Hiperpovezava"/>
          </w:rPr>
          <w:t>Pravilnikom o minimalnih tehničnih zahtevah za izvajalce socialnovarstvenih storitev (Uradni list RS, št. 67/06, 135/21 in 19/24)</w:t>
        </w:r>
      </w:hyperlink>
    </w:p>
    <w:p w14:paraId="622D4EBE" w14:textId="77777777" w:rsidR="00116270" w:rsidRPr="00116270" w:rsidRDefault="00116270" w:rsidP="00ED42C7">
      <w:pPr>
        <w:numPr>
          <w:ilvl w:val="0"/>
          <w:numId w:val="1"/>
        </w:numPr>
        <w:jc w:val="both"/>
      </w:pPr>
      <w:r w:rsidRPr="00116270">
        <w:t>Lokacijski in tehnični pogoji:</w:t>
      </w:r>
    </w:p>
    <w:p w14:paraId="7F32C6C2" w14:textId="2E5B7572" w:rsidR="00116270" w:rsidRPr="00116270" w:rsidRDefault="00116270" w:rsidP="00ED42C7">
      <w:pPr>
        <w:numPr>
          <w:ilvl w:val="1"/>
          <w:numId w:val="1"/>
        </w:numPr>
        <w:jc w:val="both"/>
      </w:pPr>
      <w:r w:rsidRPr="00116270">
        <w:lastRenderedPageBreak/>
        <w:t>Območje: Nova Gorica</w:t>
      </w:r>
      <w:r>
        <w:t>, Solkan, Šempeter pri Gorici in Kromberk, oziroma lokacija ki je v bl</w:t>
      </w:r>
      <w:r w:rsidR="00832661">
        <w:t xml:space="preserve">ižini </w:t>
      </w:r>
      <w:r>
        <w:t>sedežnih služb CSD, ki se nahajajo v Novi Gorici.</w:t>
      </w:r>
    </w:p>
    <w:p w14:paraId="59FFFB5C" w14:textId="77777777" w:rsidR="00116270" w:rsidRPr="00116270" w:rsidRDefault="00116270" w:rsidP="00ED42C7">
      <w:pPr>
        <w:numPr>
          <w:ilvl w:val="1"/>
          <w:numId w:val="1"/>
        </w:numPr>
        <w:jc w:val="both"/>
      </w:pPr>
      <w:r w:rsidRPr="00116270">
        <w:t>Varnost: Lokacija mora zagotavljati varno okolje in diskretnost.</w:t>
      </w:r>
    </w:p>
    <w:p w14:paraId="4C5ACE11" w14:textId="77777777" w:rsidR="00116270" w:rsidRPr="00116270" w:rsidRDefault="00116270" w:rsidP="00ED42C7">
      <w:pPr>
        <w:numPr>
          <w:ilvl w:val="1"/>
          <w:numId w:val="1"/>
        </w:numPr>
        <w:jc w:val="both"/>
      </w:pPr>
      <w:r w:rsidRPr="00116270">
        <w:t>Dostopnost: bližina javnega potniškega prometa in osnovne infrastrukture (šola, zdravstveni dom).</w:t>
      </w:r>
    </w:p>
    <w:p w14:paraId="52A02D41" w14:textId="77777777" w:rsidR="00116270" w:rsidRPr="00116270" w:rsidRDefault="00116270" w:rsidP="00ED42C7">
      <w:pPr>
        <w:numPr>
          <w:ilvl w:val="1"/>
          <w:numId w:val="1"/>
        </w:numPr>
        <w:jc w:val="both"/>
      </w:pPr>
      <w:r w:rsidRPr="00116270">
        <w:t>Opremljenost: Prostori naj ne bodo opremljeni, z izjemo sanitarij in kopalnic.</w:t>
      </w:r>
    </w:p>
    <w:p w14:paraId="65F4F09A" w14:textId="77777777" w:rsidR="00116270" w:rsidRPr="00116270" w:rsidRDefault="00116270" w:rsidP="00ED42C7">
      <w:pPr>
        <w:numPr>
          <w:ilvl w:val="1"/>
          <w:numId w:val="1"/>
        </w:numPr>
        <w:jc w:val="both"/>
      </w:pPr>
      <w:r w:rsidRPr="00116270">
        <w:t>Standardi: prostori morajo imeti izpolnjevati veljavne standarde požarne varnosti in higienske minimume. Imeti morajo urejeno aktivno požarno zaščito (avtomatsko javljanje požara) ter alarmni sistem. Prostori morajo biti ogrevani, klimatizirani in imeti zagotovljeno ustrezno naravno ali mehansko prezračevanje, skladno z bivalnimi in higienskimi standardi. Sistem ogrevanja mora omogočati stabilno temperaturo skozi vse leto, primeren za 24</w:t>
      </w:r>
      <w:r w:rsidRPr="00116270">
        <w:noBreakHyphen/>
        <w:t>urno bivanje otrok in mladostnikov.</w:t>
      </w:r>
    </w:p>
    <w:p w14:paraId="00BF238F" w14:textId="77777777" w:rsidR="00116270" w:rsidRPr="00116270" w:rsidRDefault="00116270" w:rsidP="00ED42C7">
      <w:pPr>
        <w:numPr>
          <w:ilvl w:val="1"/>
          <w:numId w:val="1"/>
        </w:numPr>
        <w:jc w:val="both"/>
      </w:pPr>
      <w:r w:rsidRPr="00116270">
        <w:t>Zaželeno je, da je pisarna za zaposlene zvočno izolirana zaradi varovanja zasebnosti uporabnikov.</w:t>
      </w:r>
    </w:p>
    <w:p w14:paraId="3FC3CFBC" w14:textId="77777777" w:rsidR="00116270" w:rsidRPr="00116270" w:rsidRDefault="00116270" w:rsidP="00ED42C7">
      <w:pPr>
        <w:numPr>
          <w:ilvl w:val="1"/>
          <w:numId w:val="1"/>
        </w:numPr>
        <w:jc w:val="both"/>
      </w:pPr>
      <w:r w:rsidRPr="00116270">
        <w:t>Prostori morajo imeti možnost priklopa na širokopasovni internet (optični ali druga ustrezna povezava) ter omogočati vzpostavitev stabilnega, varnega in zanesljivega brezžičnega omrežja (</w:t>
      </w:r>
      <w:proofErr w:type="spellStart"/>
      <w:r w:rsidRPr="00116270">
        <w:t>Wi</w:t>
      </w:r>
      <w:proofErr w:type="spellEnd"/>
      <w:r w:rsidRPr="00116270">
        <w:noBreakHyphen/>
        <w:t>Fi) v celotnem objektu.</w:t>
      </w:r>
    </w:p>
    <w:p w14:paraId="56052E45" w14:textId="77777777" w:rsidR="00116270" w:rsidRPr="00116270" w:rsidRDefault="00116270" w:rsidP="00ED42C7">
      <w:pPr>
        <w:numPr>
          <w:ilvl w:val="1"/>
          <w:numId w:val="1"/>
        </w:numPr>
        <w:jc w:val="both"/>
      </w:pPr>
      <w:r w:rsidRPr="00116270">
        <w:t>Parkirna mesta: število parkirnih mest, ki jih naročnik potrebuje je minimalno 2. ponudnik lahko v ponudbi ponudi parkirna mesta v kleti objekta ali na prostem neposredno ob objektu. Cena parkirnih mest mora biti vključena v ceno najema.</w:t>
      </w:r>
    </w:p>
    <w:p w14:paraId="1FCD039B" w14:textId="77777777" w:rsidR="00116270" w:rsidRPr="00116270" w:rsidRDefault="00116270" w:rsidP="00ED42C7">
      <w:pPr>
        <w:numPr>
          <w:ilvl w:val="1"/>
          <w:numId w:val="1"/>
        </w:numPr>
        <w:jc w:val="both"/>
      </w:pPr>
      <w:r w:rsidRPr="00116270">
        <w:t>Omogočen mora biti varen in neposreden dostop intervencijskih vozil</w:t>
      </w:r>
    </w:p>
    <w:p w14:paraId="1710126D" w14:textId="77777777" w:rsidR="00116270" w:rsidRPr="00116270" w:rsidRDefault="00116270" w:rsidP="00ED42C7">
      <w:pPr>
        <w:numPr>
          <w:ilvl w:val="0"/>
          <w:numId w:val="1"/>
        </w:numPr>
        <w:jc w:val="both"/>
      </w:pPr>
      <w:r w:rsidRPr="00116270">
        <w:t>Najem se sklene za nedoločen čas. Odpovedni rok najemne pogodbe znaša 12 mesecev.</w:t>
      </w:r>
    </w:p>
    <w:p w14:paraId="5E9F8D27" w14:textId="77777777" w:rsidR="00116270" w:rsidRPr="00116270" w:rsidRDefault="00116270" w:rsidP="00ED42C7">
      <w:pPr>
        <w:jc w:val="both"/>
        <w:rPr>
          <w:b/>
          <w:bCs/>
        </w:rPr>
      </w:pPr>
      <w:r w:rsidRPr="00116270">
        <w:rPr>
          <w:b/>
          <w:bCs/>
        </w:rPr>
        <w:t>Specifikacija poslovnih prostorov:</w:t>
      </w:r>
    </w:p>
    <w:p w14:paraId="29F6FBCB" w14:textId="77777777" w:rsidR="00116270" w:rsidRPr="00116270" w:rsidRDefault="00116270" w:rsidP="00ED42C7">
      <w:pPr>
        <w:jc w:val="both"/>
      </w:pPr>
      <w:r w:rsidRPr="00116270">
        <w:t>V Kriznem centru je za namen zagotovitve ustreznih bivalnih pogojev predvidena namestitev do 8 uporabnikov. Prostori morajo omogočati dolgoročno bivanje otrok in mladostnikov ter zagotavljati primeren bivanjski standard.</w:t>
      </w:r>
    </w:p>
    <w:p w14:paraId="0326606F" w14:textId="77777777" w:rsidR="00116270" w:rsidRPr="00116270" w:rsidRDefault="00116270" w:rsidP="00ED42C7">
      <w:pPr>
        <w:jc w:val="both"/>
        <w:rPr>
          <w:b/>
          <w:bCs/>
        </w:rPr>
      </w:pPr>
      <w:r w:rsidRPr="00116270">
        <w:rPr>
          <w:b/>
          <w:bCs/>
        </w:rPr>
        <w:t>1. Spalni prostori:</w:t>
      </w:r>
    </w:p>
    <w:p w14:paraId="724E32F3" w14:textId="77777777" w:rsidR="00116270" w:rsidRPr="00116270" w:rsidRDefault="00116270" w:rsidP="00ED42C7">
      <w:pPr>
        <w:numPr>
          <w:ilvl w:val="0"/>
          <w:numId w:val="2"/>
        </w:numPr>
        <w:jc w:val="both"/>
      </w:pPr>
      <w:r w:rsidRPr="00116270">
        <w:t>Dve večji sobi, vsaka za največ 3 uporabnike, dovolj prostorni, da omogočata opremljenost s posteljo (pogradom), nočnimi omaricami, pripadajočimi pisalnimi mizami in z dovolj prostora, namenjenega dnevnemu bivanju oziroma aktivnostim -</w:t>
      </w:r>
    </w:p>
    <w:p w14:paraId="3D059010" w14:textId="77777777" w:rsidR="00116270" w:rsidRPr="00116270" w:rsidRDefault="00116270" w:rsidP="00ED42C7">
      <w:pPr>
        <w:numPr>
          <w:ilvl w:val="0"/>
          <w:numId w:val="2"/>
        </w:numPr>
        <w:jc w:val="both"/>
      </w:pPr>
      <w:r w:rsidRPr="00116270">
        <w:t>vsaka v izmeri minimalno 20 m².</w:t>
      </w:r>
    </w:p>
    <w:p w14:paraId="19748311" w14:textId="77777777" w:rsidR="00116270" w:rsidRPr="00116270" w:rsidRDefault="00116270" w:rsidP="00ED42C7">
      <w:pPr>
        <w:numPr>
          <w:ilvl w:val="0"/>
          <w:numId w:val="2"/>
        </w:numPr>
        <w:jc w:val="both"/>
      </w:pPr>
      <w:r w:rsidRPr="00116270">
        <w:t>Ena soba, lahko manjša, namenjena dvema uporabnikoma, dovolj prostorna, da omogoča opremljenost s posteljo (pogradom), nočnima omaricama, pripadajočimi pisalnimi mizami in z dovolj prostora, namenjenega dnevnemu bivanju oziroma aktivnostim - v izmeri minimalno 12 m².</w:t>
      </w:r>
    </w:p>
    <w:p w14:paraId="25D4E112" w14:textId="77777777" w:rsidR="00116270" w:rsidRPr="00116270" w:rsidRDefault="00116270" w:rsidP="00ED42C7">
      <w:pPr>
        <w:numPr>
          <w:ilvl w:val="0"/>
          <w:numId w:val="2"/>
        </w:numPr>
        <w:jc w:val="both"/>
      </w:pPr>
      <w:r w:rsidRPr="00116270">
        <w:lastRenderedPageBreak/>
        <w:t xml:space="preserve">Spalnic je lahko tudi več, npr. štiri dvoposteljne, v tem primeru mora vsaka merit minimalno 12 m². Prednost predstavlja prostor z več spalnicami, zaradi možnosti </w:t>
      </w:r>
      <w:proofErr w:type="spellStart"/>
      <w:r w:rsidRPr="00116270">
        <w:t>rangiranja</w:t>
      </w:r>
      <w:proofErr w:type="spellEnd"/>
      <w:r w:rsidRPr="00116270">
        <w:t xml:space="preserve"> nameščenih uporabnikov glede na starost in druge specifičnosti.</w:t>
      </w:r>
    </w:p>
    <w:p w14:paraId="72CB245C" w14:textId="77777777" w:rsidR="00116270" w:rsidRPr="00116270" w:rsidRDefault="00116270" w:rsidP="00ED42C7">
      <w:pPr>
        <w:numPr>
          <w:ilvl w:val="0"/>
          <w:numId w:val="2"/>
        </w:numPr>
        <w:jc w:val="both"/>
      </w:pPr>
      <w:r w:rsidRPr="00116270">
        <w:t>Spalnice morajo biti med seboj ločene zaradi zagotavljanja ločevanja po spolu (fantje /dekleta).</w:t>
      </w:r>
    </w:p>
    <w:p w14:paraId="763EDFCB" w14:textId="77777777" w:rsidR="00116270" w:rsidRPr="00116270" w:rsidRDefault="00116270" w:rsidP="00ED42C7">
      <w:pPr>
        <w:jc w:val="both"/>
        <w:rPr>
          <w:b/>
          <w:bCs/>
        </w:rPr>
      </w:pPr>
      <w:r w:rsidRPr="00116270">
        <w:rPr>
          <w:b/>
          <w:bCs/>
        </w:rPr>
        <w:t>2. Garderoba/prostor za zaposlene</w:t>
      </w:r>
    </w:p>
    <w:p w14:paraId="651C710B" w14:textId="77777777" w:rsidR="00116270" w:rsidRPr="00116270" w:rsidRDefault="00116270" w:rsidP="00ED42C7">
      <w:pPr>
        <w:numPr>
          <w:ilvl w:val="0"/>
          <w:numId w:val="3"/>
        </w:numPr>
        <w:jc w:val="both"/>
      </w:pPr>
      <w:r w:rsidRPr="00116270">
        <w:t>Ločen prostor (garderoba), namenjen shranjevanju inventarja potrebnega za bivanje otrok in mladostnikov (posteljnina, oblačila, tehnični pripomočki, zdravila, dokumentacija ipd.). Prostor hkrati služi zaposlenemu v nočni izmeni (prostor za manjši kavč ali posteljo).</w:t>
      </w:r>
    </w:p>
    <w:p w14:paraId="0F29AE68" w14:textId="77777777" w:rsidR="00116270" w:rsidRPr="00116270" w:rsidRDefault="00116270" w:rsidP="00ED42C7">
      <w:pPr>
        <w:jc w:val="both"/>
        <w:rPr>
          <w:b/>
          <w:bCs/>
        </w:rPr>
      </w:pPr>
      <w:r w:rsidRPr="00116270">
        <w:rPr>
          <w:b/>
          <w:bCs/>
        </w:rPr>
        <w:t>3. Sanitarni prostori</w:t>
      </w:r>
    </w:p>
    <w:p w14:paraId="4D14857A" w14:textId="77777777" w:rsidR="00116270" w:rsidRPr="00116270" w:rsidRDefault="00116270" w:rsidP="00ED42C7">
      <w:pPr>
        <w:numPr>
          <w:ilvl w:val="0"/>
          <w:numId w:val="4"/>
        </w:numPr>
        <w:jc w:val="both"/>
      </w:pPr>
      <w:r w:rsidRPr="00116270">
        <w:t>Dve ločeni kopalnici, zaradi ločevanja po spolu (fantje / dekleta).</w:t>
      </w:r>
    </w:p>
    <w:p w14:paraId="27516DEB" w14:textId="77777777" w:rsidR="00116270" w:rsidRPr="00116270" w:rsidRDefault="00116270" w:rsidP="00ED42C7">
      <w:pPr>
        <w:numPr>
          <w:ilvl w:val="0"/>
          <w:numId w:val="4"/>
        </w:numPr>
        <w:jc w:val="both"/>
      </w:pPr>
      <w:r w:rsidRPr="00116270">
        <w:t>Prostor za pralni in sušilni stroj (lahko je umeščen v okviru kopalnic ali v ločenem prostoru).</w:t>
      </w:r>
    </w:p>
    <w:p w14:paraId="79F2869E" w14:textId="77777777" w:rsidR="00116270" w:rsidRPr="00116270" w:rsidRDefault="00116270" w:rsidP="00ED42C7">
      <w:pPr>
        <w:numPr>
          <w:ilvl w:val="0"/>
          <w:numId w:val="4"/>
        </w:numPr>
        <w:jc w:val="both"/>
      </w:pPr>
      <w:r w:rsidRPr="00116270">
        <w:t>Ločeno stranišče za zaposlene in obiskovalce.</w:t>
      </w:r>
    </w:p>
    <w:p w14:paraId="682348B7" w14:textId="77777777" w:rsidR="00116270" w:rsidRPr="00116270" w:rsidRDefault="00116270" w:rsidP="00ED42C7">
      <w:pPr>
        <w:jc w:val="both"/>
        <w:rPr>
          <w:b/>
          <w:bCs/>
        </w:rPr>
      </w:pPr>
      <w:r w:rsidRPr="00116270">
        <w:rPr>
          <w:b/>
          <w:bCs/>
        </w:rPr>
        <w:t>4. Skupni bivalni prostori</w:t>
      </w:r>
    </w:p>
    <w:p w14:paraId="2CA99549" w14:textId="77777777" w:rsidR="00116270" w:rsidRPr="00116270" w:rsidRDefault="00116270" w:rsidP="00ED42C7">
      <w:pPr>
        <w:numPr>
          <w:ilvl w:val="0"/>
          <w:numId w:val="5"/>
        </w:numPr>
        <w:jc w:val="both"/>
      </w:pPr>
      <w:r w:rsidRPr="00116270">
        <w:t>Dnevni prostor v izmeri vsaj 20 m², namenjen skupnemu druženju in prostočasnim aktivnostim.</w:t>
      </w:r>
    </w:p>
    <w:p w14:paraId="00D0CE37" w14:textId="77777777" w:rsidR="00116270" w:rsidRPr="00116270" w:rsidRDefault="00116270" w:rsidP="00ED42C7">
      <w:pPr>
        <w:numPr>
          <w:ilvl w:val="0"/>
          <w:numId w:val="5"/>
        </w:numPr>
        <w:jc w:val="both"/>
      </w:pPr>
      <w:r w:rsidRPr="00116270">
        <w:t>Kuhinja s pripadajočo jedilnico, v izmeri vsaj 20 m².</w:t>
      </w:r>
    </w:p>
    <w:p w14:paraId="6583CC66" w14:textId="77777777" w:rsidR="00116270" w:rsidRPr="00116270" w:rsidRDefault="00116270" w:rsidP="00ED42C7">
      <w:pPr>
        <w:jc w:val="both"/>
        <w:rPr>
          <w:b/>
          <w:bCs/>
        </w:rPr>
      </w:pPr>
      <w:r w:rsidRPr="00116270">
        <w:rPr>
          <w:b/>
          <w:bCs/>
        </w:rPr>
        <w:t>5. Delovni prostor</w:t>
      </w:r>
    </w:p>
    <w:p w14:paraId="0C455CA5" w14:textId="77777777" w:rsidR="00116270" w:rsidRPr="00116270" w:rsidRDefault="00116270" w:rsidP="00ED42C7">
      <w:pPr>
        <w:numPr>
          <w:ilvl w:val="0"/>
          <w:numId w:val="6"/>
        </w:numPr>
        <w:jc w:val="both"/>
      </w:pPr>
      <w:r w:rsidRPr="00116270">
        <w:t>Pisarna za zaposlene, v izmeri 7-14 m².</w:t>
      </w:r>
    </w:p>
    <w:p w14:paraId="5BFFE0FC" w14:textId="77777777" w:rsidR="00116270" w:rsidRPr="00116270" w:rsidRDefault="00116270" w:rsidP="00ED42C7">
      <w:pPr>
        <w:jc w:val="both"/>
        <w:rPr>
          <w:b/>
          <w:bCs/>
        </w:rPr>
      </w:pPr>
      <w:r w:rsidRPr="00116270">
        <w:rPr>
          <w:b/>
          <w:bCs/>
        </w:rPr>
        <w:t>6. Zunanji prostor</w:t>
      </w:r>
    </w:p>
    <w:p w14:paraId="0267027C" w14:textId="77777777" w:rsidR="00116270" w:rsidRPr="00116270" w:rsidRDefault="00116270" w:rsidP="00ED42C7">
      <w:pPr>
        <w:numPr>
          <w:ilvl w:val="0"/>
          <w:numId w:val="7"/>
        </w:numPr>
        <w:jc w:val="both"/>
      </w:pPr>
      <w:r w:rsidRPr="00116270">
        <w:t>Prednost predstavlja možnost uporabe zunanjega dvorišča ali zunanje površine, prostočasno gibanje otrok in mladostnikov. Zunanji prostor mora biti ograjen in primeren za igro otrok na prostem, ter z možnostjo postavitve igral.</w:t>
      </w:r>
    </w:p>
    <w:p w14:paraId="44D707D8" w14:textId="77777777" w:rsidR="00116270" w:rsidRPr="00116270" w:rsidRDefault="00116270" w:rsidP="00ED42C7">
      <w:pPr>
        <w:jc w:val="both"/>
        <w:rPr>
          <w:b/>
          <w:bCs/>
        </w:rPr>
      </w:pPr>
      <w:r w:rsidRPr="00116270">
        <w:rPr>
          <w:b/>
          <w:bCs/>
        </w:rPr>
        <w:t>VSEBINA PONUDBE</w:t>
      </w:r>
    </w:p>
    <w:p w14:paraId="0854B72D" w14:textId="77777777" w:rsidR="00116270" w:rsidRPr="00116270" w:rsidRDefault="00116270" w:rsidP="00ED42C7">
      <w:pPr>
        <w:jc w:val="both"/>
      </w:pPr>
      <w:r w:rsidRPr="00116270">
        <w:t>Ponudniki morajo predložiti:</w:t>
      </w:r>
    </w:p>
    <w:p w14:paraId="3503EB53" w14:textId="77777777" w:rsidR="00116270" w:rsidRPr="00116270" w:rsidRDefault="00116270" w:rsidP="00ED42C7">
      <w:pPr>
        <w:numPr>
          <w:ilvl w:val="0"/>
          <w:numId w:val="8"/>
        </w:numPr>
        <w:jc w:val="both"/>
      </w:pPr>
      <w:r w:rsidRPr="00116270">
        <w:t>Ponudbe lahko oddajo pravne ali fizične osebe, ki so lastniki nepremičnine. Ponudbi se doda izpisek iz zemljiške knjige, ki izkazuje lastništvo ponudnika (ne starejši od 30 dni).</w:t>
      </w:r>
    </w:p>
    <w:p w14:paraId="7267AEE8" w14:textId="77777777" w:rsidR="00116270" w:rsidRPr="00116270" w:rsidRDefault="00116270" w:rsidP="00ED42C7">
      <w:pPr>
        <w:numPr>
          <w:ilvl w:val="0"/>
          <w:numId w:val="8"/>
        </w:numPr>
        <w:jc w:val="both"/>
      </w:pPr>
      <w:r w:rsidRPr="00116270">
        <w:t>V ponudbi mora biti navedena višina mesečne najemnine (ceno najema, izraženo v EUR/m² na mesec, z vključenim DDV), v katero morajo biti zajeti stroški investicijskega vzdrževanja. Tekoče stroške krije najemnik.</w:t>
      </w:r>
    </w:p>
    <w:p w14:paraId="0EADFFBB" w14:textId="77777777" w:rsidR="00116270" w:rsidRPr="00116270" w:rsidRDefault="00116270" w:rsidP="00ED42C7">
      <w:pPr>
        <w:numPr>
          <w:ilvl w:val="0"/>
          <w:numId w:val="8"/>
        </w:numPr>
        <w:jc w:val="both"/>
      </w:pPr>
      <w:r w:rsidRPr="00116270">
        <w:t>Ostala obvezna vsebina ponudbe:</w:t>
      </w:r>
    </w:p>
    <w:p w14:paraId="44386FBE" w14:textId="77777777" w:rsidR="00116270" w:rsidRPr="00116270" w:rsidRDefault="00116270" w:rsidP="00ED42C7">
      <w:pPr>
        <w:numPr>
          <w:ilvl w:val="0"/>
          <w:numId w:val="9"/>
        </w:numPr>
        <w:jc w:val="both"/>
      </w:pPr>
      <w:r w:rsidRPr="00116270">
        <w:t>Vsebinski opis nepremičnine z zemljiškoknjižnimi podatki,</w:t>
      </w:r>
    </w:p>
    <w:p w14:paraId="44239873" w14:textId="77777777" w:rsidR="00116270" w:rsidRPr="00116270" w:rsidRDefault="00116270" w:rsidP="00ED42C7">
      <w:pPr>
        <w:numPr>
          <w:ilvl w:val="0"/>
          <w:numId w:val="9"/>
        </w:numPr>
        <w:jc w:val="both"/>
      </w:pPr>
      <w:r w:rsidRPr="00116270">
        <w:t>Naslov, na katerem se nepremičnina nahaja,</w:t>
      </w:r>
    </w:p>
    <w:p w14:paraId="249C581C" w14:textId="77777777" w:rsidR="00116270" w:rsidRPr="00116270" w:rsidRDefault="00116270" w:rsidP="00ED42C7">
      <w:pPr>
        <w:numPr>
          <w:ilvl w:val="0"/>
          <w:numId w:val="9"/>
        </w:numPr>
        <w:jc w:val="both"/>
      </w:pPr>
      <w:r w:rsidRPr="00116270">
        <w:lastRenderedPageBreak/>
        <w:t>Leto izgradnje</w:t>
      </w:r>
    </w:p>
    <w:p w14:paraId="1CECE5F8" w14:textId="77777777" w:rsidR="00116270" w:rsidRPr="00116270" w:rsidRDefault="00116270" w:rsidP="00ED42C7">
      <w:pPr>
        <w:numPr>
          <w:ilvl w:val="0"/>
          <w:numId w:val="9"/>
        </w:numPr>
        <w:jc w:val="both"/>
      </w:pPr>
      <w:r w:rsidRPr="00116270">
        <w:t>Skupne izmere bivalnih površin in po posameznih prostorih</w:t>
      </w:r>
    </w:p>
    <w:p w14:paraId="473F0C9F" w14:textId="77777777" w:rsidR="00116270" w:rsidRPr="00116270" w:rsidRDefault="00116270" w:rsidP="00ED42C7">
      <w:pPr>
        <w:numPr>
          <w:ilvl w:val="0"/>
          <w:numId w:val="9"/>
        </w:numPr>
        <w:jc w:val="both"/>
      </w:pPr>
      <w:r w:rsidRPr="00116270">
        <w:t>Tloris in fotografije prostorov</w:t>
      </w:r>
    </w:p>
    <w:p w14:paraId="58D40C12" w14:textId="77777777" w:rsidR="00116270" w:rsidRPr="00116270" w:rsidRDefault="00116270" w:rsidP="00ED42C7">
      <w:pPr>
        <w:numPr>
          <w:ilvl w:val="0"/>
          <w:numId w:val="9"/>
        </w:numPr>
        <w:jc w:val="both"/>
      </w:pPr>
      <w:r w:rsidRPr="00116270">
        <w:t>Izvedena morebitna obnovitvena dela oziroma posegi na in v objektu</w:t>
      </w:r>
    </w:p>
    <w:p w14:paraId="59E00659" w14:textId="77777777" w:rsidR="00116270" w:rsidRPr="00116270" w:rsidRDefault="00116270" w:rsidP="00ED42C7">
      <w:pPr>
        <w:numPr>
          <w:ilvl w:val="0"/>
          <w:numId w:val="9"/>
        </w:numPr>
        <w:jc w:val="both"/>
      </w:pPr>
      <w:r w:rsidRPr="00116270">
        <w:t>Energetska izkaznica</w:t>
      </w:r>
    </w:p>
    <w:p w14:paraId="02606F2F" w14:textId="77777777" w:rsidR="00116270" w:rsidRPr="00116270" w:rsidRDefault="00116270" w:rsidP="00ED42C7">
      <w:pPr>
        <w:numPr>
          <w:ilvl w:val="0"/>
          <w:numId w:val="9"/>
        </w:numPr>
        <w:jc w:val="both"/>
      </w:pPr>
      <w:r w:rsidRPr="00116270">
        <w:t>Način ogrevanja in morebitne druge značilnosti objekta</w:t>
      </w:r>
    </w:p>
    <w:p w14:paraId="4896124D" w14:textId="77777777" w:rsidR="00116270" w:rsidRPr="00116270" w:rsidRDefault="00116270" w:rsidP="00ED42C7">
      <w:pPr>
        <w:numPr>
          <w:ilvl w:val="0"/>
          <w:numId w:val="9"/>
        </w:numPr>
        <w:jc w:val="both"/>
      </w:pPr>
      <w:r w:rsidRPr="00116270">
        <w:t>navedbo, od kdaj so prostori na voljo za najem – predvidena selitev v prostore v oktobru 2026,</w:t>
      </w:r>
    </w:p>
    <w:p w14:paraId="4048DE9B" w14:textId="77777777" w:rsidR="00116270" w:rsidRPr="00116270" w:rsidRDefault="00116270" w:rsidP="00ED42C7">
      <w:pPr>
        <w:numPr>
          <w:ilvl w:val="0"/>
          <w:numId w:val="9"/>
        </w:numPr>
        <w:jc w:val="both"/>
      </w:pPr>
      <w:r w:rsidRPr="00116270">
        <w:t>izjavo o skladnosti prostorov s Pravilnikom.</w:t>
      </w:r>
    </w:p>
    <w:p w14:paraId="4690A77E" w14:textId="77777777" w:rsidR="00116270" w:rsidRPr="00116270" w:rsidRDefault="00116270" w:rsidP="00ED42C7">
      <w:pPr>
        <w:jc w:val="both"/>
      </w:pPr>
      <w:r w:rsidRPr="00116270">
        <w:t>Cene in drugi elementi ponudbe so zavezujoči. Ponudba mora biti veljavna do konca leta 2026.</w:t>
      </w:r>
    </w:p>
    <w:p w14:paraId="367655AE" w14:textId="77777777" w:rsidR="00116270" w:rsidRPr="00116270" w:rsidRDefault="00116270" w:rsidP="00ED42C7">
      <w:pPr>
        <w:jc w:val="both"/>
        <w:rPr>
          <w:b/>
          <w:bCs/>
        </w:rPr>
      </w:pPr>
      <w:r w:rsidRPr="00116270">
        <w:rPr>
          <w:b/>
          <w:bCs/>
        </w:rPr>
        <w:t>MERILA ZA IZBOR PONUDB</w:t>
      </w:r>
    </w:p>
    <w:p w14:paraId="74C1C3EF" w14:textId="77777777" w:rsidR="00116270" w:rsidRPr="00116270" w:rsidRDefault="00116270" w:rsidP="00ED42C7">
      <w:pPr>
        <w:jc w:val="both"/>
      </w:pPr>
      <w:r w:rsidRPr="00116270">
        <w:t>Najugodnejša bo ponudba, ki bo izpolnjevala vse pogoje iz tega javnega povabila in bo glede na spodaj navedena merila ocenjena kot najprimernejša za izvajanje dejavnosti kriznega centra za otroke.</w:t>
      </w:r>
    </w:p>
    <w:p w14:paraId="48868BDA" w14:textId="77777777" w:rsidR="00116270" w:rsidRPr="00116270" w:rsidRDefault="00116270" w:rsidP="00ED42C7">
      <w:pPr>
        <w:jc w:val="both"/>
      </w:pPr>
      <w:r w:rsidRPr="00116270">
        <w:t>Pri izboru ponudbe bodo upoštevana naslednja merila, navedena po pomembnosti:</w:t>
      </w:r>
    </w:p>
    <w:p w14:paraId="6CB016EA" w14:textId="77777777" w:rsidR="00116270" w:rsidRPr="00116270" w:rsidRDefault="00116270" w:rsidP="00ED42C7">
      <w:pPr>
        <w:jc w:val="both"/>
        <w:rPr>
          <w:b/>
          <w:bCs/>
        </w:rPr>
      </w:pPr>
      <w:r w:rsidRPr="00116270">
        <w:rPr>
          <w:b/>
          <w:bCs/>
        </w:rPr>
        <w:t>Merilo 1: Višina najemnine (Maksimalno 40 točk).</w:t>
      </w:r>
    </w:p>
    <w:p w14:paraId="3A6BFE5A" w14:textId="77777777" w:rsidR="00116270" w:rsidRPr="00116270" w:rsidRDefault="00116270" w:rsidP="00ED42C7">
      <w:pPr>
        <w:jc w:val="both"/>
      </w:pPr>
      <w:r w:rsidRPr="00116270">
        <w:t>Ponudba ponudnika z najnižjo ponujeno najemnino iz ponudbe, prejme maksimalno število točk v okviru tega merila. Število točk, ki jih prejmejo ponudbe preostalih ponudnikov v okviru tega merila, se izračuna po formuli:</w:t>
      </w:r>
    </w:p>
    <w:p w14:paraId="5C099989" w14:textId="77777777" w:rsidR="00116270" w:rsidRPr="00116270" w:rsidRDefault="00116270" w:rsidP="00ED42C7">
      <w:pPr>
        <w:jc w:val="both"/>
      </w:pPr>
      <w:r w:rsidRPr="00116270">
        <w:rPr>
          <w:b/>
          <w:bCs/>
        </w:rPr>
        <w:t>M1= (najnižja cena /ponudbena cena) x 40</w:t>
      </w:r>
    </w:p>
    <w:p w14:paraId="77540A9D" w14:textId="77777777" w:rsidR="00116270" w:rsidRPr="00116270" w:rsidRDefault="00116270" w:rsidP="00ED42C7">
      <w:pPr>
        <w:jc w:val="both"/>
        <w:rPr>
          <w:b/>
          <w:bCs/>
        </w:rPr>
      </w:pPr>
      <w:r w:rsidRPr="00116270">
        <w:rPr>
          <w:b/>
          <w:bCs/>
        </w:rPr>
        <w:t>Merilo 2: Lokacija (maksimalno 30 točk)</w:t>
      </w:r>
    </w:p>
    <w:p w14:paraId="6E280DD0" w14:textId="77777777" w:rsidR="00116270" w:rsidRPr="00116270" w:rsidRDefault="00116270" w:rsidP="00ED42C7">
      <w:pPr>
        <w:jc w:val="both"/>
      </w:pPr>
      <w:r w:rsidRPr="00116270">
        <w:t>Maksimalno število točk v okviru tega merila je 30. Pri ocenjevanju lokacije se bo upoštevala njena splošna primernost za izvajanje dejavnosti kriznega centra. Komisija ocenjuje: dostopnost z osebnim vozilom in možnost parkiranja, varnost in mirnost okolja, primernost okolja za ranljivo skupino otrok, bližina javnega prevoza ter bližina podpornih institucij (npr. CSD, policija, zdravstvene ustanove).</w:t>
      </w:r>
    </w:p>
    <w:p w14:paraId="11A6CA3E" w14:textId="77777777" w:rsidR="00116270" w:rsidRPr="00116270" w:rsidRDefault="00116270" w:rsidP="00ED42C7">
      <w:pPr>
        <w:jc w:val="both"/>
      </w:pPr>
      <w:r w:rsidRPr="00116270">
        <w:rPr>
          <w:b/>
          <w:bCs/>
        </w:rPr>
        <w:t>30 točk</w:t>
      </w:r>
      <w:r w:rsidRPr="00116270">
        <w:t> bo prejela lokacija, ki zagotavlja dobro dostopnost, ustrezno parkiranje, varno in mirno okolje ter bližino javnega prevoza in podpornih institucij.</w:t>
      </w:r>
    </w:p>
    <w:p w14:paraId="46A972BB" w14:textId="77777777" w:rsidR="00116270" w:rsidRPr="00116270" w:rsidRDefault="00116270" w:rsidP="00ED42C7">
      <w:pPr>
        <w:jc w:val="both"/>
      </w:pPr>
      <w:r w:rsidRPr="00116270">
        <w:t>Lokacija prostora, ki je ustrezna, vendar ima določene manjše pomanjkljivosti v dostopnosti, okolju ali oddaljenosti podpornih storitev, ki pa bistveno ne vplivajo na uporabo za namen kriznega centra bo prejela </w:t>
      </w:r>
      <w:r w:rsidRPr="00116270">
        <w:rPr>
          <w:b/>
          <w:bCs/>
        </w:rPr>
        <w:t>20 točk</w:t>
      </w:r>
      <w:r w:rsidRPr="00116270">
        <w:t>.</w:t>
      </w:r>
    </w:p>
    <w:p w14:paraId="6DA35157" w14:textId="77777777" w:rsidR="00116270" w:rsidRPr="00116270" w:rsidRDefault="00116270" w:rsidP="00ED42C7">
      <w:pPr>
        <w:jc w:val="both"/>
      </w:pPr>
      <w:r w:rsidRPr="00116270">
        <w:t>Lokacija zaradi slabše dostopnosti, neprimernega ali manj varnega okolja ali oddaljenosti ključnih storitev ni primerna za izvajanje dejavnosti kriznega centra bo prejela </w:t>
      </w:r>
      <w:r w:rsidRPr="00116270">
        <w:rPr>
          <w:b/>
          <w:bCs/>
        </w:rPr>
        <w:t>0 točk</w:t>
      </w:r>
      <w:r w:rsidRPr="00116270">
        <w:t>.</w:t>
      </w:r>
    </w:p>
    <w:p w14:paraId="2D74558B" w14:textId="77777777" w:rsidR="00116270" w:rsidRPr="00116270" w:rsidRDefault="00116270" w:rsidP="00ED42C7">
      <w:pPr>
        <w:jc w:val="both"/>
        <w:rPr>
          <w:b/>
          <w:bCs/>
        </w:rPr>
      </w:pPr>
      <w:r w:rsidRPr="00116270">
        <w:rPr>
          <w:b/>
          <w:bCs/>
        </w:rPr>
        <w:t>Merilo 3: Ustreznost prostorov za dejavnost kriznega centra za otroke (maksimalno 20 točk)</w:t>
      </w:r>
    </w:p>
    <w:p w14:paraId="63026E5D" w14:textId="77777777" w:rsidR="00116270" w:rsidRPr="00116270" w:rsidRDefault="00116270" w:rsidP="00ED42C7">
      <w:pPr>
        <w:jc w:val="both"/>
      </w:pPr>
      <w:r w:rsidRPr="00116270">
        <w:lastRenderedPageBreak/>
        <w:t>Pri ocenjevanju se bodo upoštevali naslednji vidiki: primernost prostorov za bivanje in delo z otroki, ustrezne tlorisne razporeditve (ločeni prostori, skupni prostori, nadzor nad prostorom), možnost zagotavljanja varnosti in zasebnosti, skladnost z veljavnimi predpisi, splošna primernost za izvajanje dejavnosti kriznega centra, možnost takojšnjega oziroma čim prejšnjega začetka najema ter časovni pogoji za primopredajo prostorov. Predvidena selitev v nove prostore je v </w:t>
      </w:r>
      <w:r w:rsidRPr="00116270">
        <w:rPr>
          <w:b/>
          <w:bCs/>
        </w:rPr>
        <w:t>oktobru 2026</w:t>
      </w:r>
      <w:r w:rsidRPr="00116270">
        <w:t>.</w:t>
      </w:r>
    </w:p>
    <w:p w14:paraId="6F50E0D1" w14:textId="77777777" w:rsidR="00116270" w:rsidRPr="00116270" w:rsidRDefault="00116270" w:rsidP="00ED42C7">
      <w:pPr>
        <w:jc w:val="both"/>
      </w:pPr>
      <w:r w:rsidRPr="00116270">
        <w:t>Prostor, ki je po razporeditvi, velikosti, namembnosti, varnosti in skladnosti s predpisi zelo primeren za bivanje in delo z otroki, ter omogoča pravočasno vselitev bo prejel </w:t>
      </w:r>
      <w:r w:rsidRPr="00116270">
        <w:rPr>
          <w:b/>
          <w:bCs/>
        </w:rPr>
        <w:t>20 točk</w:t>
      </w:r>
      <w:r w:rsidRPr="00116270">
        <w:t>.</w:t>
      </w:r>
    </w:p>
    <w:p w14:paraId="0CCD9582" w14:textId="77777777" w:rsidR="00116270" w:rsidRPr="00116270" w:rsidRDefault="00116270" w:rsidP="00ED42C7">
      <w:pPr>
        <w:jc w:val="both"/>
      </w:pPr>
      <w:r w:rsidRPr="00116270">
        <w:t>Prostor je splošno primeren za izvajanje dejavnosti, vendar ima določene manjše pomanjkljivosti (npr. manj optimalna razporeditev, delno omejene površine, neustrezni zunanji prostori). Prostor je uporaben z manjšimi prilagoditvami, ki pa ne bistveno vplivajo na izvedljivost programa, bo prejel </w:t>
      </w:r>
      <w:r w:rsidRPr="00116270">
        <w:rPr>
          <w:b/>
          <w:bCs/>
        </w:rPr>
        <w:t>10 točk</w:t>
      </w:r>
      <w:r w:rsidRPr="00116270">
        <w:t>.</w:t>
      </w:r>
    </w:p>
    <w:p w14:paraId="45ED5F23" w14:textId="77777777" w:rsidR="00116270" w:rsidRPr="00116270" w:rsidRDefault="00116270" w:rsidP="00ED42C7">
      <w:pPr>
        <w:jc w:val="both"/>
      </w:pPr>
      <w:r w:rsidRPr="00116270">
        <w:t>Prostor, ki zaradi neustrezne razporeditve, nezadostne kvadrature, neprimernega stanja ali potrebe po večjih posegih ni primeren za izvajanje dejavnosti kriznega centra bo prejel </w:t>
      </w:r>
      <w:r w:rsidRPr="00116270">
        <w:rPr>
          <w:b/>
          <w:bCs/>
        </w:rPr>
        <w:t>0 točk</w:t>
      </w:r>
      <w:r w:rsidRPr="00116270">
        <w:t>.</w:t>
      </w:r>
    </w:p>
    <w:p w14:paraId="3E67A36C" w14:textId="77777777" w:rsidR="00116270" w:rsidRPr="00116270" w:rsidRDefault="00116270" w:rsidP="00ED42C7">
      <w:pPr>
        <w:jc w:val="both"/>
        <w:rPr>
          <w:b/>
          <w:bCs/>
        </w:rPr>
      </w:pPr>
      <w:r w:rsidRPr="00116270">
        <w:rPr>
          <w:b/>
          <w:bCs/>
        </w:rPr>
        <w:t>Merilo 4: Stroški obratovanja (največ 5 točk)</w:t>
      </w:r>
    </w:p>
    <w:p w14:paraId="28F53AAE" w14:textId="77777777" w:rsidR="00116270" w:rsidRPr="00116270" w:rsidRDefault="00116270" w:rsidP="00ED42C7">
      <w:pPr>
        <w:jc w:val="both"/>
      </w:pPr>
      <w:r w:rsidRPr="00116270">
        <w:t>Pri ocenjevanju se bodo upoštevali: predvideni mesečni obratovalni stroški, preglednost in jasnost strukture stroškov, energetska učinkovitost objekta, način obračuna stroškov (fiksni, variabilni, pavšalni, deljeni).</w:t>
      </w:r>
    </w:p>
    <w:p w14:paraId="62D8F3E2" w14:textId="77777777" w:rsidR="00116270" w:rsidRPr="00116270" w:rsidRDefault="00116270" w:rsidP="00ED42C7">
      <w:pPr>
        <w:jc w:val="both"/>
      </w:pPr>
      <w:r w:rsidRPr="00116270">
        <w:t>Komisija bo na podlagi celovite presoje dodelila eno izmed naslednjih ocen:</w:t>
      </w:r>
    </w:p>
    <w:p w14:paraId="38111AAA" w14:textId="77777777" w:rsidR="00116270" w:rsidRPr="00116270" w:rsidRDefault="00116270" w:rsidP="00ED42C7">
      <w:pPr>
        <w:jc w:val="both"/>
      </w:pPr>
      <w:r w:rsidRPr="00116270">
        <w:rPr>
          <w:b/>
          <w:bCs/>
        </w:rPr>
        <w:t>5 točk</w:t>
      </w:r>
      <w:r w:rsidRPr="00116270">
        <w:t> – </w:t>
      </w:r>
      <w:r w:rsidRPr="00116270">
        <w:rPr>
          <w:i/>
          <w:iCs/>
        </w:rPr>
        <w:t>Stroški so ugodni in pregledni</w:t>
      </w:r>
      <w:r w:rsidRPr="00116270">
        <w:br/>
        <w:t>Obratovalni stroški so nizki ali konkurenčni, jasno opredeljeni in pregledni. Energetska učinkovitost objekta je dobra, način obračuna pa transparenten in predvidljiv. Takšen stroškovni okvir pozitivno vpliva na ekonomičnost delovanja kriznega centra.</w:t>
      </w:r>
    </w:p>
    <w:p w14:paraId="0338C560" w14:textId="77777777" w:rsidR="00116270" w:rsidRPr="00116270" w:rsidRDefault="00116270" w:rsidP="00ED42C7">
      <w:pPr>
        <w:jc w:val="both"/>
      </w:pPr>
      <w:r w:rsidRPr="00116270">
        <w:rPr>
          <w:b/>
          <w:bCs/>
        </w:rPr>
        <w:t>2,5 točke</w:t>
      </w:r>
      <w:r w:rsidRPr="00116270">
        <w:t> - </w:t>
      </w:r>
      <w:r w:rsidRPr="00116270">
        <w:rPr>
          <w:i/>
          <w:iCs/>
        </w:rPr>
        <w:t>Stroški so sprejemljivi</w:t>
      </w:r>
      <w:r w:rsidRPr="00116270">
        <w:br/>
        <w:t>Obratovalni stroški so srednji in razmeroma pregledni. Energetska učinkovitost je povprečna ali delno nejasna, način obračuna pa zahteva dodatna pojasnila, vendar omogoča splošno predvidljivost stroškov.</w:t>
      </w:r>
    </w:p>
    <w:p w14:paraId="33F8B0A5" w14:textId="77777777" w:rsidR="00116270" w:rsidRPr="00116270" w:rsidRDefault="00116270" w:rsidP="00ED42C7">
      <w:pPr>
        <w:jc w:val="both"/>
      </w:pPr>
      <w:r w:rsidRPr="00116270">
        <w:rPr>
          <w:b/>
          <w:bCs/>
        </w:rPr>
        <w:t>0 točk</w:t>
      </w:r>
      <w:r w:rsidRPr="00116270">
        <w:t> - </w:t>
      </w:r>
      <w:r w:rsidRPr="00116270">
        <w:rPr>
          <w:i/>
          <w:iCs/>
        </w:rPr>
        <w:t>Stroški so previsoki ali nepregledni</w:t>
      </w:r>
      <w:r w:rsidRPr="00116270">
        <w:br/>
        <w:t>Obratovalni stroški so visoki, nepregledni ali nejasno specificirani. Energetska učinkovitost je slaba, način obračuna pa ne omogoča ocene dejanske mesečne obremenitve. Takšni stroški niso ustrezni za dolgoročno izvajanje dejavnosti kriznega centra.</w:t>
      </w:r>
    </w:p>
    <w:p w14:paraId="669D6955" w14:textId="77777777" w:rsidR="00116270" w:rsidRPr="00116270" w:rsidRDefault="00116270" w:rsidP="00ED42C7">
      <w:pPr>
        <w:jc w:val="both"/>
        <w:rPr>
          <w:b/>
          <w:bCs/>
        </w:rPr>
      </w:pPr>
      <w:r w:rsidRPr="00116270">
        <w:rPr>
          <w:b/>
          <w:bCs/>
        </w:rPr>
        <w:t>Merilo 5: Možnost prilagoditev prostora (največ 5 točk)</w:t>
      </w:r>
    </w:p>
    <w:p w14:paraId="3FDEC5FC" w14:textId="77777777" w:rsidR="00116270" w:rsidRPr="00116270" w:rsidRDefault="00116270" w:rsidP="00ED42C7">
      <w:pPr>
        <w:jc w:val="both"/>
      </w:pPr>
      <w:r w:rsidRPr="00116270">
        <w:t>Pri ocenjevanju se bodo upoštevali: možnost izvedbe potrebnih prilagoditev prostorov za namen kriznega centra, obseg potrebnih prilagoditev, pripravljenost najemodajalca za sodelovanje ali izvedbo prilagoditev, pogoji, pod katerimi so prilagoditve možne (časovni, finančni ali tehnični vidiki).</w:t>
      </w:r>
    </w:p>
    <w:p w14:paraId="605E21CC" w14:textId="77777777" w:rsidR="00116270" w:rsidRPr="00116270" w:rsidRDefault="00116270" w:rsidP="00ED42C7">
      <w:pPr>
        <w:jc w:val="both"/>
      </w:pPr>
      <w:r w:rsidRPr="00116270">
        <w:rPr>
          <w:b/>
          <w:bCs/>
        </w:rPr>
        <w:t>5 točk</w:t>
      </w:r>
      <w:r w:rsidRPr="00116270">
        <w:t> - Prilagoditve, potrebne za delovanje kriznega centra, so izvedljive brez večjih ovir. Najemodajalec je pripravljen sodelovati ali sam izvesti potrebne prilagoditve ter določa jasne in ugodne pogoje. Prostor je mogoče v kratkem času prilagoditi potrebam ranljive skupine otrok.</w:t>
      </w:r>
    </w:p>
    <w:p w14:paraId="1643735E" w14:textId="77777777" w:rsidR="00116270" w:rsidRPr="00116270" w:rsidRDefault="00116270" w:rsidP="00ED42C7">
      <w:pPr>
        <w:jc w:val="both"/>
      </w:pPr>
      <w:r w:rsidRPr="00116270">
        <w:rPr>
          <w:b/>
          <w:bCs/>
        </w:rPr>
        <w:lastRenderedPageBreak/>
        <w:t>2,5 točk</w:t>
      </w:r>
      <w:r w:rsidRPr="00116270">
        <w:t> - Prilagoditve so načeloma izvedljive, vendar z določenimi omejitvami (časovnimi, tehničnimi ali stroškovnimi). Najemodajalec je pripravljen sodelovati, vendar so pogoji ali obseg prilagoditev zmerno zahtevni. Prostori postanejo primerni z določenimi dopolnitvami ali posegi, ki ne onemogočajo izvedbe programa.</w:t>
      </w:r>
    </w:p>
    <w:p w14:paraId="34AD91F9" w14:textId="77777777" w:rsidR="00116270" w:rsidRPr="00116270" w:rsidRDefault="00116270" w:rsidP="00ED42C7">
      <w:pPr>
        <w:jc w:val="both"/>
      </w:pPr>
      <w:r w:rsidRPr="00116270">
        <w:rPr>
          <w:b/>
          <w:bCs/>
        </w:rPr>
        <w:t>0 točk</w:t>
      </w:r>
      <w:r w:rsidRPr="00116270">
        <w:t> - Prilagoditve, potrebne za delovanje kriznega centra, niso izvedljive ali so povezane s prevelikimi tehničnimi, časovnimi ali finančnimi ovirami. Najemodajalec ni pripravljen na prilagoditve ali postavlja pogoje, ki onemogočajo njihovo izvedbo.</w:t>
      </w:r>
    </w:p>
    <w:p w14:paraId="01C5D979" w14:textId="77777777" w:rsidR="00116270" w:rsidRPr="00116270" w:rsidRDefault="00116270" w:rsidP="00ED42C7">
      <w:pPr>
        <w:jc w:val="both"/>
      </w:pPr>
      <w:r w:rsidRPr="00116270">
        <w:t>Če bo več ponudb enakovrednih glede na zgoraj navedena merila, si naročnik pridržuje pravico, da zahteva dodatna pojasnila ali izvede pogajanja s ponudniki.</w:t>
      </w:r>
    </w:p>
    <w:p w14:paraId="1E34AC88" w14:textId="77777777" w:rsidR="00116270" w:rsidRPr="00116270" w:rsidRDefault="00116270" w:rsidP="00ED42C7">
      <w:pPr>
        <w:jc w:val="both"/>
        <w:rPr>
          <w:b/>
          <w:bCs/>
        </w:rPr>
      </w:pPr>
      <w:r w:rsidRPr="00116270">
        <w:rPr>
          <w:b/>
          <w:bCs/>
        </w:rPr>
        <w:t>NAČIN IN ROK ODDAJE PONUDBE</w:t>
      </w:r>
    </w:p>
    <w:p w14:paraId="65CBB260" w14:textId="77777777" w:rsidR="00116270" w:rsidRPr="00116270" w:rsidRDefault="00116270" w:rsidP="00ED42C7">
      <w:pPr>
        <w:jc w:val="both"/>
      </w:pPr>
      <w:r w:rsidRPr="00116270">
        <w:t>Ponudniki morajo ponudbo z vsemi dokazili oddati v zaprti ovojnici z oznako: </w:t>
      </w:r>
      <w:r w:rsidRPr="00116270">
        <w:rPr>
          <w:b/>
          <w:bCs/>
        </w:rPr>
        <w:t>»Ne odpiraj – Ponudba za najem prostorov KCM«</w:t>
      </w:r>
      <w:r w:rsidRPr="00116270">
        <w:t> , in sicer lahko ponudbo oddajo osebno ali priporočeno po pošti na naslov: Center za socialno delo Severna Primorska, Delpinova ulica 18b, 5000 Nova Gorica.</w:t>
      </w:r>
    </w:p>
    <w:p w14:paraId="5286FCF8" w14:textId="77777777" w:rsidR="00116270" w:rsidRPr="00116270" w:rsidRDefault="00116270" w:rsidP="00ED42C7">
      <w:pPr>
        <w:jc w:val="both"/>
      </w:pPr>
      <w:r w:rsidRPr="00116270">
        <w:t>Na zadnji strani ovojnice mora biti obvezno naveden naziv in naslov ponudnika.</w:t>
      </w:r>
    </w:p>
    <w:p w14:paraId="1FA385BF" w14:textId="669532D6" w:rsidR="00116270" w:rsidRPr="00116270" w:rsidRDefault="00116270" w:rsidP="00ED42C7">
      <w:pPr>
        <w:jc w:val="both"/>
      </w:pPr>
      <w:r w:rsidRPr="00116270">
        <w:t>Rok za oddajo popolne ponudbe z vsemi prilogami je najkasneje do </w:t>
      </w:r>
      <w:r w:rsidRPr="00116270">
        <w:rPr>
          <w:b/>
          <w:bCs/>
        </w:rPr>
        <w:t>2</w:t>
      </w:r>
      <w:r w:rsidR="00ED42C7">
        <w:rPr>
          <w:b/>
          <w:bCs/>
        </w:rPr>
        <w:t>4</w:t>
      </w:r>
      <w:r w:rsidRPr="00116270">
        <w:rPr>
          <w:b/>
          <w:bCs/>
        </w:rPr>
        <w:t>.</w:t>
      </w:r>
      <w:r w:rsidR="00ED42C7">
        <w:rPr>
          <w:b/>
          <w:bCs/>
        </w:rPr>
        <w:t>3</w:t>
      </w:r>
      <w:r w:rsidRPr="00116270">
        <w:rPr>
          <w:b/>
          <w:bCs/>
        </w:rPr>
        <w:t>.2026 do 1</w:t>
      </w:r>
      <w:r w:rsidR="00ED42C7">
        <w:rPr>
          <w:b/>
          <w:bCs/>
        </w:rPr>
        <w:t>5</w:t>
      </w:r>
      <w:r w:rsidRPr="00116270">
        <w:rPr>
          <w:b/>
          <w:bCs/>
        </w:rPr>
        <w:t>.00 ure</w:t>
      </w:r>
      <w:r w:rsidRPr="00116270">
        <w:t>. Komisija ponudnikov z nepopolnimi ponudbami ne bo pozivala k dopolnitvi. Ponudba in vsi dokumenti v zvezi s ponudbo morajo biti v slovenskem jeziku.</w:t>
      </w:r>
    </w:p>
    <w:p w14:paraId="5F4EA715" w14:textId="77777777" w:rsidR="00116270" w:rsidRPr="00116270" w:rsidRDefault="00116270" w:rsidP="00ED42C7">
      <w:pPr>
        <w:jc w:val="both"/>
      </w:pPr>
      <w:r w:rsidRPr="00116270">
        <w:t>Ponudbe bo pregledala in obravnavala komisija. V dogovoru s ponudnikom bo opravljen ogled nepremičnine. Ponudnik mora omogočiti ogled ponujenih prostorov v roku največ tri (3) dni po zaprosilu naročnika.</w:t>
      </w:r>
    </w:p>
    <w:p w14:paraId="676CC165" w14:textId="77777777" w:rsidR="00116270" w:rsidRPr="00116270" w:rsidRDefault="00116270" w:rsidP="00ED42C7">
      <w:pPr>
        <w:jc w:val="both"/>
      </w:pPr>
      <w:r w:rsidRPr="00116270">
        <w:t>Naročnik bo izbiral zanj najprimernejšo in najugodnejšo ponudbo in bo o izboru obvestil vse ponudnike.</w:t>
      </w:r>
    </w:p>
    <w:p w14:paraId="524427B1" w14:textId="77777777" w:rsidR="00116270" w:rsidRPr="00116270" w:rsidRDefault="00116270" w:rsidP="00ED42C7">
      <w:pPr>
        <w:jc w:val="both"/>
        <w:rPr>
          <w:b/>
          <w:bCs/>
        </w:rPr>
      </w:pPr>
      <w:r w:rsidRPr="00116270">
        <w:rPr>
          <w:b/>
          <w:bCs/>
        </w:rPr>
        <w:t>KONČNE DOLOČBE</w:t>
      </w:r>
    </w:p>
    <w:p w14:paraId="1BB38FA3" w14:textId="77777777" w:rsidR="00116270" w:rsidRPr="00116270" w:rsidRDefault="00116270" w:rsidP="00ED42C7">
      <w:pPr>
        <w:jc w:val="both"/>
      </w:pPr>
      <w:r w:rsidRPr="00116270">
        <w:t>Naročnik si pridržuje pravico, da postopek javnega zbiranja ponudb kadarkoli ustavi brez obrazložitve in brez kakršnekoli odškodninske odgovornosti. Naročnik si prav tako pridržuje pravico, da ne izbere nobenega ponudnika in da z nobenim od ponudnikov ne sklene najemne pogodbe.</w:t>
      </w:r>
    </w:p>
    <w:p w14:paraId="529A2DFD" w14:textId="77777777" w:rsidR="00116270" w:rsidRPr="00116270" w:rsidRDefault="00116270" w:rsidP="00ED42C7">
      <w:pPr>
        <w:jc w:val="both"/>
      </w:pPr>
      <w:r w:rsidRPr="00116270">
        <w:t>Dodatne informacije v zvezi z izvedbo postopka javnega zbiranja ponudb lahko dobite pri direktorici Centra za socialno delo Severna Primorska Nini Mozetič, (el. Naslov </w:t>
      </w:r>
      <w:hyperlink r:id="rId6" w:history="1">
        <w:r w:rsidRPr="00116270">
          <w:rPr>
            <w:rStyle w:val="Hiperpovezava"/>
          </w:rPr>
          <w:t>nina.mozetic@gov.si</w:t>
        </w:r>
      </w:hyperlink>
      <w:r w:rsidRPr="00116270">
        <w:t>, tel. št. 05 330 29 70) oziroma na </w:t>
      </w:r>
      <w:hyperlink r:id="rId7" w:history="1">
        <w:r w:rsidRPr="00116270">
          <w:rPr>
            <w:rStyle w:val="Hiperpovezava"/>
          </w:rPr>
          <w:t>gp-csd.sprim@gov.si</w:t>
        </w:r>
      </w:hyperlink>
      <w:r w:rsidRPr="00116270">
        <w:t> s sklicem na zadevo št. 352-1/2026-31968.</w:t>
      </w:r>
    </w:p>
    <w:p w14:paraId="7FE33193" w14:textId="11F77706" w:rsidR="00116270" w:rsidRPr="00116270" w:rsidRDefault="00116270" w:rsidP="00ED42C7">
      <w:pPr>
        <w:jc w:val="both"/>
      </w:pPr>
      <w:r w:rsidRPr="00116270">
        <w:t>Javna objava za javno zbiranje ponudb za oddajo v najem je objavljena na spletni strani CSD Severna Primorska od dne 2</w:t>
      </w:r>
      <w:r w:rsidR="00ED42C7">
        <w:t>7</w:t>
      </w:r>
      <w:r w:rsidRPr="00116270">
        <w:t>.2.2026.</w:t>
      </w:r>
    </w:p>
    <w:p w14:paraId="49F1DF78" w14:textId="77777777" w:rsidR="00116270" w:rsidRPr="00116270" w:rsidRDefault="00116270" w:rsidP="00ED42C7">
      <w:pPr>
        <w:jc w:val="both"/>
      </w:pPr>
      <w:r w:rsidRPr="00116270">
        <w:t>Nina Mozetič</w:t>
      </w:r>
      <w:r w:rsidRPr="00116270">
        <w:br/>
      </w:r>
      <w:r w:rsidRPr="00116270">
        <w:rPr>
          <w:i/>
          <w:iCs/>
        </w:rPr>
        <w:t>direktorica</w:t>
      </w:r>
    </w:p>
    <w:p w14:paraId="586A766F" w14:textId="77777777" w:rsidR="000C7BAE" w:rsidRDefault="000C7BAE"/>
    <w:sectPr w:rsidR="000C7BA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3E3"/>
    <w:multiLevelType w:val="multilevel"/>
    <w:tmpl w:val="32D465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63A18"/>
    <w:multiLevelType w:val="multilevel"/>
    <w:tmpl w:val="F174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A10BC"/>
    <w:multiLevelType w:val="multilevel"/>
    <w:tmpl w:val="4F00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736D2"/>
    <w:multiLevelType w:val="multilevel"/>
    <w:tmpl w:val="B4223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EF12DC"/>
    <w:multiLevelType w:val="multilevel"/>
    <w:tmpl w:val="82DA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222591"/>
    <w:multiLevelType w:val="multilevel"/>
    <w:tmpl w:val="D504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1C4D94"/>
    <w:multiLevelType w:val="multilevel"/>
    <w:tmpl w:val="F6C0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713A36"/>
    <w:multiLevelType w:val="multilevel"/>
    <w:tmpl w:val="DDE2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98074E"/>
    <w:multiLevelType w:val="multilevel"/>
    <w:tmpl w:val="E956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9980828">
    <w:abstractNumId w:val="0"/>
  </w:num>
  <w:num w:numId="2" w16cid:durableId="521824352">
    <w:abstractNumId w:val="8"/>
  </w:num>
  <w:num w:numId="3" w16cid:durableId="1950811989">
    <w:abstractNumId w:val="1"/>
  </w:num>
  <w:num w:numId="4" w16cid:durableId="985474082">
    <w:abstractNumId w:val="6"/>
  </w:num>
  <w:num w:numId="5" w16cid:durableId="1813912263">
    <w:abstractNumId w:val="5"/>
  </w:num>
  <w:num w:numId="6" w16cid:durableId="2128814852">
    <w:abstractNumId w:val="4"/>
  </w:num>
  <w:num w:numId="7" w16cid:durableId="1654412709">
    <w:abstractNumId w:val="7"/>
  </w:num>
  <w:num w:numId="8" w16cid:durableId="726495401">
    <w:abstractNumId w:val="3"/>
  </w:num>
  <w:num w:numId="9" w16cid:durableId="746607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270"/>
    <w:rsid w:val="000C7BAE"/>
    <w:rsid w:val="00116270"/>
    <w:rsid w:val="00285E80"/>
    <w:rsid w:val="00631418"/>
    <w:rsid w:val="00832661"/>
    <w:rsid w:val="00E94668"/>
    <w:rsid w:val="00ED42C7"/>
    <w:rsid w:val="00F66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D37D3"/>
  <w15:chartTrackingRefBased/>
  <w15:docId w15:val="{C050E923-F660-4A41-8525-CF0B1655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paragraph" w:styleId="Naslov1">
    <w:name w:val="heading 1"/>
    <w:basedOn w:val="Navaden"/>
    <w:next w:val="Navaden"/>
    <w:link w:val="Naslov1Znak"/>
    <w:uiPriority w:val="9"/>
    <w:qFormat/>
    <w:rsid w:val="0011627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11627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116270"/>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116270"/>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116270"/>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11627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1627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1627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1627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16270"/>
    <w:rPr>
      <w:rFonts w:asciiTheme="majorHAnsi" w:eastAsiaTheme="majorEastAsia" w:hAnsiTheme="majorHAnsi" w:cstheme="majorBidi"/>
      <w:color w:val="2E74B5" w:themeColor="accent1" w:themeShade="BF"/>
      <w:sz w:val="40"/>
      <w:szCs w:val="40"/>
      <w:lang w:val="sl-SI"/>
    </w:rPr>
  </w:style>
  <w:style w:type="character" w:customStyle="1" w:styleId="Naslov2Znak">
    <w:name w:val="Naslov 2 Znak"/>
    <w:basedOn w:val="Privzetapisavaodstavka"/>
    <w:link w:val="Naslov2"/>
    <w:uiPriority w:val="9"/>
    <w:semiHidden/>
    <w:rsid w:val="00116270"/>
    <w:rPr>
      <w:rFonts w:asciiTheme="majorHAnsi" w:eastAsiaTheme="majorEastAsia" w:hAnsiTheme="majorHAnsi" w:cstheme="majorBidi"/>
      <w:color w:val="2E74B5" w:themeColor="accent1" w:themeShade="BF"/>
      <w:sz w:val="32"/>
      <w:szCs w:val="32"/>
      <w:lang w:val="sl-SI"/>
    </w:rPr>
  </w:style>
  <w:style w:type="character" w:customStyle="1" w:styleId="Naslov3Znak">
    <w:name w:val="Naslov 3 Znak"/>
    <w:basedOn w:val="Privzetapisavaodstavka"/>
    <w:link w:val="Naslov3"/>
    <w:uiPriority w:val="9"/>
    <w:semiHidden/>
    <w:rsid w:val="00116270"/>
    <w:rPr>
      <w:rFonts w:eastAsiaTheme="majorEastAsia" w:cstheme="majorBidi"/>
      <w:color w:val="2E74B5" w:themeColor="accent1" w:themeShade="BF"/>
      <w:sz w:val="28"/>
      <w:szCs w:val="28"/>
      <w:lang w:val="sl-SI"/>
    </w:rPr>
  </w:style>
  <w:style w:type="character" w:customStyle="1" w:styleId="Naslov4Znak">
    <w:name w:val="Naslov 4 Znak"/>
    <w:basedOn w:val="Privzetapisavaodstavka"/>
    <w:link w:val="Naslov4"/>
    <w:uiPriority w:val="9"/>
    <w:semiHidden/>
    <w:rsid w:val="00116270"/>
    <w:rPr>
      <w:rFonts w:eastAsiaTheme="majorEastAsia" w:cstheme="majorBidi"/>
      <w:i/>
      <w:iCs/>
      <w:color w:val="2E74B5" w:themeColor="accent1" w:themeShade="BF"/>
      <w:lang w:val="sl-SI"/>
    </w:rPr>
  </w:style>
  <w:style w:type="character" w:customStyle="1" w:styleId="Naslov5Znak">
    <w:name w:val="Naslov 5 Znak"/>
    <w:basedOn w:val="Privzetapisavaodstavka"/>
    <w:link w:val="Naslov5"/>
    <w:uiPriority w:val="9"/>
    <w:semiHidden/>
    <w:rsid w:val="00116270"/>
    <w:rPr>
      <w:rFonts w:eastAsiaTheme="majorEastAsia" w:cstheme="majorBidi"/>
      <w:color w:val="2E74B5" w:themeColor="accent1" w:themeShade="BF"/>
      <w:lang w:val="sl-SI"/>
    </w:rPr>
  </w:style>
  <w:style w:type="character" w:customStyle="1" w:styleId="Naslov6Znak">
    <w:name w:val="Naslov 6 Znak"/>
    <w:basedOn w:val="Privzetapisavaodstavka"/>
    <w:link w:val="Naslov6"/>
    <w:uiPriority w:val="9"/>
    <w:semiHidden/>
    <w:rsid w:val="00116270"/>
    <w:rPr>
      <w:rFonts w:eastAsiaTheme="majorEastAsia" w:cstheme="majorBidi"/>
      <w:i/>
      <w:iCs/>
      <w:color w:val="595959" w:themeColor="text1" w:themeTint="A6"/>
      <w:lang w:val="sl-SI"/>
    </w:rPr>
  </w:style>
  <w:style w:type="character" w:customStyle="1" w:styleId="Naslov7Znak">
    <w:name w:val="Naslov 7 Znak"/>
    <w:basedOn w:val="Privzetapisavaodstavka"/>
    <w:link w:val="Naslov7"/>
    <w:uiPriority w:val="9"/>
    <w:semiHidden/>
    <w:rsid w:val="00116270"/>
    <w:rPr>
      <w:rFonts w:eastAsiaTheme="majorEastAsia" w:cstheme="majorBidi"/>
      <w:color w:val="595959" w:themeColor="text1" w:themeTint="A6"/>
      <w:lang w:val="sl-SI"/>
    </w:rPr>
  </w:style>
  <w:style w:type="character" w:customStyle="1" w:styleId="Naslov8Znak">
    <w:name w:val="Naslov 8 Znak"/>
    <w:basedOn w:val="Privzetapisavaodstavka"/>
    <w:link w:val="Naslov8"/>
    <w:uiPriority w:val="9"/>
    <w:semiHidden/>
    <w:rsid w:val="00116270"/>
    <w:rPr>
      <w:rFonts w:eastAsiaTheme="majorEastAsia" w:cstheme="majorBidi"/>
      <w:i/>
      <w:iCs/>
      <w:color w:val="272727" w:themeColor="text1" w:themeTint="D8"/>
      <w:lang w:val="sl-SI"/>
    </w:rPr>
  </w:style>
  <w:style w:type="character" w:customStyle="1" w:styleId="Naslov9Znak">
    <w:name w:val="Naslov 9 Znak"/>
    <w:basedOn w:val="Privzetapisavaodstavka"/>
    <w:link w:val="Naslov9"/>
    <w:uiPriority w:val="9"/>
    <w:semiHidden/>
    <w:rsid w:val="00116270"/>
    <w:rPr>
      <w:rFonts w:eastAsiaTheme="majorEastAsia" w:cstheme="majorBidi"/>
      <w:color w:val="272727" w:themeColor="text1" w:themeTint="D8"/>
      <w:lang w:val="sl-SI"/>
    </w:rPr>
  </w:style>
  <w:style w:type="paragraph" w:styleId="Naslov">
    <w:name w:val="Title"/>
    <w:basedOn w:val="Navaden"/>
    <w:next w:val="Navaden"/>
    <w:link w:val="NaslovZnak"/>
    <w:uiPriority w:val="10"/>
    <w:qFormat/>
    <w:rsid w:val="00116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16270"/>
    <w:rPr>
      <w:rFonts w:asciiTheme="majorHAnsi" w:eastAsiaTheme="majorEastAsia" w:hAnsiTheme="majorHAnsi" w:cstheme="majorBidi"/>
      <w:spacing w:val="-10"/>
      <w:kern w:val="28"/>
      <w:sz w:val="56"/>
      <w:szCs w:val="56"/>
      <w:lang w:val="sl-SI"/>
    </w:rPr>
  </w:style>
  <w:style w:type="paragraph" w:styleId="Podnaslov">
    <w:name w:val="Subtitle"/>
    <w:basedOn w:val="Navaden"/>
    <w:next w:val="Navaden"/>
    <w:link w:val="PodnaslovZnak"/>
    <w:uiPriority w:val="11"/>
    <w:qFormat/>
    <w:rsid w:val="0011627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16270"/>
    <w:rPr>
      <w:rFonts w:eastAsiaTheme="majorEastAsia" w:cstheme="majorBidi"/>
      <w:color w:val="595959" w:themeColor="text1" w:themeTint="A6"/>
      <w:spacing w:val="15"/>
      <w:sz w:val="28"/>
      <w:szCs w:val="28"/>
      <w:lang w:val="sl-SI"/>
    </w:rPr>
  </w:style>
  <w:style w:type="paragraph" w:styleId="Citat">
    <w:name w:val="Quote"/>
    <w:basedOn w:val="Navaden"/>
    <w:next w:val="Navaden"/>
    <w:link w:val="CitatZnak"/>
    <w:uiPriority w:val="29"/>
    <w:qFormat/>
    <w:rsid w:val="00116270"/>
    <w:pPr>
      <w:spacing w:before="160"/>
      <w:jc w:val="center"/>
    </w:pPr>
    <w:rPr>
      <w:i/>
      <w:iCs/>
      <w:color w:val="404040" w:themeColor="text1" w:themeTint="BF"/>
    </w:rPr>
  </w:style>
  <w:style w:type="character" w:customStyle="1" w:styleId="CitatZnak">
    <w:name w:val="Citat Znak"/>
    <w:basedOn w:val="Privzetapisavaodstavka"/>
    <w:link w:val="Citat"/>
    <w:uiPriority w:val="29"/>
    <w:rsid w:val="00116270"/>
    <w:rPr>
      <w:i/>
      <w:iCs/>
      <w:color w:val="404040" w:themeColor="text1" w:themeTint="BF"/>
      <w:lang w:val="sl-SI"/>
    </w:rPr>
  </w:style>
  <w:style w:type="paragraph" w:styleId="Odstavekseznama">
    <w:name w:val="List Paragraph"/>
    <w:basedOn w:val="Navaden"/>
    <w:uiPriority w:val="34"/>
    <w:qFormat/>
    <w:rsid w:val="00116270"/>
    <w:pPr>
      <w:ind w:left="720"/>
      <w:contextualSpacing/>
    </w:pPr>
  </w:style>
  <w:style w:type="character" w:styleId="Intenzivenpoudarek">
    <w:name w:val="Intense Emphasis"/>
    <w:basedOn w:val="Privzetapisavaodstavka"/>
    <w:uiPriority w:val="21"/>
    <w:qFormat/>
    <w:rsid w:val="00116270"/>
    <w:rPr>
      <w:i/>
      <w:iCs/>
      <w:color w:val="2E74B5" w:themeColor="accent1" w:themeShade="BF"/>
    </w:rPr>
  </w:style>
  <w:style w:type="paragraph" w:styleId="Intenzivencitat">
    <w:name w:val="Intense Quote"/>
    <w:basedOn w:val="Navaden"/>
    <w:next w:val="Navaden"/>
    <w:link w:val="IntenzivencitatZnak"/>
    <w:uiPriority w:val="30"/>
    <w:qFormat/>
    <w:rsid w:val="0011627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116270"/>
    <w:rPr>
      <w:i/>
      <w:iCs/>
      <w:color w:val="2E74B5" w:themeColor="accent1" w:themeShade="BF"/>
      <w:lang w:val="sl-SI"/>
    </w:rPr>
  </w:style>
  <w:style w:type="character" w:styleId="Intenzivensklic">
    <w:name w:val="Intense Reference"/>
    <w:basedOn w:val="Privzetapisavaodstavka"/>
    <w:uiPriority w:val="32"/>
    <w:qFormat/>
    <w:rsid w:val="00116270"/>
    <w:rPr>
      <w:b/>
      <w:bCs/>
      <w:smallCaps/>
      <w:color w:val="2E74B5" w:themeColor="accent1" w:themeShade="BF"/>
      <w:spacing w:val="5"/>
    </w:rPr>
  </w:style>
  <w:style w:type="character" w:styleId="Hiperpovezava">
    <w:name w:val="Hyperlink"/>
    <w:basedOn w:val="Privzetapisavaodstavka"/>
    <w:uiPriority w:val="99"/>
    <w:unhideWhenUsed/>
    <w:rsid w:val="00116270"/>
    <w:rPr>
      <w:color w:val="0563C1" w:themeColor="hyperlink"/>
      <w:u w:val="single"/>
    </w:rPr>
  </w:style>
  <w:style w:type="character" w:styleId="Nerazreenaomemba">
    <w:name w:val="Unresolved Mention"/>
    <w:basedOn w:val="Privzetapisavaodstavka"/>
    <w:uiPriority w:val="99"/>
    <w:semiHidden/>
    <w:unhideWhenUsed/>
    <w:rsid w:val="00116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p-csd.sprim@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na.mozetic@gov.si" TargetMode="External"/><Relationship Id="rId5" Type="http://schemas.openxmlformats.org/officeDocument/2006/relationships/hyperlink" Target="http://www.pisrs.si/Pis.web/pregledPredpisa?id=PRAV768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2074</Words>
  <Characters>12925</Characters>
  <Application>Microsoft Office Word</Application>
  <DocSecurity>0</DocSecurity>
  <Lines>211</Lines>
  <Paragraphs>112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Tadeja Komel</dc:creator>
  <cp:keywords/>
  <dc:description/>
  <cp:lastModifiedBy>Nina Mozetič</cp:lastModifiedBy>
  <cp:revision>2</cp:revision>
  <dcterms:created xsi:type="dcterms:W3CDTF">2026-02-27T09:28:00Z</dcterms:created>
  <dcterms:modified xsi:type="dcterms:W3CDTF">2026-02-27T09:28:00Z</dcterms:modified>
</cp:coreProperties>
</file>