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5D640B9C" w:rsidR="0066085E" w:rsidRDefault="009060A3" w:rsidP="0066085E">
      <w:pPr>
        <w:pStyle w:val="Nazivenote"/>
        <w:rPr>
          <w:b w:val="0"/>
          <w:bCs/>
        </w:rPr>
      </w:pPr>
      <w:r>
        <mc:AlternateContent>
          <mc:Choice Requires="wps">
            <w:drawing>
              <wp:anchor distT="0" distB="0" distL="114300" distR="114300" simplePos="0" relativeHeight="251658240" behindDoc="0" locked="0" layoutInCell="1" allowOverlap="1" wp14:anchorId="4A5FC2D6" wp14:editId="33D6B15D">
                <wp:simplePos x="0" y="0"/>
                <wp:positionH relativeFrom="page">
                  <wp:posOffset>5613400</wp:posOffset>
                </wp:positionH>
                <wp:positionV relativeFrom="page">
                  <wp:posOffset>1079500</wp:posOffset>
                </wp:positionV>
                <wp:extent cx="914400" cy="914400"/>
                <wp:effectExtent l="0" t="0" r="1905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AD9B9" id="Pravokotnik 18" o:spid="_x0000_s1026" alt="&quot;&quot;" style="position:absolute;margin-left:442pt;margin-top:85pt;width:1in;height:1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" filled="f" strokecolor="black [3213]" strokeweight="1pt">
                <w10:wrap anchorx="page" anchory="page"/>
              </v:rect>
            </w:pict>
          </mc:Fallback>
        </mc:AlternateContent>
      </w:r>
      <w:r w:rsidR="000E5815">
        <mc:AlternateContent>
          <mc:Choice Requires="wps">
            <w:drawing>
              <wp:anchor distT="45720" distB="45720" distL="114300" distR="114300" simplePos="0" relativeHeight="251658241" behindDoc="1" locked="0" layoutInCell="1" allowOverlap="1" wp14:anchorId="18D38E96" wp14:editId="01DD2A01">
                <wp:simplePos x="0" y="0"/>
                <wp:positionH relativeFrom="column">
                  <wp:posOffset>4801870</wp:posOffset>
                </wp:positionH>
                <wp:positionV relativeFrom="paragraph">
                  <wp:posOffset>15240</wp:posOffset>
                </wp:positionV>
                <wp:extent cx="749300" cy="622300"/>
                <wp:effectExtent l="0" t="0" r="0" b="6350"/>
                <wp:wrapTight wrapText="bothSides">
                  <wp:wrapPolygon edited="0">
                    <wp:start x="0" y="0"/>
                    <wp:lineTo x="0" y="21159"/>
                    <wp:lineTo x="20868" y="21159"/>
                    <wp:lineTo x="20868"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622300"/>
                        </a:xfrm>
                        <a:prstGeom prst="rect">
                          <a:avLst/>
                        </a:prstGeom>
                        <a:solidFill>
                          <a:srgbClr val="FFFFFF"/>
                        </a:solidFill>
                        <a:ln w="9525">
                          <a:noFill/>
                          <a:miter lim="800000"/>
                          <a:headEnd/>
                          <a:tailEnd/>
                        </a:ln>
                      </wps:spPr>
                      <wps:txbx>
                        <w:txbxContent>
                          <w:p w14:paraId="79C32D9A" w14:textId="5BE9C256" w:rsidR="00445A64" w:rsidRPr="000E5815" w:rsidRDefault="001A4E4F" w:rsidP="00445A64">
                            <w:pPr>
                              <w:pStyle w:val="tevilka"/>
                              <w:rPr>
                                <w:sz w:val="80"/>
                                <w:szCs w:val="80"/>
                              </w:rPr>
                            </w:pPr>
                            <w:r>
                              <w:rPr>
                                <w:sz w:val="80"/>
                                <w:szCs w:val="80"/>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8.1pt;margin-top:1.2pt;width:59pt;height:49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" stroked="f">
                <v:textbox>
                  <w:txbxContent>
                    <w:p w14:paraId="79C32D9A" w14:textId="5BE9C256" w:rsidR="00445A64" w:rsidRPr="000E5815" w:rsidRDefault="001A4E4F" w:rsidP="00445A64">
                      <w:pPr>
                        <w:pStyle w:val="tevilka"/>
                        <w:rPr>
                          <w:sz w:val="80"/>
                          <w:szCs w:val="80"/>
                        </w:rPr>
                      </w:pPr>
                      <w:r>
                        <w:rPr>
                          <w:sz w:val="80"/>
                          <w:szCs w:val="80"/>
                        </w:rPr>
                        <w:t>9</w:t>
                      </w:r>
                    </w:p>
                  </w:txbxContent>
                </v:textbox>
                <w10:wrap type="tight"/>
              </v:shape>
            </w:pict>
          </mc:Fallback>
        </mc:AlternateContent>
      </w:r>
      <w:r w:rsidR="008F5DCA">
        <w:t>Župan</w:t>
      </w:r>
      <w:r w:rsidR="00A7398A">
        <w:t xml:space="preserve"> </w:t>
      </w:r>
      <w:r w:rsidR="00722FAC">
        <w:br/>
      </w:r>
      <w:r w:rsidR="002B08B0" w:rsidRPr="008802E3">
        <w:rPr>
          <w:b w:val="0"/>
          <w:bCs/>
        </w:rPr>
        <w:t>Trg Edvarda Kardelja 1, 5000 Nova Gorica</w:t>
      </w:r>
    </w:p>
    <w:p w14:paraId="77EDCABD" w14:textId="77777777" w:rsidR="0066085E" w:rsidRPr="0066085E" w:rsidRDefault="0066085E" w:rsidP="0066085E">
      <w:pPr>
        <w:pStyle w:val="Nazivenote"/>
      </w:pPr>
    </w:p>
    <w:p w14:paraId="5B6C62D8" w14:textId="16D2DEDB" w:rsidR="0066085E" w:rsidRDefault="0066085E" w:rsidP="00BE5B70">
      <w:pPr>
        <w:pStyle w:val="stevilkadokumenta"/>
      </w:pPr>
      <w:r w:rsidRPr="00BE5B70">
        <w:rPr>
          <w:rStyle w:val="ZvezaZnak"/>
          <w:bCs/>
          <w:sz w:val="20"/>
          <w:u w:val="none"/>
        </w:rPr>
        <w:t xml:space="preserve">Številka: </w:t>
      </w:r>
      <w:r w:rsidR="006F3CCC">
        <w:rPr>
          <w:rStyle w:val="ZvezaZnak"/>
          <w:bCs/>
          <w:sz w:val="20"/>
          <w:u w:val="none"/>
        </w:rPr>
        <w:t>3505-2/2018-</w:t>
      </w:r>
      <w:r w:rsidR="00D24092">
        <w:rPr>
          <w:rStyle w:val="ZvezaZnak"/>
          <w:bCs/>
          <w:sz w:val="20"/>
          <w:u w:val="none"/>
        </w:rPr>
        <w:t>113</w:t>
      </w:r>
      <w:r w:rsidR="00352A82" w:rsidRPr="00BE5B70">
        <w:rPr>
          <w:rStyle w:val="ZvezaZnak"/>
          <w:bCs/>
          <w:sz w:val="20"/>
          <w:u w:val="none"/>
        </w:rPr>
        <w:br/>
      </w:r>
      <w:r w:rsidRPr="00BE5B70">
        <w:t xml:space="preserve">Nova Gorica, dne </w:t>
      </w:r>
      <w:r w:rsidR="00B138D3">
        <w:t>13. januarja 2026</w:t>
      </w:r>
    </w:p>
    <w:p w14:paraId="7731015D" w14:textId="77777777" w:rsidR="000807CE" w:rsidRPr="00BE5B70" w:rsidRDefault="000807CE" w:rsidP="00BE5B70">
      <w:pPr>
        <w:pStyle w:val="stevilkadokumenta"/>
        <w:rPr>
          <w:rStyle w:val="ZvezaZnak"/>
          <w:bCs/>
          <w:sz w:val="20"/>
          <w:u w:val="none"/>
        </w:rPr>
      </w:pPr>
    </w:p>
    <w:p w14:paraId="2D9E2EAD" w14:textId="28716D67" w:rsidR="000807CE" w:rsidRPr="009B227A" w:rsidRDefault="000807CE" w:rsidP="009B227A">
      <w:pPr>
        <w:pStyle w:val="gradivo"/>
        <w:spacing w:before="480" w:after="480"/>
        <w:rPr>
          <w:b/>
          <w:bCs w:val="0"/>
        </w:rPr>
      </w:pPr>
      <w:r w:rsidRPr="009B227A">
        <w:rPr>
          <w:b/>
          <w:bCs w:val="0"/>
        </w:rPr>
        <w:t>MESTNI SVET MESTNE OBČINE NOVA GORICA</w:t>
      </w:r>
    </w:p>
    <w:p w14:paraId="42663E32" w14:textId="598C01A2" w:rsidR="008802E3" w:rsidRDefault="0066085E" w:rsidP="00FB7287">
      <w:pPr>
        <w:ind w:left="4395" w:hanging="3686"/>
      </w:pPr>
      <w:r w:rsidRPr="00FB7287">
        <w:rPr>
          <w:b/>
          <w:bCs w:val="0"/>
        </w:rPr>
        <w:t>ZADEVA</w:t>
      </w:r>
      <w:r>
        <w:t>:</w:t>
      </w:r>
      <w:r>
        <w:tab/>
      </w:r>
      <w:r w:rsidRPr="0066085E">
        <w:t>PREDLOG ZA OBRAVNAVO NA SEJI MESTNEGA</w:t>
      </w:r>
      <w:r>
        <w:t xml:space="preserve"> </w:t>
      </w:r>
      <w:r w:rsidRPr="0066085E">
        <w:t>SVETA MESTNE OBČINE NOVA GORICA</w:t>
      </w:r>
    </w:p>
    <w:p w14:paraId="1D7223B1" w14:textId="32FB8287" w:rsidR="0066085E" w:rsidRDefault="0066085E" w:rsidP="009B227A">
      <w:pPr>
        <w:pStyle w:val="Naslov1"/>
        <w:spacing w:before="240" w:after="240"/>
        <w:ind w:left="4395" w:hanging="3686"/>
      </w:pPr>
      <w:r w:rsidRPr="00A9136F">
        <w:rPr>
          <w:sz w:val="20"/>
          <w:szCs w:val="20"/>
        </w:rPr>
        <w:t>NASLOV:</w:t>
      </w:r>
      <w:r>
        <w:tab/>
      </w:r>
      <w:r w:rsidR="00E85729" w:rsidRPr="00BD79A5">
        <w:rPr>
          <w:sz w:val="20"/>
          <w:szCs w:val="20"/>
        </w:rPr>
        <w:t>Predlog Sklepa</w:t>
      </w:r>
      <w:r w:rsidR="00E85729">
        <w:t xml:space="preserve"> o potrditvi </w:t>
      </w:r>
      <w:r w:rsidR="008A0246">
        <w:rPr>
          <w:sz w:val="20"/>
          <w:szCs w:val="24"/>
        </w:rPr>
        <w:t>Akcijsk</w:t>
      </w:r>
      <w:r w:rsidR="00E85729">
        <w:rPr>
          <w:sz w:val="20"/>
          <w:szCs w:val="24"/>
        </w:rPr>
        <w:t>ega</w:t>
      </w:r>
      <w:r w:rsidR="008A0246">
        <w:rPr>
          <w:sz w:val="20"/>
          <w:szCs w:val="24"/>
        </w:rPr>
        <w:t xml:space="preserve"> načrt dostopnosti za Mestno občino Nova Gorica </w:t>
      </w:r>
      <w:r w:rsidR="00B138D3">
        <w:rPr>
          <w:sz w:val="20"/>
          <w:szCs w:val="24"/>
        </w:rPr>
        <w:t>2026</w:t>
      </w:r>
      <w:r w:rsidR="008A0246">
        <w:rPr>
          <w:sz w:val="20"/>
          <w:szCs w:val="24"/>
        </w:rPr>
        <w:t>-</w:t>
      </w:r>
      <w:r w:rsidR="00B138D3">
        <w:rPr>
          <w:sz w:val="20"/>
          <w:szCs w:val="24"/>
        </w:rPr>
        <w:t>2029</w:t>
      </w:r>
    </w:p>
    <w:p w14:paraId="4EB48263" w14:textId="28F82F77" w:rsidR="0066085E" w:rsidRDefault="0066085E" w:rsidP="000E5815">
      <w:pPr>
        <w:ind w:left="4395" w:hanging="3686"/>
        <w:jc w:val="left"/>
      </w:pPr>
      <w:r w:rsidRPr="00FB7287">
        <w:rPr>
          <w:b/>
          <w:bCs w:val="0"/>
        </w:rPr>
        <w:t>GRADIVO PRIPRAVIL</w:t>
      </w:r>
      <w:r>
        <w:t>:</w:t>
      </w:r>
      <w:r>
        <w:tab/>
      </w:r>
      <w:r w:rsidRPr="000E5815">
        <w:rPr>
          <w:rStyle w:val="gradivoZnak"/>
        </w:rPr>
        <w:t xml:space="preserve">Mestna občina Nova Gorica, </w:t>
      </w:r>
      <w:r w:rsidR="0045587F">
        <w:rPr>
          <w:rStyle w:val="gradivoZnak"/>
        </w:rPr>
        <w:t>Oddelek za družbene dejavnosti</w:t>
      </w:r>
      <w:r w:rsidR="009E1245">
        <w:rPr>
          <w:rStyle w:val="gradivoZnak"/>
        </w:rPr>
        <w:t xml:space="preserve">, </w:t>
      </w:r>
      <w:r w:rsidR="0056746D">
        <w:rPr>
          <w:rStyle w:val="gradivoZnak"/>
        </w:rPr>
        <w:t xml:space="preserve">Oddelek za okolje, prostor in javno infrastrukturo </w:t>
      </w:r>
    </w:p>
    <w:p w14:paraId="2589E91B" w14:textId="75CB43A4" w:rsidR="0066085E" w:rsidRDefault="0066085E" w:rsidP="00FB7287">
      <w:pPr>
        <w:ind w:left="4395" w:hanging="3686"/>
      </w:pPr>
      <w:r w:rsidRPr="00FB7287">
        <w:rPr>
          <w:b/>
          <w:bCs w:val="0"/>
        </w:rPr>
        <w:t>IZDELOVALEC GRADIVA:</w:t>
      </w:r>
      <w:r w:rsidR="00FB7287">
        <w:tab/>
      </w:r>
      <w:r w:rsidR="00E85729">
        <w:t>/</w:t>
      </w:r>
    </w:p>
    <w:p w14:paraId="11F58982" w14:textId="4E6DFA29" w:rsidR="0066085E" w:rsidRPr="00FB7287" w:rsidRDefault="0066085E" w:rsidP="00FB7287">
      <w:pPr>
        <w:ind w:left="4395" w:hanging="3686"/>
        <w:rPr>
          <w:b/>
          <w:bCs w:val="0"/>
        </w:rPr>
      </w:pPr>
      <w:r w:rsidRPr="00FB7287">
        <w:rPr>
          <w:b/>
          <w:bCs w:val="0"/>
        </w:rPr>
        <w:t>POROČEVALEC:</w:t>
      </w:r>
      <w:r w:rsidR="00FB7287" w:rsidRPr="00FB7287">
        <w:t xml:space="preserve"> </w:t>
      </w:r>
      <w:r w:rsidR="00FB7287">
        <w:tab/>
      </w:r>
      <w:r w:rsidR="0031620A">
        <w:t>mag. Marinka Saksida</w:t>
      </w:r>
      <w:r w:rsidR="00806E46">
        <w:t>, vodja Oddelka za družbene dejavnosti</w:t>
      </w:r>
      <w:r w:rsidR="0031620A">
        <w:t xml:space="preserve"> in Erik Lasič</w:t>
      </w:r>
      <w:r w:rsidR="00806E46">
        <w:t>,  vodja Službe za okolje in prostor</w:t>
      </w:r>
    </w:p>
    <w:p w14:paraId="75A8D632" w14:textId="51464602" w:rsidR="0066085E" w:rsidRDefault="0066085E" w:rsidP="00FB7287">
      <w:pPr>
        <w:ind w:left="4395" w:hanging="3686"/>
      </w:pPr>
      <w:r w:rsidRPr="00FB7287">
        <w:rPr>
          <w:b/>
          <w:bCs w:val="0"/>
        </w:rPr>
        <w:t xml:space="preserve">PRISTOJNO DELOVNO </w:t>
      </w:r>
      <w:r w:rsidR="003924F9" w:rsidRPr="003924F9">
        <w:rPr>
          <w:b/>
          <w:bCs w:val="0"/>
        </w:rPr>
        <w:t>TELO</w:t>
      </w:r>
      <w:r>
        <w:t xml:space="preserve">: </w:t>
      </w:r>
      <w:r>
        <w:tab/>
      </w:r>
      <w:r w:rsidR="0031620A">
        <w:t xml:space="preserve">Odbor za socialno varstvo in zdravstvo </w:t>
      </w:r>
      <w:r w:rsidR="0031620A" w:rsidRPr="00FE3B90">
        <w:t xml:space="preserve">ter </w:t>
      </w:r>
      <w:r w:rsidR="0031620A" w:rsidRPr="002E29FD">
        <w:t xml:space="preserve">Odbor za </w:t>
      </w:r>
      <w:r w:rsidR="00011A7D">
        <w:t>prostor</w:t>
      </w:r>
      <w:r w:rsidR="0031620A" w:rsidRPr="002E29FD">
        <w:t xml:space="preserve"> </w:t>
      </w:r>
    </w:p>
    <w:p w14:paraId="4C9319DA" w14:textId="7B5A35DC" w:rsidR="0066085E" w:rsidRPr="00FB7287" w:rsidRDefault="0066085E" w:rsidP="00352A82">
      <w:pPr>
        <w:rPr>
          <w:b/>
          <w:bCs w:val="0"/>
        </w:rPr>
      </w:pPr>
      <w:r w:rsidRPr="00FB7287">
        <w:rPr>
          <w:b/>
          <w:bCs w:val="0"/>
        </w:rPr>
        <w:t xml:space="preserve">PREDLOG SKLEPA: </w:t>
      </w:r>
    </w:p>
    <w:p w14:paraId="267E24A6" w14:textId="64058C5C" w:rsidR="00FB7287" w:rsidRDefault="00FB7287" w:rsidP="00011A7D">
      <w:pPr>
        <w:jc w:val="left"/>
      </w:pPr>
      <w:r w:rsidRPr="0008026B">
        <w:t xml:space="preserve">Mestni svet Mestne občine Nova Gorica sprejme Sklep o </w:t>
      </w:r>
      <w:bookmarkStart w:id="0" w:name="_Hlk195615944"/>
      <w:r w:rsidR="00786F79">
        <w:t xml:space="preserve">potrditvi Akcijskega načrta dostopnosti za Mestno občino Nova Gorica </w:t>
      </w:r>
      <w:r w:rsidR="00B138D3">
        <w:t>2026</w:t>
      </w:r>
      <w:r w:rsidR="00786F79">
        <w:t>-</w:t>
      </w:r>
      <w:r w:rsidR="00B138D3">
        <w:t>2029</w:t>
      </w:r>
      <w:r w:rsidR="00011A7D">
        <w:t>.</w:t>
      </w:r>
    </w:p>
    <w:p w14:paraId="7AA05322" w14:textId="77777777" w:rsidR="000E5815" w:rsidRPr="00FB7287" w:rsidRDefault="000E5815" w:rsidP="00FB7287"/>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14:paraId="0FF38549" w14:textId="77777777" w:rsidTr="00FB7287">
        <w:tc>
          <w:tcPr>
            <w:tcW w:w="3549" w:type="dxa"/>
          </w:tcPr>
          <w:p w14:paraId="1D1D813B" w14:textId="77777777" w:rsidR="00FB7287" w:rsidRPr="00E639CC" w:rsidRDefault="00FB7287" w:rsidP="00C818D4">
            <w:pPr>
              <w:pStyle w:val="Podpisoseba"/>
              <w:spacing w:before="0" w:after="0"/>
              <w:rPr>
                <w:b/>
                <w:color w:val="FFFFFF" w:themeColor="background1"/>
              </w:rPr>
            </w:pPr>
            <w:r w:rsidRPr="00E639CC">
              <w:rPr>
                <w:b/>
                <w:color w:val="FFFFFF" w:themeColor="background1"/>
              </w:rPr>
              <w:t>Desnik podpisnik</w:t>
            </w:r>
          </w:p>
        </w:tc>
      </w:tr>
      <w:tr w:rsidR="00FB7287" w14:paraId="6D021AA2" w14:textId="77777777" w:rsidTr="00FB7287">
        <w:tc>
          <w:tcPr>
            <w:tcW w:w="3549" w:type="dxa"/>
          </w:tcPr>
          <w:p w14:paraId="7F514CF4" w14:textId="77777777" w:rsidR="00FB7287" w:rsidRPr="00E639CC" w:rsidRDefault="00FB7287" w:rsidP="00C818D4">
            <w:pPr>
              <w:pStyle w:val="Podpisoseba"/>
              <w:spacing w:before="0" w:after="0"/>
              <w:rPr>
                <w:bCs w:val="0"/>
              </w:rPr>
            </w:pPr>
            <w:r w:rsidRPr="00E639CC">
              <w:rPr>
                <w:b/>
              </w:rPr>
              <w:t>Samo Turel</w:t>
            </w:r>
          </w:p>
        </w:tc>
      </w:tr>
      <w:tr w:rsidR="00FB7287" w14:paraId="1EDB9A6B" w14:textId="77777777" w:rsidTr="00FB7287">
        <w:trPr>
          <w:trHeight w:val="530"/>
        </w:trPr>
        <w:tc>
          <w:tcPr>
            <w:tcW w:w="3549" w:type="dxa"/>
          </w:tcPr>
          <w:p w14:paraId="07F6B71D" w14:textId="5BA09480" w:rsidR="00FB7287" w:rsidRPr="00E639CC" w:rsidRDefault="005910BA" w:rsidP="00C818D4">
            <w:pPr>
              <w:pStyle w:val="Podpisoseba"/>
              <w:spacing w:before="0" w:after="0"/>
              <w:rPr>
                <w:bCs w:val="0"/>
              </w:rPr>
            </w:pPr>
            <w:r>
              <w:t>Ž</w:t>
            </w:r>
            <w:r w:rsidR="00FB7287" w:rsidRPr="00E639CC">
              <w:t>upan</w:t>
            </w:r>
          </w:p>
        </w:tc>
      </w:tr>
    </w:tbl>
    <w:bookmarkEnd w:id="0"/>
    <w:p w14:paraId="1C6841A1" w14:textId="0A7158D1" w:rsidR="0005678C" w:rsidRPr="00774DD1" w:rsidRDefault="0066085E" w:rsidP="00806E46">
      <w:pPr>
        <w:pStyle w:val="gradivo"/>
        <w:ind w:left="0"/>
      </w:pPr>
      <w:r w:rsidRPr="00774DD1">
        <w:t>Gradivo</w:t>
      </w:r>
      <w:r w:rsidR="00F12361" w:rsidRPr="00774DD1">
        <w:t>:</w:t>
      </w:r>
    </w:p>
    <w:p w14:paraId="08ABD712" w14:textId="77777777" w:rsidR="00774DD1" w:rsidRDefault="0066085E" w:rsidP="00774DD1">
      <w:pPr>
        <w:pStyle w:val="gradivo"/>
        <w:numPr>
          <w:ilvl w:val="0"/>
          <w:numId w:val="10"/>
        </w:numPr>
      </w:pPr>
      <w:r w:rsidRPr="00774DD1">
        <w:t>Gradivo</w:t>
      </w:r>
      <w:r w:rsidR="00F12361" w:rsidRPr="00774DD1">
        <w:t xml:space="preserve"> 1: </w:t>
      </w:r>
      <w:r w:rsidRPr="00774DD1">
        <w:t>predlog sklepa</w:t>
      </w:r>
    </w:p>
    <w:p w14:paraId="42E3232A" w14:textId="08B74CD9" w:rsidR="00774DD1" w:rsidRDefault="001A403F" w:rsidP="005910BA">
      <w:pPr>
        <w:pStyle w:val="gradivo"/>
        <w:ind w:left="1069" w:firstLine="347"/>
      </w:pPr>
      <w:r>
        <w:t xml:space="preserve">z </w:t>
      </w:r>
      <w:r w:rsidR="0066085E" w:rsidRPr="00774DD1">
        <w:t>obrazložitv</w:t>
      </w:r>
      <w:r>
        <w:t>ijo</w:t>
      </w:r>
    </w:p>
    <w:p w14:paraId="18184546" w14:textId="0FDF8C3F" w:rsidR="001C491B" w:rsidRDefault="00774DD1" w:rsidP="000E423D">
      <w:pPr>
        <w:pStyle w:val="gradivo"/>
        <w:numPr>
          <w:ilvl w:val="0"/>
          <w:numId w:val="10"/>
        </w:numPr>
      </w:pPr>
      <w:r>
        <w:t>G</w:t>
      </w:r>
      <w:r w:rsidR="0066085E" w:rsidRPr="00774DD1">
        <w:t xml:space="preserve">radivo </w:t>
      </w:r>
      <w:r w:rsidR="001A403F">
        <w:t>2</w:t>
      </w:r>
      <w:r w:rsidR="0066085E" w:rsidRPr="00774DD1">
        <w:t xml:space="preserve">: </w:t>
      </w:r>
      <w:r w:rsidR="00786F79">
        <w:t xml:space="preserve">Akcijski načrt dostopnosti Mestne občine Nova Gorica </w:t>
      </w:r>
      <w:r w:rsidR="00B138D3">
        <w:t>2026</w:t>
      </w:r>
      <w:r w:rsidR="00786F79">
        <w:t>-</w:t>
      </w:r>
      <w:r w:rsidR="00B138D3">
        <w:t>2029</w:t>
      </w:r>
    </w:p>
    <w:p w14:paraId="29F8F0D4" w14:textId="77777777" w:rsidR="001C491B" w:rsidRPr="001C491B" w:rsidRDefault="001C491B" w:rsidP="009108BE">
      <w:pPr>
        <w:ind w:left="0"/>
        <w:sectPr w:rsidR="001C491B" w:rsidRPr="001C491B" w:rsidSect="00E217AD">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1304" w:footer="454" w:gutter="0"/>
          <w:cols w:space="708"/>
          <w:titlePg/>
          <w:docGrid w:linePitch="360"/>
        </w:sectPr>
      </w:pPr>
    </w:p>
    <w:p w14:paraId="68735223" w14:textId="0AEF8064" w:rsidR="0066085E" w:rsidRPr="00355F3A" w:rsidRDefault="000E5815" w:rsidP="00355F3A">
      <w:pPr>
        <w:pStyle w:val="Nazivenote"/>
        <w:rPr>
          <w:b w:val="0"/>
          <w:bCs/>
        </w:rPr>
      </w:pPr>
      <w:r w:rsidRPr="000E5815">
        <w:lastRenderedPageBreak/>
        <mc:AlternateContent>
          <mc:Choice Requires="wps">
            <w:drawing>
              <wp:anchor distT="45720" distB="45720" distL="114300" distR="114300" simplePos="0" relativeHeight="251658243"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82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0E5815">
        <mc:AlternateContent>
          <mc:Choice Requires="wps">
            <w:drawing>
              <wp:anchor distT="0" distB="0" distL="114300" distR="114300" simplePos="0" relativeHeight="251658242" behindDoc="0" locked="0" layoutInCell="1" allowOverlap="1" wp14:anchorId="1F923174" wp14:editId="13CEFA0C">
                <wp:simplePos x="0" y="0"/>
                <wp:positionH relativeFrom="page">
                  <wp:posOffset>5080000</wp:posOffset>
                </wp:positionH>
                <wp:positionV relativeFrom="page">
                  <wp:posOffset>965200</wp:posOffset>
                </wp:positionV>
                <wp:extent cx="1663700" cy="914400"/>
                <wp:effectExtent l="0" t="0" r="12700" b="19050"/>
                <wp:wrapNone/>
                <wp:docPr id="21" name="Pravokotnik 21"/>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40A7F" id="Pravokotnik 21" o:spid="_x0000_s1026" style="position:absolute;margin-left:400pt;margin-top:76pt;width:131pt;height:1in;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t xml:space="preserve">Mestni </w:t>
      </w:r>
      <w:r w:rsidR="005C6EAA">
        <w:t>s</w:t>
      </w:r>
      <w:r w:rsidR="00731380">
        <w:t>vet</w:t>
      </w:r>
      <w:r w:rsidR="00731380">
        <w:br/>
      </w:r>
      <w:r w:rsidR="00731380" w:rsidRPr="008802E3">
        <w:rPr>
          <w:b w:val="0"/>
          <w:bCs/>
        </w:rPr>
        <w:t>Trg Edvarda Kardelja 1, 5000 Nova Gorica</w:t>
      </w:r>
    </w:p>
    <w:p w14:paraId="4DA58669" w14:textId="77777777" w:rsidR="000E5815" w:rsidRDefault="000E5815" w:rsidP="00BE5B70"/>
    <w:p w14:paraId="58D8DDBC" w14:textId="77777777" w:rsidR="000E5815" w:rsidRPr="007254F9" w:rsidRDefault="000E5815" w:rsidP="00BE5B70"/>
    <w:p w14:paraId="103E17D9" w14:textId="5647619E" w:rsidR="00786F79" w:rsidRPr="00043B56" w:rsidRDefault="00786F79" w:rsidP="001A403F">
      <w:pPr>
        <w:jc w:val="left"/>
        <w:rPr>
          <w:noProof w:val="0"/>
        </w:rPr>
      </w:pPr>
      <w:r w:rsidRPr="00043B56">
        <w:rPr>
          <w:noProof w:val="0"/>
        </w:rPr>
        <w:t>Na podlagi 19. člena Statuta Mestne občine Nova Gorica (Uradni list RS, št. 13/12, 18/17 in 18/19) je Mestni svet Mestne občine Nova Gorica na seji dne ________________ sprejel naslednji</w:t>
      </w:r>
    </w:p>
    <w:p w14:paraId="500C863B" w14:textId="298460BA" w:rsidR="000E5815" w:rsidRPr="00043B56" w:rsidRDefault="00786F79" w:rsidP="000E5815">
      <w:pPr>
        <w:pStyle w:val="Naslov1"/>
        <w:jc w:val="center"/>
        <w:rPr>
          <w:noProof w:val="0"/>
        </w:rPr>
      </w:pPr>
      <w:r w:rsidRPr="00043B56">
        <w:rPr>
          <w:noProof w:val="0"/>
        </w:rPr>
        <w:t>S</w:t>
      </w:r>
      <w:r w:rsidR="001A403F">
        <w:rPr>
          <w:noProof w:val="0"/>
        </w:rPr>
        <w:t>KLEP</w:t>
      </w:r>
    </w:p>
    <w:p w14:paraId="705A2F6D" w14:textId="77777777" w:rsidR="000E5815" w:rsidRPr="00043B56" w:rsidRDefault="000E5815" w:rsidP="000E5815">
      <w:pPr>
        <w:jc w:val="center"/>
        <w:rPr>
          <w:noProof w:val="0"/>
        </w:rPr>
      </w:pPr>
      <w:r w:rsidRPr="00043B56">
        <w:rPr>
          <w:noProof w:val="0"/>
        </w:rPr>
        <w:t>1.</w:t>
      </w:r>
    </w:p>
    <w:p w14:paraId="5BEA9EC3" w14:textId="0FEDDCA0" w:rsidR="000E5815" w:rsidRDefault="00786F79" w:rsidP="00EF40A8">
      <w:pPr>
        <w:jc w:val="left"/>
        <w:rPr>
          <w:noProof w:val="0"/>
        </w:rPr>
      </w:pPr>
      <w:r w:rsidRPr="00043B56">
        <w:rPr>
          <w:noProof w:val="0"/>
        </w:rPr>
        <w:t xml:space="preserve">Mestni svet Mestne občine Nova Gorica sprejme: »Akcijski načrt dostopnosti za Mestno občino Nova Gorica </w:t>
      </w:r>
      <w:r w:rsidR="00B138D3" w:rsidRPr="00043B56">
        <w:rPr>
          <w:noProof w:val="0"/>
        </w:rPr>
        <w:t>202</w:t>
      </w:r>
      <w:r w:rsidR="00B138D3">
        <w:rPr>
          <w:noProof w:val="0"/>
        </w:rPr>
        <w:t>6</w:t>
      </w:r>
      <w:r w:rsidRPr="00043B56">
        <w:rPr>
          <w:noProof w:val="0"/>
        </w:rPr>
        <w:t>-</w:t>
      </w:r>
      <w:r w:rsidR="00B138D3" w:rsidRPr="00043B56">
        <w:rPr>
          <w:noProof w:val="0"/>
        </w:rPr>
        <w:t>202</w:t>
      </w:r>
      <w:r w:rsidR="00B138D3">
        <w:rPr>
          <w:noProof w:val="0"/>
        </w:rPr>
        <w:t>9</w:t>
      </w:r>
      <w:r w:rsidRPr="00043B56">
        <w:rPr>
          <w:noProof w:val="0"/>
        </w:rPr>
        <w:t>«</w:t>
      </w:r>
    </w:p>
    <w:p w14:paraId="739B3773" w14:textId="77777777" w:rsidR="001A403F" w:rsidRPr="00043B56" w:rsidRDefault="001A403F" w:rsidP="001A403F">
      <w:pPr>
        <w:spacing w:after="0"/>
        <w:rPr>
          <w:noProof w:val="0"/>
        </w:rPr>
      </w:pPr>
    </w:p>
    <w:p w14:paraId="6309B0FA" w14:textId="7FDA1022" w:rsidR="000E5815" w:rsidRPr="00043B56" w:rsidRDefault="000E5815" w:rsidP="000E5815">
      <w:pPr>
        <w:jc w:val="center"/>
        <w:rPr>
          <w:noProof w:val="0"/>
        </w:rPr>
      </w:pPr>
      <w:r w:rsidRPr="00043B56">
        <w:rPr>
          <w:noProof w:val="0"/>
        </w:rPr>
        <w:t>2.</w:t>
      </w:r>
    </w:p>
    <w:p w14:paraId="6BA9E1A8" w14:textId="1D232C8F" w:rsidR="000E5815" w:rsidRPr="00043B56" w:rsidRDefault="000E5815" w:rsidP="00D51EE1">
      <w:pPr>
        <w:jc w:val="left"/>
        <w:rPr>
          <w:noProof w:val="0"/>
        </w:rPr>
      </w:pPr>
      <w:r w:rsidRPr="00043B56">
        <w:rPr>
          <w:noProof w:val="0"/>
        </w:rPr>
        <w:t>Ta sklep velja takoj.</w:t>
      </w:r>
    </w:p>
    <w:p w14:paraId="58396674" w14:textId="3F8FCBB7" w:rsidR="00BE5B70" w:rsidRPr="00043B56" w:rsidRDefault="00BE5B70" w:rsidP="00352A82">
      <w:pPr>
        <w:jc w:val="left"/>
        <w:rPr>
          <w:rStyle w:val="ZvezaZnak"/>
          <w:noProof w:val="0"/>
          <w:sz w:val="20"/>
          <w:u w:val="none"/>
        </w:rPr>
      </w:pPr>
    </w:p>
    <w:p w14:paraId="6D023DE4" w14:textId="77777777" w:rsidR="001A403F" w:rsidRDefault="001A403F" w:rsidP="00BE5B70">
      <w:pPr>
        <w:pStyle w:val="stevilkadokumenta"/>
        <w:rPr>
          <w:rStyle w:val="ZvezaZnak"/>
          <w:noProof w:val="0"/>
          <w:sz w:val="20"/>
          <w:u w:val="none"/>
        </w:rPr>
      </w:pPr>
    </w:p>
    <w:p w14:paraId="4549E1F2" w14:textId="3C043E67" w:rsidR="00714788" w:rsidRPr="00043B56" w:rsidRDefault="00352A82" w:rsidP="001A403F">
      <w:pPr>
        <w:pStyle w:val="stevilkadokumenta"/>
        <w:rPr>
          <w:noProof w:val="0"/>
        </w:rPr>
      </w:pPr>
      <w:r w:rsidRPr="00043B56">
        <w:rPr>
          <w:rStyle w:val="ZvezaZnak"/>
          <w:noProof w:val="0"/>
          <w:sz w:val="20"/>
          <w:u w:val="none"/>
        </w:rPr>
        <w:t>Številka:</w:t>
      </w:r>
      <w:r w:rsidR="001A403F" w:rsidRPr="001A403F">
        <w:t xml:space="preserve"> </w:t>
      </w:r>
      <w:r w:rsidR="001A403F" w:rsidRPr="001A403F">
        <w:rPr>
          <w:rStyle w:val="ZvezaZnak"/>
          <w:noProof w:val="0"/>
          <w:sz w:val="20"/>
          <w:u w:val="none"/>
        </w:rPr>
        <w:t>3505-2/2018</w:t>
      </w:r>
      <w:r w:rsidRPr="00043B56">
        <w:rPr>
          <w:rStyle w:val="ZvezaZnak"/>
          <w:noProof w:val="0"/>
          <w:sz w:val="20"/>
          <w:u w:val="none"/>
        </w:rPr>
        <w:t xml:space="preserve"> </w:t>
      </w:r>
      <w:r w:rsidRPr="00043B56">
        <w:rPr>
          <w:rStyle w:val="ZvezaZnak"/>
          <w:noProof w:val="0"/>
          <w:sz w:val="20"/>
          <w:u w:val="none"/>
        </w:rPr>
        <w:br/>
      </w:r>
      <w:r w:rsidRPr="00043B56">
        <w:rPr>
          <w:noProof w:val="0"/>
        </w:rPr>
        <w:t xml:space="preserve">Nova Gorica, dne </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060A3" w:rsidRPr="00043B56" w14:paraId="3CD79ED9" w14:textId="77777777" w:rsidTr="009060A3">
        <w:tc>
          <w:tcPr>
            <w:tcW w:w="3549" w:type="dxa"/>
          </w:tcPr>
          <w:p w14:paraId="3281E915" w14:textId="013EE4C7" w:rsidR="009060A3" w:rsidRPr="00043B56" w:rsidRDefault="009060A3" w:rsidP="009060A3">
            <w:pPr>
              <w:pStyle w:val="Podpisoseba"/>
              <w:spacing w:before="0" w:after="0"/>
              <w:rPr>
                <w:b/>
                <w:noProof w:val="0"/>
                <w:color w:val="FFFFFF" w:themeColor="background1"/>
              </w:rPr>
            </w:pPr>
            <w:r w:rsidRPr="00043B56">
              <w:rPr>
                <w:b/>
                <w:noProof w:val="0"/>
                <w:color w:val="FFFFFF" w:themeColor="background1"/>
              </w:rPr>
              <w:t>k podpisnik</w:t>
            </w:r>
          </w:p>
        </w:tc>
      </w:tr>
      <w:tr w:rsidR="009060A3" w:rsidRPr="00043B56" w14:paraId="0E78414C" w14:textId="77777777" w:rsidTr="009060A3">
        <w:tc>
          <w:tcPr>
            <w:tcW w:w="3549" w:type="dxa"/>
          </w:tcPr>
          <w:p w14:paraId="36F5CAF7" w14:textId="77777777" w:rsidR="009060A3" w:rsidRPr="00043B56" w:rsidRDefault="009060A3" w:rsidP="009060A3">
            <w:pPr>
              <w:pStyle w:val="Podpisoseba"/>
              <w:spacing w:before="0" w:after="0"/>
              <w:rPr>
                <w:bCs w:val="0"/>
                <w:noProof w:val="0"/>
              </w:rPr>
            </w:pPr>
            <w:r w:rsidRPr="00043B56">
              <w:rPr>
                <w:b/>
                <w:noProof w:val="0"/>
              </w:rPr>
              <w:t>Samo Turel</w:t>
            </w:r>
          </w:p>
        </w:tc>
      </w:tr>
      <w:tr w:rsidR="009060A3" w:rsidRPr="00043B56" w14:paraId="296EC3FE" w14:textId="77777777" w:rsidTr="009060A3">
        <w:trPr>
          <w:trHeight w:val="530"/>
        </w:trPr>
        <w:tc>
          <w:tcPr>
            <w:tcW w:w="3549" w:type="dxa"/>
          </w:tcPr>
          <w:p w14:paraId="366DB2BD" w14:textId="2B47FD66" w:rsidR="009060A3" w:rsidRPr="00043B56" w:rsidRDefault="001A403F" w:rsidP="009060A3">
            <w:pPr>
              <w:pStyle w:val="Podpisoseba"/>
              <w:spacing w:before="0" w:after="0"/>
              <w:rPr>
                <w:bCs w:val="0"/>
                <w:noProof w:val="0"/>
              </w:rPr>
            </w:pPr>
            <w:r>
              <w:rPr>
                <w:noProof w:val="0"/>
              </w:rPr>
              <w:t>Ž</w:t>
            </w:r>
            <w:r w:rsidR="009060A3" w:rsidRPr="00043B56">
              <w:rPr>
                <w:noProof w:val="0"/>
              </w:rPr>
              <w:t>upan</w:t>
            </w:r>
          </w:p>
        </w:tc>
      </w:tr>
    </w:tbl>
    <w:p w14:paraId="1600E036" w14:textId="3AA6434C" w:rsidR="00714788" w:rsidRPr="00043B56" w:rsidRDefault="00714788" w:rsidP="00352A82">
      <w:pPr>
        <w:rPr>
          <w:noProof w:val="0"/>
        </w:rPr>
      </w:pPr>
    </w:p>
    <w:p w14:paraId="021587B6" w14:textId="77777777" w:rsidR="00714788" w:rsidRPr="00043B56" w:rsidRDefault="00714788" w:rsidP="000634A1">
      <w:pPr>
        <w:rPr>
          <w:noProof w:val="0"/>
        </w:rPr>
      </w:pPr>
    </w:p>
    <w:p w14:paraId="49C83A4E" w14:textId="77777777" w:rsidR="00731380" w:rsidRPr="00043B56" w:rsidRDefault="00731380" w:rsidP="00352A82">
      <w:pPr>
        <w:rPr>
          <w:noProof w:val="0"/>
        </w:rPr>
      </w:pPr>
    </w:p>
    <w:p w14:paraId="06BE4516" w14:textId="77777777" w:rsidR="00731380" w:rsidRPr="00043B56" w:rsidRDefault="00731380" w:rsidP="00352A82">
      <w:pPr>
        <w:rPr>
          <w:noProof w:val="0"/>
        </w:rPr>
        <w:sectPr w:rsidR="00731380" w:rsidRPr="00043B56" w:rsidSect="00E217AD">
          <w:pgSz w:w="11906" w:h="16838"/>
          <w:pgMar w:top="1418" w:right="1418" w:bottom="1418" w:left="1418" w:header="1304" w:footer="454" w:gutter="0"/>
          <w:cols w:space="708"/>
          <w:titlePg/>
          <w:docGrid w:linePitch="360"/>
        </w:sectPr>
      </w:pPr>
    </w:p>
    <w:p w14:paraId="5E21157B" w14:textId="130AE559" w:rsidR="00731380" w:rsidRPr="00043B56" w:rsidRDefault="00C50EB4" w:rsidP="00731380">
      <w:pPr>
        <w:pStyle w:val="Nazivenote"/>
        <w:rPr>
          <w:b w:val="0"/>
          <w:bCs/>
          <w:noProof w:val="0"/>
        </w:rPr>
      </w:pPr>
      <w:r w:rsidRPr="00043B56">
        <w:rPr>
          <w:noProof w:val="0"/>
        </w:rPr>
        <w:lastRenderedPageBreak/>
        <w:t>Oddelek za družbene dejavnosti</w:t>
      </w:r>
      <w:r w:rsidR="00731380" w:rsidRPr="00043B56">
        <w:rPr>
          <w:noProof w:val="0"/>
        </w:rPr>
        <w:br/>
      </w:r>
      <w:r w:rsidR="00731380" w:rsidRPr="00043B56">
        <w:rPr>
          <w:b w:val="0"/>
          <w:bCs/>
          <w:noProof w:val="0"/>
        </w:rPr>
        <w:t>Trg Edvarda Kardelja 1, 5000 Nova Gorica</w:t>
      </w:r>
    </w:p>
    <w:p w14:paraId="31D67305" w14:textId="34046677" w:rsidR="00731380" w:rsidRPr="00043B56" w:rsidRDefault="00D24092" w:rsidP="00731380">
      <w:pPr>
        <w:pStyle w:val="Naslov1"/>
        <w:rPr>
          <w:noProof w:val="0"/>
        </w:rPr>
      </w:pPr>
      <w:r w:rsidRPr="00043B56">
        <w:rPr>
          <w:noProof w:val="0"/>
        </w:rPr>
        <w:t xml:space="preserve">Obrazložitev </w:t>
      </w:r>
      <w:r w:rsidR="00523F22">
        <w:rPr>
          <w:noProof w:val="0"/>
        </w:rPr>
        <w:br/>
      </w:r>
    </w:p>
    <w:p w14:paraId="2DD2B90A" w14:textId="6515561E" w:rsidR="00D24092" w:rsidRDefault="00D24092" w:rsidP="00EF40A8">
      <w:pPr>
        <w:pStyle w:val="Naslov1"/>
        <w:numPr>
          <w:ilvl w:val="0"/>
          <w:numId w:val="18"/>
        </w:numPr>
        <w:spacing w:before="0" w:after="0" w:line="240" w:lineRule="exact"/>
        <w:ind w:left="1066" w:hanging="357"/>
      </w:pPr>
      <w:r w:rsidRPr="00043B56">
        <w:t xml:space="preserve">Razlogi za pripravo predloga Akcijskega načrta dostopnosti (v nadaljevanju: AND MONG) Mestne občine Nova Gorica </w:t>
      </w:r>
      <w:r w:rsidR="00B138D3" w:rsidRPr="00043B56">
        <w:t>202</w:t>
      </w:r>
      <w:r w:rsidR="00B138D3">
        <w:t>6</w:t>
      </w:r>
      <w:r w:rsidR="00B138D3" w:rsidRPr="00043B56">
        <w:t xml:space="preserve"> </w:t>
      </w:r>
      <w:r w:rsidRPr="00043B56">
        <w:t xml:space="preserve">– </w:t>
      </w:r>
      <w:r w:rsidR="00B138D3" w:rsidRPr="00043B56">
        <w:t>202</w:t>
      </w:r>
      <w:r w:rsidR="00B138D3">
        <w:t>9</w:t>
      </w:r>
    </w:p>
    <w:p w14:paraId="698CDC33" w14:textId="77777777" w:rsidR="00EF40A8" w:rsidRPr="00EF40A8" w:rsidRDefault="00EF40A8" w:rsidP="00EF40A8">
      <w:pPr>
        <w:spacing w:after="0" w:line="240" w:lineRule="exact"/>
      </w:pPr>
    </w:p>
    <w:p w14:paraId="1ABAF0FF" w14:textId="77777777" w:rsidR="004B3F0C" w:rsidRDefault="004B3F0C" w:rsidP="00551B85">
      <w:pPr>
        <w:pStyle w:val="gradivo"/>
        <w:spacing w:line="240" w:lineRule="auto"/>
        <w:rPr>
          <w:rFonts w:eastAsia="Calibri"/>
          <w:noProof w:val="0"/>
          <w:lang w:eastAsia="en-US"/>
        </w:rPr>
      </w:pPr>
      <w:r w:rsidRPr="00043B56">
        <w:rPr>
          <w:rFonts w:eastAsia="Calibri"/>
          <w:noProof w:val="0"/>
          <w:lang w:eastAsia="en-US"/>
        </w:rPr>
        <w:t xml:space="preserve">Mestna občina Nova Gorica je leta 2012 pridobila listino »Občina po meri invalidov«, ki jo podeljuje Zveza delovnih invalidov Slovenije. Pridobitev listine je priznanje občini za njena prizadevanja pri zagotavljanju enakih možnosti za vse občane, načrtnem razvoju ukrepov in dejavnosti, ki prispevajo k večji kvaliteti življenja invalidov in njihovih družin, ter spodbujanju njihove vključenosti v družbeno življenje. V ta namen je občina pripravila analizo položaja invalidov ter izvedla dva Akcijska načrta na podlagi smernic Agende 22. </w:t>
      </w:r>
    </w:p>
    <w:p w14:paraId="7720B16F" w14:textId="77777777" w:rsidR="001B3B26" w:rsidRPr="00043B56" w:rsidRDefault="001B3B26" w:rsidP="00551B85">
      <w:pPr>
        <w:pStyle w:val="gradivo"/>
        <w:spacing w:line="240" w:lineRule="auto"/>
        <w:rPr>
          <w:rFonts w:eastAsia="Calibri"/>
          <w:noProof w:val="0"/>
          <w:lang w:eastAsia="en-US"/>
        </w:rPr>
      </w:pPr>
    </w:p>
    <w:p w14:paraId="432377E8" w14:textId="77777777" w:rsidR="00756B8E" w:rsidRPr="00043B56" w:rsidRDefault="004B3F0C" w:rsidP="00551B85">
      <w:pPr>
        <w:pStyle w:val="gradivo"/>
        <w:spacing w:line="240" w:lineRule="auto"/>
        <w:rPr>
          <w:rFonts w:eastAsia="Calibri"/>
          <w:noProof w:val="0"/>
          <w:lang w:eastAsia="en-US"/>
        </w:rPr>
      </w:pPr>
      <w:r w:rsidRPr="00043B56">
        <w:rPr>
          <w:rFonts w:eastAsia="Calibri"/>
          <w:noProof w:val="0"/>
          <w:lang w:eastAsia="en-US"/>
        </w:rPr>
        <w:t>Na podlagi zakonskih sprememb in kot nadgradnjo že izdelane dokumentacije iz leta 2012 je Mestna občina Nova Gorica skupaj s predstavniki invalidskih organizacij in Zavodom DOSTOP pripravila 1. Strateški načrt dostopnosti, ki pa je skupaj z Akcijskem načrtom dostopnosti v lanskem letu pretekel. Zato je Mestna občina Nova Gorica,  zaradi sprememb zakonodaje, tehnološkega napredka, pridobljenih izkušenj ter novih potreb občanov pripravila revizijo Strateškega načrta dostopnosti Mestne občine Nova Gorica</w:t>
      </w:r>
      <w:r w:rsidR="00B30986" w:rsidRPr="00043B56">
        <w:rPr>
          <w:rFonts w:eastAsia="Calibri"/>
          <w:noProof w:val="0"/>
          <w:lang w:eastAsia="en-US"/>
        </w:rPr>
        <w:t xml:space="preserve"> (v nadaljevanju: SND), ki jo je Mestni svet Mestne občine Nova Gorica potrdil na seji </w:t>
      </w:r>
      <w:r w:rsidR="00D85C67" w:rsidRPr="00043B56">
        <w:rPr>
          <w:rFonts w:eastAsia="Calibri"/>
          <w:noProof w:val="0"/>
          <w:lang w:eastAsia="en-US"/>
        </w:rPr>
        <w:t>20. feb</w:t>
      </w:r>
      <w:r w:rsidR="005E0DA0" w:rsidRPr="00043B56">
        <w:rPr>
          <w:rFonts w:eastAsia="Calibri"/>
          <w:noProof w:val="0"/>
          <w:lang w:eastAsia="en-US"/>
        </w:rPr>
        <w:t>ruarja 2025</w:t>
      </w:r>
      <w:r w:rsidR="00756B8E" w:rsidRPr="00043B56">
        <w:rPr>
          <w:rFonts w:eastAsia="Calibri"/>
          <w:noProof w:val="0"/>
          <w:lang w:eastAsia="en-US"/>
        </w:rPr>
        <w:t xml:space="preserve">. </w:t>
      </w:r>
    </w:p>
    <w:p w14:paraId="3BCA48D5" w14:textId="77777777" w:rsidR="00756B8E" w:rsidRPr="00043B56" w:rsidRDefault="00756B8E" w:rsidP="00551B85">
      <w:pPr>
        <w:pStyle w:val="gradivo"/>
        <w:spacing w:line="240" w:lineRule="auto"/>
        <w:rPr>
          <w:rFonts w:eastAsia="Calibri"/>
          <w:noProof w:val="0"/>
          <w:lang w:eastAsia="en-US"/>
        </w:rPr>
      </w:pPr>
    </w:p>
    <w:p w14:paraId="6038EACF" w14:textId="7EB96182" w:rsidR="00756B8E" w:rsidRPr="00551B85" w:rsidRDefault="00756B8E" w:rsidP="00551B85">
      <w:pPr>
        <w:spacing w:line="240" w:lineRule="auto"/>
        <w:rPr>
          <w:noProof w:val="0"/>
        </w:rPr>
      </w:pPr>
      <w:r w:rsidRPr="00043B56">
        <w:rPr>
          <w:noProof w:val="0"/>
        </w:rPr>
        <w:t xml:space="preserve">Akcijski načrt dostopnosti Mestne občine Nova Gorica </w:t>
      </w:r>
      <w:r w:rsidR="00B138D3" w:rsidRPr="00043B56">
        <w:rPr>
          <w:noProof w:val="0"/>
        </w:rPr>
        <w:t>202</w:t>
      </w:r>
      <w:r w:rsidR="00B138D3">
        <w:rPr>
          <w:noProof w:val="0"/>
        </w:rPr>
        <w:t>6</w:t>
      </w:r>
      <w:r w:rsidRPr="00043B56">
        <w:rPr>
          <w:noProof w:val="0"/>
        </w:rPr>
        <w:t>-</w:t>
      </w:r>
      <w:r w:rsidR="00B138D3" w:rsidRPr="00043B56">
        <w:rPr>
          <w:noProof w:val="0"/>
        </w:rPr>
        <w:t>202</w:t>
      </w:r>
      <w:r w:rsidR="00B138D3">
        <w:rPr>
          <w:noProof w:val="0"/>
        </w:rPr>
        <w:t>9</w:t>
      </w:r>
      <w:r w:rsidR="00B138D3" w:rsidRPr="00043B56">
        <w:rPr>
          <w:noProof w:val="0"/>
        </w:rPr>
        <w:t xml:space="preserve"> </w:t>
      </w:r>
      <w:r w:rsidRPr="00043B56">
        <w:rPr>
          <w:noProof w:val="0"/>
        </w:rPr>
        <w:t xml:space="preserve">(v nadaljevanju: AND </w:t>
      </w:r>
      <w:r w:rsidR="00B138D3" w:rsidRPr="00043B56">
        <w:rPr>
          <w:noProof w:val="0"/>
        </w:rPr>
        <w:t>2</w:t>
      </w:r>
      <w:r w:rsidR="00B138D3">
        <w:rPr>
          <w:noProof w:val="0"/>
        </w:rPr>
        <w:t>6</w:t>
      </w:r>
      <w:r w:rsidRPr="00043B56">
        <w:rPr>
          <w:noProof w:val="0"/>
        </w:rPr>
        <w:t>-</w:t>
      </w:r>
      <w:r w:rsidR="00B138D3" w:rsidRPr="00043B56">
        <w:rPr>
          <w:noProof w:val="0"/>
        </w:rPr>
        <w:t>2</w:t>
      </w:r>
      <w:r w:rsidR="00B138D3">
        <w:rPr>
          <w:noProof w:val="0"/>
        </w:rPr>
        <w:t>9</w:t>
      </w:r>
      <w:r w:rsidRPr="00043B56">
        <w:rPr>
          <w:noProof w:val="0"/>
        </w:rPr>
        <w:t xml:space="preserve">)  temelji na dokumentu SND MONG, ki določa smernice za določanje stopnje dostopnosti zunanjih površin v skladu z 32. </w:t>
      </w:r>
      <w:r w:rsidRPr="00551B85">
        <w:rPr>
          <w:noProof w:val="0"/>
        </w:rPr>
        <w:t xml:space="preserve">členom Gradbenega zakona (Uradni list RS, št. 199/21, 105/22 – ZZNŠPP in 133/23). </w:t>
      </w:r>
      <w:r w:rsidR="00EC3602" w:rsidRPr="00551B85">
        <w:rPr>
          <w:color w:val="000000"/>
        </w:rPr>
        <w:t xml:space="preserve">AND 26-29 vključuje tudi projekte za leto 2025, ki se bodo v letu 2026 pregledali, ovrednotili ter preverili z vidika njihove izvedbe. V dokument je vključeno tudi leto 2029, ki je v Akcijskem načrtu dostopnosti opredeljeno kot ločena aktivnost v tabeli ukrepov. </w:t>
      </w:r>
    </w:p>
    <w:p w14:paraId="7ACC6574" w14:textId="40F96169" w:rsidR="00C04D7E" w:rsidRDefault="00756B8E" w:rsidP="00551B85">
      <w:pPr>
        <w:pStyle w:val="gradivo"/>
        <w:spacing w:line="240" w:lineRule="auto"/>
        <w:rPr>
          <w:noProof w:val="0"/>
        </w:rPr>
      </w:pPr>
      <w:r w:rsidRPr="00043B56">
        <w:rPr>
          <w:noProof w:val="0"/>
        </w:rPr>
        <w:t xml:space="preserve">V zvezi z realizacijo strateških ciljev SND se je Mestna občina Nova Gorica zavezala, da bo pripravila Akcijski načrt izvajanja ukrepov iz Strateškega načrta dostopnosti. Ta akcijski načrt je drugi štiriletni izvedbeni dokument SND. V njem so določeni ukrepi, ki se bodo izvajali v obdobju </w:t>
      </w:r>
      <w:r w:rsidR="004C34A7" w:rsidRPr="00043B56">
        <w:rPr>
          <w:noProof w:val="0"/>
        </w:rPr>
        <w:t>202</w:t>
      </w:r>
      <w:r w:rsidR="004C34A7">
        <w:rPr>
          <w:noProof w:val="0"/>
        </w:rPr>
        <w:t>6</w:t>
      </w:r>
      <w:r w:rsidRPr="00043B56">
        <w:rPr>
          <w:noProof w:val="0"/>
        </w:rPr>
        <w:t>-202</w:t>
      </w:r>
      <w:r w:rsidR="004C34A7">
        <w:rPr>
          <w:noProof w:val="0"/>
        </w:rPr>
        <w:t>9</w:t>
      </w:r>
      <w:r w:rsidRPr="00043B56">
        <w:rPr>
          <w:noProof w:val="0"/>
        </w:rPr>
        <w:t xml:space="preserve">, izvajalci ukrepov, finančni viri, potrebni za izvedbo ukrepov in okvirni roki izvedbe po letih. </w:t>
      </w:r>
    </w:p>
    <w:p w14:paraId="4D4939AC" w14:textId="77777777" w:rsidR="00C04D7E" w:rsidRDefault="00C04D7E" w:rsidP="00551B85">
      <w:pPr>
        <w:pStyle w:val="gradivo"/>
        <w:spacing w:line="240" w:lineRule="auto"/>
        <w:rPr>
          <w:noProof w:val="0"/>
        </w:rPr>
      </w:pPr>
    </w:p>
    <w:p w14:paraId="3343DD1D" w14:textId="205B59D7" w:rsidR="00D24092" w:rsidRDefault="00756B8E" w:rsidP="00EE054F">
      <w:pPr>
        <w:pStyle w:val="gradivo"/>
        <w:spacing w:line="240" w:lineRule="auto"/>
        <w:rPr>
          <w:noProof w:val="0"/>
        </w:rPr>
      </w:pPr>
      <w:r w:rsidRPr="00043B56">
        <w:rPr>
          <w:noProof w:val="0"/>
        </w:rPr>
        <w:t xml:space="preserve">Občinski svet MONG spremlja izvajanje  AND </w:t>
      </w:r>
      <w:r w:rsidR="004C34A7" w:rsidRPr="00043B56">
        <w:rPr>
          <w:noProof w:val="0"/>
        </w:rPr>
        <w:t>2</w:t>
      </w:r>
      <w:r w:rsidR="004C34A7">
        <w:rPr>
          <w:noProof w:val="0"/>
        </w:rPr>
        <w:t>6</w:t>
      </w:r>
      <w:r w:rsidR="00010CF0" w:rsidRPr="00043B56">
        <w:rPr>
          <w:noProof w:val="0"/>
        </w:rPr>
        <w:t>-</w:t>
      </w:r>
      <w:r w:rsidR="004C34A7" w:rsidRPr="00043B56">
        <w:rPr>
          <w:noProof w:val="0"/>
        </w:rPr>
        <w:t>2</w:t>
      </w:r>
      <w:r w:rsidR="004C34A7">
        <w:rPr>
          <w:noProof w:val="0"/>
        </w:rPr>
        <w:t>9</w:t>
      </w:r>
      <w:r w:rsidR="004C34A7" w:rsidRPr="00043B56">
        <w:rPr>
          <w:noProof w:val="0"/>
        </w:rPr>
        <w:t xml:space="preserve"> </w:t>
      </w:r>
      <w:r w:rsidRPr="00043B56">
        <w:rPr>
          <w:noProof w:val="0"/>
        </w:rPr>
        <w:t>tako, da občinska uprava v sodelovanju s Svetom za invalide vsako leto Občinskemu svetu poda poročilo o izvajanju AND MONG za preteklo leto.</w:t>
      </w:r>
    </w:p>
    <w:p w14:paraId="02B645EF" w14:textId="77777777" w:rsidR="001F7D02" w:rsidRPr="00043B56" w:rsidRDefault="001F7D02" w:rsidP="00551B85">
      <w:pPr>
        <w:pStyle w:val="gradivo"/>
        <w:spacing w:line="240" w:lineRule="auto"/>
        <w:rPr>
          <w:noProof w:val="0"/>
        </w:rPr>
      </w:pPr>
    </w:p>
    <w:p w14:paraId="50580673" w14:textId="3663983B" w:rsidR="00D24092" w:rsidRPr="00043B56" w:rsidRDefault="00D24092" w:rsidP="00EF40A8">
      <w:pPr>
        <w:pStyle w:val="Naslov1"/>
        <w:numPr>
          <w:ilvl w:val="0"/>
          <w:numId w:val="18"/>
        </w:numPr>
        <w:spacing w:before="0" w:after="0" w:line="240" w:lineRule="exact"/>
        <w:ind w:left="1066" w:hanging="357"/>
      </w:pPr>
      <w:r w:rsidRPr="00043B56">
        <w:t>Vsebina AND MONG – ključni poudarki</w:t>
      </w:r>
    </w:p>
    <w:p w14:paraId="3A26CFD5" w14:textId="77777777" w:rsidR="00D24092" w:rsidRPr="00043B56" w:rsidRDefault="00D24092" w:rsidP="00551B85">
      <w:pPr>
        <w:pStyle w:val="gradivo"/>
        <w:spacing w:line="240" w:lineRule="auto"/>
        <w:ind w:left="1414"/>
        <w:rPr>
          <w:noProof w:val="0"/>
        </w:rPr>
      </w:pPr>
    </w:p>
    <w:p w14:paraId="76FFFE79" w14:textId="336FB268" w:rsidR="00D24092" w:rsidRPr="00043B56" w:rsidRDefault="00B50FF9" w:rsidP="00551B85">
      <w:pPr>
        <w:pStyle w:val="gradivo"/>
        <w:spacing w:line="240" w:lineRule="auto"/>
        <w:rPr>
          <w:noProof w:val="0"/>
        </w:rPr>
      </w:pPr>
      <w:r w:rsidRPr="00043B56">
        <w:rPr>
          <w:noProof w:val="0"/>
        </w:rPr>
        <w:t xml:space="preserve">Pripravljeni </w:t>
      </w:r>
      <w:r w:rsidR="00D44EE0" w:rsidRPr="00043B56">
        <w:rPr>
          <w:noProof w:val="0"/>
        </w:rPr>
        <w:t xml:space="preserve">AND </w:t>
      </w:r>
      <w:r w:rsidR="004C34A7" w:rsidRPr="00043B56">
        <w:rPr>
          <w:noProof w:val="0"/>
        </w:rPr>
        <w:t>2</w:t>
      </w:r>
      <w:r w:rsidR="004C34A7">
        <w:rPr>
          <w:noProof w:val="0"/>
        </w:rPr>
        <w:t>6</w:t>
      </w:r>
      <w:r w:rsidR="00D44EE0" w:rsidRPr="00043B56">
        <w:rPr>
          <w:noProof w:val="0"/>
        </w:rPr>
        <w:t>-</w:t>
      </w:r>
      <w:r w:rsidR="004C34A7" w:rsidRPr="00043B56">
        <w:rPr>
          <w:noProof w:val="0"/>
        </w:rPr>
        <w:t>2</w:t>
      </w:r>
      <w:r w:rsidR="004C34A7">
        <w:rPr>
          <w:noProof w:val="0"/>
        </w:rPr>
        <w:t>9</w:t>
      </w:r>
      <w:r w:rsidR="004C34A7" w:rsidRPr="00043B56">
        <w:rPr>
          <w:noProof w:val="0"/>
        </w:rPr>
        <w:t xml:space="preserve"> </w:t>
      </w:r>
      <w:r w:rsidR="00D24092" w:rsidRPr="00043B56">
        <w:rPr>
          <w:noProof w:val="0"/>
        </w:rPr>
        <w:t>je</w:t>
      </w:r>
      <w:r w:rsidR="00D44EE0" w:rsidRPr="00043B56">
        <w:rPr>
          <w:noProof w:val="0"/>
        </w:rPr>
        <w:t xml:space="preserve"> </w:t>
      </w:r>
      <w:r w:rsidR="00D24092" w:rsidRPr="00043B56">
        <w:rPr>
          <w:noProof w:val="0"/>
        </w:rPr>
        <w:t xml:space="preserve">štiriletni izvedbeni dokument SND. V njem so določeni ukrepi, ki se bodo izvajali v obdobju </w:t>
      </w:r>
      <w:r w:rsidR="00EC3602" w:rsidRPr="00043B56">
        <w:rPr>
          <w:noProof w:val="0"/>
        </w:rPr>
        <w:t>202</w:t>
      </w:r>
      <w:r w:rsidR="00EC3602">
        <w:rPr>
          <w:noProof w:val="0"/>
        </w:rPr>
        <w:t>6</w:t>
      </w:r>
      <w:r w:rsidR="00D24092" w:rsidRPr="00043B56">
        <w:rPr>
          <w:noProof w:val="0"/>
        </w:rPr>
        <w:t>-</w:t>
      </w:r>
      <w:r w:rsidR="00EC3602" w:rsidRPr="00043B56">
        <w:rPr>
          <w:noProof w:val="0"/>
        </w:rPr>
        <w:t>202</w:t>
      </w:r>
      <w:r w:rsidR="00EC3602">
        <w:rPr>
          <w:noProof w:val="0"/>
        </w:rPr>
        <w:t>9</w:t>
      </w:r>
      <w:r w:rsidR="00D24092" w:rsidRPr="00043B56">
        <w:rPr>
          <w:noProof w:val="0"/>
        </w:rPr>
        <w:t xml:space="preserve">, izvajalci ukrepov, finančni viri, potrebni za izvedbo ukrepov in okvirni roki izvedbe. </w:t>
      </w:r>
    </w:p>
    <w:p w14:paraId="438A1649" w14:textId="77777777" w:rsidR="001C0AAD" w:rsidRPr="00043B56" w:rsidRDefault="001C0AAD" w:rsidP="00551B85">
      <w:pPr>
        <w:pStyle w:val="gradivo"/>
        <w:spacing w:line="240" w:lineRule="auto"/>
        <w:rPr>
          <w:noProof w:val="0"/>
        </w:rPr>
      </w:pPr>
    </w:p>
    <w:p w14:paraId="55D26709" w14:textId="40AD31FC" w:rsidR="00D24092" w:rsidRDefault="00D24092" w:rsidP="00551B85">
      <w:pPr>
        <w:pStyle w:val="gradivo"/>
        <w:spacing w:line="240" w:lineRule="auto"/>
        <w:rPr>
          <w:noProof w:val="0"/>
        </w:rPr>
      </w:pPr>
      <w:r w:rsidRPr="00043B56">
        <w:rPr>
          <w:noProof w:val="0"/>
        </w:rPr>
        <w:t xml:space="preserve">AND </w:t>
      </w:r>
      <w:r w:rsidR="004C34A7">
        <w:rPr>
          <w:noProof w:val="0"/>
        </w:rPr>
        <w:t>26</w:t>
      </w:r>
      <w:r w:rsidR="001C0AAD" w:rsidRPr="00043B56">
        <w:rPr>
          <w:noProof w:val="0"/>
        </w:rPr>
        <w:t>-</w:t>
      </w:r>
      <w:r w:rsidR="004C34A7" w:rsidRPr="00043B56">
        <w:rPr>
          <w:noProof w:val="0"/>
        </w:rPr>
        <w:t>2</w:t>
      </w:r>
      <w:r w:rsidR="004C34A7">
        <w:rPr>
          <w:noProof w:val="0"/>
        </w:rPr>
        <w:t>9</w:t>
      </w:r>
      <w:r w:rsidR="004C34A7" w:rsidRPr="00043B56">
        <w:rPr>
          <w:noProof w:val="0"/>
        </w:rPr>
        <w:t xml:space="preserve"> </w:t>
      </w:r>
      <w:r w:rsidRPr="00043B56">
        <w:rPr>
          <w:noProof w:val="0"/>
        </w:rPr>
        <w:t xml:space="preserve">se osredotoča predvsem na ukrepe, katerih izvajanje sodi med naloge, ki so v pristojnosti Mestne občine Nova Gorica. </w:t>
      </w:r>
    </w:p>
    <w:p w14:paraId="7021E56C" w14:textId="77777777" w:rsidR="00EC3602" w:rsidRPr="00043B56" w:rsidRDefault="00EC3602" w:rsidP="00551B85">
      <w:pPr>
        <w:pStyle w:val="gradivo"/>
        <w:spacing w:line="240" w:lineRule="auto"/>
        <w:rPr>
          <w:noProof w:val="0"/>
        </w:rPr>
      </w:pPr>
    </w:p>
    <w:p w14:paraId="03C7A083" w14:textId="77777777" w:rsidR="00D24092" w:rsidRDefault="00D24092" w:rsidP="00551B85">
      <w:pPr>
        <w:pStyle w:val="gradivo"/>
        <w:spacing w:line="240" w:lineRule="auto"/>
        <w:rPr>
          <w:noProof w:val="0"/>
        </w:rPr>
      </w:pPr>
      <w:r w:rsidRPr="00043B56">
        <w:rPr>
          <w:noProof w:val="0"/>
        </w:rPr>
        <w:t>Aktivnosti, ki so predvidene v AND MONG upoštevajo veljavno državno in evropsko zakonodajo, ki se dotika področja dostopnosti in invalidske problematike. Med pomembnejšimi predpisi, ki jih  ukrepi upoštevajo so:</w:t>
      </w:r>
    </w:p>
    <w:p w14:paraId="4C69D55E" w14:textId="77777777" w:rsidR="00C94912" w:rsidRPr="00043B56" w:rsidRDefault="00C94912" w:rsidP="00551B85">
      <w:pPr>
        <w:pStyle w:val="gradivo"/>
        <w:spacing w:line="240" w:lineRule="auto"/>
        <w:rPr>
          <w:noProof w:val="0"/>
        </w:rPr>
      </w:pPr>
    </w:p>
    <w:p w14:paraId="1C6565B5" w14:textId="11679EDE" w:rsidR="00D24092" w:rsidRPr="00043B56" w:rsidRDefault="00D24092" w:rsidP="00551B85">
      <w:pPr>
        <w:pStyle w:val="gradivo"/>
        <w:numPr>
          <w:ilvl w:val="0"/>
          <w:numId w:val="13"/>
        </w:numPr>
        <w:spacing w:line="240" w:lineRule="auto"/>
        <w:ind w:left="993" w:hanging="284"/>
        <w:rPr>
          <w:noProof w:val="0"/>
        </w:rPr>
      </w:pPr>
      <w:r w:rsidRPr="00043B56">
        <w:rPr>
          <w:noProof w:val="0"/>
        </w:rPr>
        <w:t>Zakon o izenačevanju možnosti invalidov (Uradni list RS, št. 94/10, 50/14 in 32/17),</w:t>
      </w:r>
    </w:p>
    <w:p w14:paraId="78FB995B" w14:textId="79045599" w:rsidR="00D24092" w:rsidRPr="00043B56" w:rsidRDefault="00D24092" w:rsidP="00551B85">
      <w:pPr>
        <w:pStyle w:val="gradivo"/>
        <w:numPr>
          <w:ilvl w:val="0"/>
          <w:numId w:val="13"/>
        </w:numPr>
        <w:spacing w:line="240" w:lineRule="auto"/>
        <w:ind w:left="993" w:hanging="284"/>
        <w:rPr>
          <w:noProof w:val="0"/>
        </w:rPr>
      </w:pPr>
      <w:r w:rsidRPr="00043B56">
        <w:rPr>
          <w:noProof w:val="0"/>
        </w:rPr>
        <w:t>Zakon o socialnem vključevanju invalidov (Uradni list RS, št. 30/18),</w:t>
      </w:r>
    </w:p>
    <w:p w14:paraId="673738A2" w14:textId="3654BADB" w:rsidR="00D24092" w:rsidRPr="00043B56" w:rsidRDefault="00D24092" w:rsidP="00551B85">
      <w:pPr>
        <w:pStyle w:val="gradivo"/>
        <w:numPr>
          <w:ilvl w:val="0"/>
          <w:numId w:val="13"/>
        </w:numPr>
        <w:spacing w:line="240" w:lineRule="auto"/>
        <w:ind w:left="993" w:hanging="284"/>
        <w:rPr>
          <w:noProof w:val="0"/>
        </w:rPr>
      </w:pPr>
      <w:r w:rsidRPr="00043B56">
        <w:rPr>
          <w:noProof w:val="0"/>
        </w:rPr>
        <w:t>Zakon o zaposlitveni rehabilitaciji in zaposlovanju invalidov (Uradni list RS, št. 16/07 – uradno prečiščeno besedilo, 87/11, 96/12 – ZPIZ-2 in 98/14),</w:t>
      </w:r>
    </w:p>
    <w:p w14:paraId="4C84935D" w14:textId="331AE78A" w:rsidR="00D24092" w:rsidRPr="00043B56" w:rsidRDefault="00D24092" w:rsidP="00551B85">
      <w:pPr>
        <w:pStyle w:val="gradivo"/>
        <w:numPr>
          <w:ilvl w:val="0"/>
          <w:numId w:val="13"/>
        </w:numPr>
        <w:spacing w:line="240" w:lineRule="auto"/>
        <w:ind w:left="993" w:hanging="284"/>
        <w:rPr>
          <w:noProof w:val="0"/>
        </w:rPr>
      </w:pPr>
      <w:r w:rsidRPr="00043B56">
        <w:rPr>
          <w:noProof w:val="0"/>
        </w:rPr>
        <w:t xml:space="preserve">Gradbeni zakon (Uradni list RS, št. 61/17 in 72/17 – </w:t>
      </w:r>
      <w:proofErr w:type="spellStart"/>
      <w:r w:rsidRPr="00043B56">
        <w:rPr>
          <w:noProof w:val="0"/>
        </w:rPr>
        <w:t>popr</w:t>
      </w:r>
      <w:proofErr w:type="spellEnd"/>
      <w:r w:rsidRPr="00043B56">
        <w:rPr>
          <w:noProof w:val="0"/>
        </w:rPr>
        <w:t>.) s podrejenim Pravilnikom o univerzalni graditvi in uporabi objektov (Uradni list RS, št. 41/18)ter drugimi prepisi in</w:t>
      </w:r>
      <w:r w:rsidR="00043B56">
        <w:rPr>
          <w:noProof w:val="0"/>
        </w:rPr>
        <w:t xml:space="preserve"> </w:t>
      </w:r>
      <w:r w:rsidRPr="00043B56">
        <w:rPr>
          <w:noProof w:val="0"/>
        </w:rPr>
        <w:t>podzakonskimi akti, ki urejajo področje gradnje,</w:t>
      </w:r>
    </w:p>
    <w:p w14:paraId="151641F0" w14:textId="3E54BF12" w:rsidR="00D24092" w:rsidRPr="00043B56" w:rsidRDefault="00D24092" w:rsidP="00551B85">
      <w:pPr>
        <w:pStyle w:val="gradivo"/>
        <w:numPr>
          <w:ilvl w:val="0"/>
          <w:numId w:val="13"/>
        </w:numPr>
        <w:spacing w:line="240" w:lineRule="auto"/>
        <w:ind w:left="993" w:hanging="284"/>
        <w:rPr>
          <w:noProof w:val="0"/>
        </w:rPr>
      </w:pPr>
      <w:r w:rsidRPr="00043B56">
        <w:rPr>
          <w:noProof w:val="0"/>
        </w:rPr>
        <w:t xml:space="preserve">Zakon o cestah (Uradni list RS, št. 109/10, 48/12, 36/14 – </w:t>
      </w:r>
      <w:proofErr w:type="spellStart"/>
      <w:r w:rsidRPr="00043B56">
        <w:rPr>
          <w:noProof w:val="0"/>
        </w:rPr>
        <w:t>odl</w:t>
      </w:r>
      <w:proofErr w:type="spellEnd"/>
      <w:r w:rsidRPr="00043B56">
        <w:rPr>
          <w:noProof w:val="0"/>
        </w:rPr>
        <w:t xml:space="preserve">. US, 46/15 in 10/18) s podrejenim Pravilnikom za izvedbo investicijskih vzdrževalnih del in vzdrževalnih del v javno korist na javnih cestah (Uradni list RS, št. 7/12)in drugimi prepisi in podzakonskimi akti, ki urejajo področje gradnje cest in urejanja prometa, </w:t>
      </w:r>
    </w:p>
    <w:p w14:paraId="11EC3DED" w14:textId="5432F42C" w:rsidR="00D24092" w:rsidRPr="00043B56" w:rsidRDefault="00D24092" w:rsidP="00551B85">
      <w:pPr>
        <w:pStyle w:val="gradivo"/>
        <w:numPr>
          <w:ilvl w:val="0"/>
          <w:numId w:val="13"/>
        </w:numPr>
        <w:spacing w:line="240" w:lineRule="auto"/>
        <w:ind w:left="993" w:hanging="284"/>
        <w:rPr>
          <w:noProof w:val="0"/>
        </w:rPr>
      </w:pPr>
      <w:r w:rsidRPr="00043B56">
        <w:rPr>
          <w:noProof w:val="0"/>
        </w:rPr>
        <w:t>Zakon o dostopnosti spletišč in mobilnih aplikacij (Uradni list RS, št. 30/18),</w:t>
      </w:r>
    </w:p>
    <w:p w14:paraId="6D1BE7BB" w14:textId="24174584" w:rsidR="00FC0C63" w:rsidRPr="00043B56" w:rsidRDefault="00D24092" w:rsidP="00551B85">
      <w:pPr>
        <w:pStyle w:val="gradivo"/>
        <w:numPr>
          <w:ilvl w:val="0"/>
          <w:numId w:val="13"/>
        </w:numPr>
        <w:spacing w:line="240" w:lineRule="auto"/>
        <w:ind w:left="993" w:hanging="284"/>
        <w:rPr>
          <w:noProof w:val="0"/>
        </w:rPr>
      </w:pPr>
      <w:r w:rsidRPr="00043B56">
        <w:rPr>
          <w:noProof w:val="0"/>
        </w:rPr>
        <w:t>Zakon o uporabi slovenskega znakovnega jezika (Uradni list RS, št. 96/02)</w:t>
      </w:r>
      <w:r w:rsidR="00C94912">
        <w:rPr>
          <w:noProof w:val="0"/>
        </w:rPr>
        <w:t>,</w:t>
      </w:r>
    </w:p>
    <w:p w14:paraId="2F10673E" w14:textId="7B57840B" w:rsidR="00D24092" w:rsidRPr="00043B56" w:rsidRDefault="00FC0C63" w:rsidP="00551B85">
      <w:pPr>
        <w:pStyle w:val="gradivo"/>
        <w:numPr>
          <w:ilvl w:val="0"/>
          <w:numId w:val="13"/>
        </w:numPr>
        <w:spacing w:line="240" w:lineRule="auto"/>
        <w:ind w:left="993" w:hanging="284"/>
        <w:rPr>
          <w:noProof w:val="0"/>
        </w:rPr>
      </w:pPr>
      <w:r w:rsidRPr="00043B56">
        <w:rPr>
          <w:noProof w:val="0"/>
        </w:rPr>
        <w:t xml:space="preserve">Zakon o dostopnosti do proizvodov </w:t>
      </w:r>
      <w:r w:rsidR="002F3B46" w:rsidRPr="00043B56">
        <w:rPr>
          <w:noProof w:val="0"/>
        </w:rPr>
        <w:t>in storitev za invalide (Uradni list RS, št. 14/23)</w:t>
      </w:r>
      <w:r w:rsidR="00D24092" w:rsidRPr="00043B56">
        <w:rPr>
          <w:noProof w:val="0"/>
        </w:rPr>
        <w:t>.</w:t>
      </w:r>
    </w:p>
    <w:p w14:paraId="0C33E797" w14:textId="77777777" w:rsidR="00D24092" w:rsidRPr="00043B56" w:rsidRDefault="00D24092" w:rsidP="00551B85">
      <w:pPr>
        <w:pStyle w:val="gradivo"/>
        <w:spacing w:line="240" w:lineRule="auto"/>
        <w:rPr>
          <w:noProof w:val="0"/>
        </w:rPr>
      </w:pPr>
    </w:p>
    <w:p w14:paraId="23558D91" w14:textId="0305AFBF" w:rsidR="00D24092" w:rsidRPr="00043B56" w:rsidRDefault="00D24092" w:rsidP="00551B85">
      <w:pPr>
        <w:pStyle w:val="gradivo"/>
        <w:spacing w:line="240" w:lineRule="auto"/>
        <w:rPr>
          <w:noProof w:val="0"/>
        </w:rPr>
      </w:pPr>
      <w:r w:rsidRPr="00043B56">
        <w:rPr>
          <w:noProof w:val="0"/>
        </w:rPr>
        <w:t xml:space="preserve">Ukrepi so načrtovani v skladu s Standardnimi pravili za izenačevanje možnosti invalidov OZN. Načrtovanje ukrepov sledi dokumentu Agenda 22, ki je pripomoček pri uresničevanju Standardnih pravil OZN in je dostopen na spletni strani. Ukrepi so razdeljeni po poglavjih v skladu z Agendo 22 in SND MONG. </w:t>
      </w:r>
    </w:p>
    <w:p w14:paraId="747ECADF" w14:textId="77777777" w:rsidR="00D24092" w:rsidRPr="00043B56" w:rsidRDefault="00D24092" w:rsidP="00551B85">
      <w:pPr>
        <w:pStyle w:val="gradivo"/>
        <w:spacing w:line="240" w:lineRule="auto"/>
        <w:rPr>
          <w:noProof w:val="0"/>
        </w:rPr>
      </w:pPr>
    </w:p>
    <w:p w14:paraId="2424B790" w14:textId="614F5B9B" w:rsidR="00D24092" w:rsidRPr="00043B56" w:rsidRDefault="00D24092" w:rsidP="00551B85">
      <w:pPr>
        <w:pStyle w:val="gradivo"/>
        <w:spacing w:line="240" w:lineRule="auto"/>
        <w:rPr>
          <w:noProof w:val="0"/>
        </w:rPr>
      </w:pPr>
      <w:r w:rsidRPr="00043B56">
        <w:rPr>
          <w:noProof w:val="0"/>
        </w:rPr>
        <w:t xml:space="preserve">AND </w:t>
      </w:r>
      <w:r w:rsidR="004C34A7" w:rsidRPr="00043B56">
        <w:rPr>
          <w:noProof w:val="0"/>
        </w:rPr>
        <w:t>2</w:t>
      </w:r>
      <w:r w:rsidR="004C34A7">
        <w:rPr>
          <w:noProof w:val="0"/>
        </w:rPr>
        <w:t>6</w:t>
      </w:r>
      <w:r w:rsidR="001C0AAD" w:rsidRPr="00043B56">
        <w:rPr>
          <w:noProof w:val="0"/>
        </w:rPr>
        <w:t>-</w:t>
      </w:r>
      <w:r w:rsidR="004C34A7" w:rsidRPr="00043B56">
        <w:rPr>
          <w:noProof w:val="0"/>
        </w:rPr>
        <w:t>2</w:t>
      </w:r>
      <w:r w:rsidR="004C34A7">
        <w:rPr>
          <w:noProof w:val="0"/>
        </w:rPr>
        <w:t>9</w:t>
      </w:r>
      <w:r w:rsidR="004C34A7" w:rsidRPr="00043B56">
        <w:rPr>
          <w:noProof w:val="0"/>
        </w:rPr>
        <w:t xml:space="preserve"> </w:t>
      </w:r>
      <w:r w:rsidRPr="00043B56">
        <w:rPr>
          <w:noProof w:val="0"/>
        </w:rPr>
        <w:t>je v skladu s SND razdeljen v tri samostojne dele: Dostopnost prostora, Dostopnost informacij in Dostopnost storitev. Ukrepe so predlagali: Mestna občina Nova Gorica, invalidske organizacije in javne ustanove ter druge organizacije, ki delujejo na območju občine in ponujajo storitve, informacije in prostore, ki so na voljo javnosti.</w:t>
      </w:r>
    </w:p>
    <w:p w14:paraId="23695802" w14:textId="77777777" w:rsidR="00D24092" w:rsidRPr="00043B56" w:rsidRDefault="00D24092" w:rsidP="00551B85">
      <w:pPr>
        <w:pStyle w:val="gradivo"/>
        <w:spacing w:line="240" w:lineRule="auto"/>
        <w:rPr>
          <w:noProof w:val="0"/>
        </w:rPr>
      </w:pPr>
    </w:p>
    <w:p w14:paraId="2FA2D885" w14:textId="46878557" w:rsidR="00D24092" w:rsidRPr="00043B56" w:rsidRDefault="00D24092" w:rsidP="00551B85">
      <w:pPr>
        <w:pStyle w:val="gradivo"/>
        <w:spacing w:line="240" w:lineRule="auto"/>
        <w:rPr>
          <w:noProof w:val="0"/>
        </w:rPr>
      </w:pPr>
      <w:r w:rsidRPr="00043B56">
        <w:rPr>
          <w:noProof w:val="0"/>
        </w:rPr>
        <w:t xml:space="preserve">Ukrepi sledijo strateškim ciljem in usmeritvam iz SND. Znotraj posameznega ukrepa so opredeljene posamezne aktivnosti, ki se bodo izvajale v naslednjih 4 letih. Nekatere aktivnosti so predlagane že v SND,  druge predlagajo sodelujoče organizacije v okviru razpoložljivih sredstev ob upoštevanju drugih nalog in pristojnosti občine.  </w:t>
      </w:r>
    </w:p>
    <w:p w14:paraId="15592B8E" w14:textId="77777777" w:rsidR="00D24092" w:rsidRPr="00043B56" w:rsidRDefault="00D24092" w:rsidP="00551B85">
      <w:pPr>
        <w:pStyle w:val="gradivo"/>
        <w:spacing w:line="240" w:lineRule="auto"/>
        <w:rPr>
          <w:noProof w:val="0"/>
        </w:rPr>
      </w:pPr>
    </w:p>
    <w:p w14:paraId="3869BE61" w14:textId="6FF60E16" w:rsidR="008B06A7" w:rsidRPr="00043B56" w:rsidRDefault="007D68B9" w:rsidP="00551B85">
      <w:pPr>
        <w:pStyle w:val="gradivo"/>
        <w:spacing w:line="240" w:lineRule="auto"/>
        <w:rPr>
          <w:noProof w:val="0"/>
        </w:rPr>
      </w:pPr>
      <w:r w:rsidRPr="00043B56">
        <w:rPr>
          <w:noProof w:val="0"/>
        </w:rPr>
        <w:t xml:space="preserve">AND </w:t>
      </w:r>
      <w:r w:rsidR="004C34A7" w:rsidRPr="00043B56">
        <w:rPr>
          <w:noProof w:val="0"/>
        </w:rPr>
        <w:t>2</w:t>
      </w:r>
      <w:r w:rsidR="004C34A7">
        <w:rPr>
          <w:noProof w:val="0"/>
        </w:rPr>
        <w:t>6</w:t>
      </w:r>
      <w:r w:rsidRPr="00043B56">
        <w:rPr>
          <w:noProof w:val="0"/>
        </w:rPr>
        <w:t>-</w:t>
      </w:r>
      <w:r w:rsidR="004C34A7" w:rsidRPr="00043B56">
        <w:rPr>
          <w:noProof w:val="0"/>
        </w:rPr>
        <w:t>2</w:t>
      </w:r>
      <w:r w:rsidR="004C34A7">
        <w:rPr>
          <w:noProof w:val="0"/>
        </w:rPr>
        <w:t>9</w:t>
      </w:r>
      <w:r w:rsidR="004C34A7" w:rsidRPr="00043B56">
        <w:rPr>
          <w:noProof w:val="0"/>
        </w:rPr>
        <w:t xml:space="preserve"> </w:t>
      </w:r>
      <w:r w:rsidRPr="00043B56">
        <w:rPr>
          <w:noProof w:val="0"/>
        </w:rPr>
        <w:t xml:space="preserve">je razdeljen na </w:t>
      </w:r>
      <w:r w:rsidR="008B06A7" w:rsidRPr="00043B56">
        <w:rPr>
          <w:noProof w:val="0"/>
        </w:rPr>
        <w:t xml:space="preserve">dostopnost do prostora, informacij in storitev. </w:t>
      </w:r>
    </w:p>
    <w:p w14:paraId="23C18D46" w14:textId="77777777" w:rsidR="008B06A7" w:rsidRPr="00043B56" w:rsidRDefault="008B06A7" w:rsidP="00551B85">
      <w:pPr>
        <w:pStyle w:val="gradivo"/>
        <w:spacing w:line="240" w:lineRule="auto"/>
        <w:rPr>
          <w:noProof w:val="0"/>
        </w:rPr>
      </w:pPr>
    </w:p>
    <w:p w14:paraId="7F3806D5" w14:textId="7B2BB61F" w:rsidR="00D24092" w:rsidRPr="00043B56" w:rsidRDefault="00F84F2E" w:rsidP="00551B85">
      <w:pPr>
        <w:pStyle w:val="gradivo"/>
        <w:spacing w:line="240" w:lineRule="auto"/>
        <w:rPr>
          <w:noProof w:val="0"/>
        </w:rPr>
      </w:pPr>
      <w:r w:rsidRPr="00043B56">
        <w:rPr>
          <w:noProof w:val="0"/>
        </w:rPr>
        <w:t>Dostopnost do prostora se nanaša na načrtovanje dostopnosti javnega prostor</w:t>
      </w:r>
      <w:r w:rsidR="00246369" w:rsidRPr="00043B56">
        <w:rPr>
          <w:noProof w:val="0"/>
        </w:rPr>
        <w:t xml:space="preserve">a, izboljšanje dostopnosti obstoječih stavb v javni rabi, odpravljanje ovir na javnih površinah, zagotavljanje dostopnosti v okviru izdaje projektnih pogojev, lokacijskih informacij, soglasij in dovoljenj, zagotavljanje dostopnosti v okviru redarskih in inšpekcijskih služb. </w:t>
      </w:r>
    </w:p>
    <w:p w14:paraId="04405825" w14:textId="77777777" w:rsidR="00246369" w:rsidRPr="00043B56" w:rsidRDefault="00246369" w:rsidP="00551B85">
      <w:pPr>
        <w:pStyle w:val="gradivo"/>
        <w:spacing w:line="240" w:lineRule="auto"/>
        <w:rPr>
          <w:noProof w:val="0"/>
        </w:rPr>
      </w:pPr>
    </w:p>
    <w:p w14:paraId="236B032E" w14:textId="04B54443" w:rsidR="00D24092" w:rsidRPr="00043B56" w:rsidRDefault="00246369" w:rsidP="00551B85">
      <w:pPr>
        <w:pStyle w:val="gradivo"/>
        <w:spacing w:line="240" w:lineRule="auto"/>
        <w:rPr>
          <w:noProof w:val="0"/>
        </w:rPr>
      </w:pPr>
      <w:r w:rsidRPr="00043B56">
        <w:rPr>
          <w:noProof w:val="0"/>
        </w:rPr>
        <w:t xml:space="preserve">Dostopnost informacij obsega zagotavljanje dostopnosti informacij v vseh občinskih projektih, </w:t>
      </w:r>
      <w:r w:rsidR="004B4980" w:rsidRPr="00043B56">
        <w:rPr>
          <w:noProof w:val="0"/>
        </w:rPr>
        <w:t xml:space="preserve">informacij v grajenem okolju in izboljšanje digitalne dostopnosti. </w:t>
      </w:r>
    </w:p>
    <w:p w14:paraId="5B65C178" w14:textId="77777777" w:rsidR="00D24092" w:rsidRPr="00043B56" w:rsidRDefault="00D24092" w:rsidP="00551B85">
      <w:pPr>
        <w:pStyle w:val="gradivo"/>
        <w:spacing w:line="240" w:lineRule="auto"/>
        <w:rPr>
          <w:noProof w:val="0"/>
        </w:rPr>
      </w:pPr>
    </w:p>
    <w:p w14:paraId="69BBF68D" w14:textId="74A19427" w:rsidR="00D24092" w:rsidRPr="00043B56" w:rsidRDefault="004B4980" w:rsidP="00551B85">
      <w:pPr>
        <w:pStyle w:val="gradivo"/>
        <w:spacing w:line="240" w:lineRule="auto"/>
        <w:rPr>
          <w:noProof w:val="0"/>
        </w:rPr>
      </w:pPr>
      <w:r w:rsidRPr="00043B56">
        <w:rPr>
          <w:noProof w:val="0"/>
        </w:rPr>
        <w:t>V poglavju dostopnost</w:t>
      </w:r>
      <w:r w:rsidR="00D836BF" w:rsidRPr="00043B56">
        <w:rPr>
          <w:noProof w:val="0"/>
        </w:rPr>
        <w:t xml:space="preserve"> storitev pa zajema dostopnost javnega prevoza in posebnih oblik prevoza, </w:t>
      </w:r>
      <w:r w:rsidR="0074543E" w:rsidRPr="00043B56">
        <w:rPr>
          <w:noProof w:val="0"/>
        </w:rPr>
        <w:t>ozaveščanje</w:t>
      </w:r>
      <w:r w:rsidR="00D836BF" w:rsidRPr="00043B56">
        <w:rPr>
          <w:noProof w:val="0"/>
        </w:rPr>
        <w:t xml:space="preserve"> o </w:t>
      </w:r>
      <w:r w:rsidR="00043B56">
        <w:rPr>
          <w:noProof w:val="0"/>
        </w:rPr>
        <w:t>d</w:t>
      </w:r>
      <w:r w:rsidR="00D836BF" w:rsidRPr="00043B56">
        <w:rPr>
          <w:noProof w:val="0"/>
        </w:rPr>
        <w:t xml:space="preserve">ostopnosti in invalidski problematiki, skrb za zdravje in rehabilitacijo, razvoj strokovno podpornih služb in pripomočkov, vzgojo </w:t>
      </w:r>
      <w:r w:rsidR="00D836BF" w:rsidRPr="00043B56">
        <w:rPr>
          <w:noProof w:val="0"/>
        </w:rPr>
        <w:lastRenderedPageBreak/>
        <w:t>in izobraževanje, delo in socialno varnost, družinsko življenje in spoštovanje osebne integritete, k</w:t>
      </w:r>
      <w:r w:rsidR="00043B56">
        <w:rPr>
          <w:noProof w:val="0"/>
        </w:rPr>
        <w:t>u</w:t>
      </w:r>
      <w:r w:rsidR="00D836BF" w:rsidRPr="00043B56">
        <w:rPr>
          <w:noProof w:val="0"/>
        </w:rPr>
        <w:t xml:space="preserve">lturo, </w:t>
      </w:r>
      <w:r w:rsidR="00AA2278" w:rsidRPr="00043B56">
        <w:rPr>
          <w:noProof w:val="0"/>
        </w:rPr>
        <w:t xml:space="preserve">šport, rekreacijo in religijo. </w:t>
      </w:r>
    </w:p>
    <w:p w14:paraId="6AEE76E1" w14:textId="77777777" w:rsidR="00D24092" w:rsidRPr="00043B56" w:rsidRDefault="00D24092" w:rsidP="00551B85">
      <w:pPr>
        <w:pStyle w:val="gradivo"/>
        <w:spacing w:line="240" w:lineRule="auto"/>
        <w:rPr>
          <w:noProof w:val="0"/>
        </w:rPr>
      </w:pPr>
    </w:p>
    <w:p w14:paraId="59539903" w14:textId="199137B9" w:rsidR="00D24092" w:rsidRDefault="0039667F" w:rsidP="00551B85">
      <w:pPr>
        <w:pStyle w:val="gradivo"/>
        <w:spacing w:line="240" w:lineRule="auto"/>
        <w:rPr>
          <w:noProof w:val="0"/>
        </w:rPr>
      </w:pPr>
      <w:r w:rsidRPr="00043B56">
        <w:rPr>
          <w:noProof w:val="0"/>
        </w:rPr>
        <w:t xml:space="preserve">AND </w:t>
      </w:r>
      <w:r w:rsidR="004C34A7" w:rsidRPr="00043B56">
        <w:rPr>
          <w:noProof w:val="0"/>
        </w:rPr>
        <w:t>2</w:t>
      </w:r>
      <w:r w:rsidR="004C34A7">
        <w:rPr>
          <w:noProof w:val="0"/>
        </w:rPr>
        <w:t>6</w:t>
      </w:r>
      <w:r w:rsidRPr="00043B56">
        <w:rPr>
          <w:noProof w:val="0"/>
        </w:rPr>
        <w:t>-</w:t>
      </w:r>
      <w:r w:rsidR="004C34A7" w:rsidRPr="00043B56">
        <w:rPr>
          <w:noProof w:val="0"/>
        </w:rPr>
        <w:t>2</w:t>
      </w:r>
      <w:r w:rsidR="004C34A7">
        <w:rPr>
          <w:noProof w:val="0"/>
        </w:rPr>
        <w:t>9</w:t>
      </w:r>
      <w:r w:rsidR="004C34A7" w:rsidRPr="00043B56">
        <w:rPr>
          <w:noProof w:val="0"/>
        </w:rPr>
        <w:t xml:space="preserve"> </w:t>
      </w:r>
      <w:r w:rsidRPr="00043B56">
        <w:rPr>
          <w:noProof w:val="0"/>
        </w:rPr>
        <w:t xml:space="preserve">ima pet prilog. Priloga 1 so naloge in nosilci nalog AND, Priloga 2 je zbirna tabela projektov AND, Priloga 3 so predlogi odstranitve ovir v Rožni dolini, Priloga 4 so navodila za območje Bevkovega trga in Priloga 5 je Grafična priloga SND – poti višje stopnje dostopnosti. </w:t>
      </w:r>
    </w:p>
    <w:p w14:paraId="7721EAEB" w14:textId="77777777" w:rsidR="00D24092" w:rsidRPr="00043B56" w:rsidRDefault="00D24092" w:rsidP="00551B85">
      <w:pPr>
        <w:pStyle w:val="gradivo"/>
        <w:spacing w:line="240" w:lineRule="auto"/>
        <w:rPr>
          <w:noProof w:val="0"/>
        </w:rPr>
      </w:pPr>
    </w:p>
    <w:p w14:paraId="4ACF49C5" w14:textId="4633A626" w:rsidR="00D24092" w:rsidRPr="00043B56" w:rsidRDefault="00D24092" w:rsidP="008B189F">
      <w:pPr>
        <w:pStyle w:val="Naslov1"/>
        <w:spacing w:before="0" w:after="240" w:line="240" w:lineRule="exact"/>
        <w:rPr>
          <w:noProof w:val="0"/>
        </w:rPr>
      </w:pPr>
      <w:r w:rsidRPr="00043B56">
        <w:t>3.</w:t>
      </w:r>
      <w:r w:rsidRPr="00043B56">
        <w:tab/>
        <w:t>Ocena stanja</w:t>
      </w:r>
    </w:p>
    <w:p w14:paraId="0D4DED66" w14:textId="77777777" w:rsidR="00D24092" w:rsidRPr="00043B56" w:rsidRDefault="00D24092" w:rsidP="00551B85">
      <w:pPr>
        <w:pStyle w:val="gradivo"/>
        <w:spacing w:line="240" w:lineRule="auto"/>
        <w:rPr>
          <w:noProof w:val="0"/>
        </w:rPr>
      </w:pPr>
      <w:r w:rsidRPr="00043B56">
        <w:rPr>
          <w:noProof w:val="0"/>
        </w:rPr>
        <w:t xml:space="preserve">Univerzalna dostopnost je bila do sedaj slabo upoštevana pri večini prenov in novogradenj objektov v javni rabi. Deloma tiči razlog za to v nejasnosti in nepopolnosti dosedanje zakonodaje, deloma pa v tem, da so projektanti in naročniki tematiko slabo poznali ali jo zavračali kot nepotrebno. Zakonodaja je sedaj urejena, praksa pri projektantih pa še manjka, posebej na področju načrtovanja za slepe in slabovidne. </w:t>
      </w:r>
    </w:p>
    <w:p w14:paraId="27D79338" w14:textId="77777777" w:rsidR="001F7D02" w:rsidRPr="00043B56" w:rsidRDefault="001F7D02" w:rsidP="00551B85">
      <w:pPr>
        <w:pStyle w:val="gradivo"/>
        <w:spacing w:line="240" w:lineRule="auto"/>
        <w:rPr>
          <w:noProof w:val="0"/>
        </w:rPr>
      </w:pPr>
    </w:p>
    <w:p w14:paraId="20A189F7" w14:textId="77777777" w:rsidR="00D24092" w:rsidRPr="00043B56" w:rsidRDefault="00D24092" w:rsidP="008B189F">
      <w:pPr>
        <w:pStyle w:val="Naslov1"/>
        <w:spacing w:before="0" w:after="240" w:line="240" w:lineRule="exact"/>
      </w:pPr>
      <w:r w:rsidRPr="00043B56">
        <w:t>4.</w:t>
      </w:r>
      <w:r w:rsidRPr="00043B56">
        <w:tab/>
        <w:t>Cilji, ki jih želimo doseči</w:t>
      </w:r>
    </w:p>
    <w:p w14:paraId="7A8ED224" w14:textId="2A7EAE87" w:rsidR="00D24092" w:rsidRDefault="00D24092" w:rsidP="00551B85">
      <w:pPr>
        <w:pStyle w:val="gradivo"/>
        <w:spacing w:line="240" w:lineRule="auto"/>
        <w:rPr>
          <w:noProof w:val="0"/>
        </w:rPr>
      </w:pPr>
      <w:r w:rsidRPr="00043B56">
        <w:rPr>
          <w:noProof w:val="0"/>
        </w:rPr>
        <w:t xml:space="preserve">Mestna občina Nova Gorica s pripravo in izvajanjem AND </w:t>
      </w:r>
      <w:r w:rsidR="004C34A7" w:rsidRPr="00043B56">
        <w:rPr>
          <w:noProof w:val="0"/>
        </w:rPr>
        <w:t>2</w:t>
      </w:r>
      <w:r w:rsidR="004C34A7">
        <w:rPr>
          <w:noProof w:val="0"/>
        </w:rPr>
        <w:t>6</w:t>
      </w:r>
      <w:r w:rsidR="0039667F" w:rsidRPr="00043B56">
        <w:rPr>
          <w:noProof w:val="0"/>
        </w:rPr>
        <w:t>-</w:t>
      </w:r>
      <w:r w:rsidR="004C34A7" w:rsidRPr="00043B56">
        <w:rPr>
          <w:noProof w:val="0"/>
        </w:rPr>
        <w:t>2</w:t>
      </w:r>
      <w:r w:rsidR="004C34A7">
        <w:rPr>
          <w:noProof w:val="0"/>
        </w:rPr>
        <w:t>9</w:t>
      </w:r>
      <w:r w:rsidR="004C34A7" w:rsidRPr="00043B56">
        <w:rPr>
          <w:noProof w:val="0"/>
        </w:rPr>
        <w:t xml:space="preserve">  </w:t>
      </w:r>
      <w:r w:rsidRPr="00043B56">
        <w:rPr>
          <w:noProof w:val="0"/>
        </w:rPr>
        <w:t>zagotavlja učinkovito reševanje dostopnosti, ki jo je oblikovala v SND.</w:t>
      </w:r>
    </w:p>
    <w:p w14:paraId="1DBDF95A" w14:textId="77777777" w:rsidR="000A3F89" w:rsidRPr="00043B56" w:rsidRDefault="000A3F89" w:rsidP="00551B85">
      <w:pPr>
        <w:pStyle w:val="gradivo"/>
        <w:spacing w:line="240" w:lineRule="auto"/>
        <w:rPr>
          <w:noProof w:val="0"/>
        </w:rPr>
      </w:pPr>
    </w:p>
    <w:p w14:paraId="54209C19" w14:textId="1F0CFA0B" w:rsidR="00D24092" w:rsidRDefault="00D24092" w:rsidP="00551B85">
      <w:pPr>
        <w:pStyle w:val="gradivo"/>
        <w:spacing w:line="240" w:lineRule="auto"/>
        <w:rPr>
          <w:noProof w:val="0"/>
        </w:rPr>
      </w:pPr>
      <w:r w:rsidRPr="00043B56">
        <w:rPr>
          <w:noProof w:val="0"/>
        </w:rPr>
        <w:t xml:space="preserve">AND MONG je skupni dokument vseh zainteresiranih organizacij, kjer so  vse pobude  združene na enem mestu, kjer se problem dostopnosti  rešuje celostno, ne za vsako skupino posebej. AND </w:t>
      </w:r>
      <w:r w:rsidR="004C34A7" w:rsidRPr="00043B56">
        <w:rPr>
          <w:noProof w:val="0"/>
        </w:rPr>
        <w:t>2</w:t>
      </w:r>
      <w:r w:rsidR="004C34A7">
        <w:rPr>
          <w:noProof w:val="0"/>
        </w:rPr>
        <w:t>6</w:t>
      </w:r>
      <w:r w:rsidR="0039667F" w:rsidRPr="00043B56">
        <w:rPr>
          <w:noProof w:val="0"/>
        </w:rPr>
        <w:t>-</w:t>
      </w:r>
      <w:r w:rsidR="004C34A7" w:rsidRPr="00043B56">
        <w:rPr>
          <w:noProof w:val="0"/>
        </w:rPr>
        <w:t>2</w:t>
      </w:r>
      <w:r w:rsidR="004C34A7">
        <w:rPr>
          <w:noProof w:val="0"/>
        </w:rPr>
        <w:t>9</w:t>
      </w:r>
      <w:r w:rsidR="004C34A7" w:rsidRPr="00043B56">
        <w:rPr>
          <w:noProof w:val="0"/>
        </w:rPr>
        <w:t xml:space="preserve"> </w:t>
      </w:r>
      <w:r w:rsidRPr="00043B56">
        <w:rPr>
          <w:noProof w:val="0"/>
        </w:rPr>
        <w:t xml:space="preserve">sledi strategiji iz SND </w:t>
      </w:r>
      <w:r w:rsidR="0039667F" w:rsidRPr="00043B56">
        <w:rPr>
          <w:noProof w:val="0"/>
        </w:rPr>
        <w:t>o</w:t>
      </w:r>
      <w:r w:rsidRPr="00043B56">
        <w:rPr>
          <w:noProof w:val="0"/>
        </w:rPr>
        <w:t xml:space="preserve"> reševanju težav v zvezi z dostopnostjo, kjer so vključeni tudi javni zavodi in celotna lokalna skupnost.</w:t>
      </w:r>
    </w:p>
    <w:p w14:paraId="544F8F2D" w14:textId="77777777" w:rsidR="00B959B4" w:rsidRPr="00043B56" w:rsidRDefault="00B959B4" w:rsidP="00551B85">
      <w:pPr>
        <w:pStyle w:val="gradivo"/>
        <w:spacing w:line="240" w:lineRule="auto"/>
        <w:rPr>
          <w:noProof w:val="0"/>
        </w:rPr>
      </w:pPr>
    </w:p>
    <w:p w14:paraId="02115004" w14:textId="0CC1E0EC" w:rsidR="00D24092" w:rsidRDefault="00D24092" w:rsidP="00551B85">
      <w:pPr>
        <w:pStyle w:val="gradivo"/>
        <w:spacing w:line="240" w:lineRule="auto"/>
        <w:rPr>
          <w:noProof w:val="0"/>
        </w:rPr>
      </w:pPr>
      <w:r w:rsidRPr="00043B56">
        <w:rPr>
          <w:noProof w:val="0"/>
        </w:rPr>
        <w:t xml:space="preserve">AND </w:t>
      </w:r>
      <w:r w:rsidR="0039667F" w:rsidRPr="00043B56">
        <w:rPr>
          <w:noProof w:val="0"/>
        </w:rPr>
        <w:t>2</w:t>
      </w:r>
      <w:r w:rsidR="004C34A7">
        <w:rPr>
          <w:noProof w:val="0"/>
        </w:rPr>
        <w:t>6</w:t>
      </w:r>
      <w:r w:rsidR="0039667F" w:rsidRPr="00043B56">
        <w:rPr>
          <w:noProof w:val="0"/>
        </w:rPr>
        <w:t>-</w:t>
      </w:r>
      <w:r w:rsidR="004C34A7" w:rsidRPr="00043B56">
        <w:rPr>
          <w:noProof w:val="0"/>
        </w:rPr>
        <w:t>2</w:t>
      </w:r>
      <w:r w:rsidR="004C34A7">
        <w:rPr>
          <w:noProof w:val="0"/>
        </w:rPr>
        <w:t>9</w:t>
      </w:r>
      <w:r w:rsidR="004C34A7" w:rsidRPr="00043B56">
        <w:rPr>
          <w:noProof w:val="0"/>
        </w:rPr>
        <w:t xml:space="preserve"> </w:t>
      </w:r>
      <w:r w:rsidRPr="00043B56">
        <w:rPr>
          <w:noProof w:val="0"/>
        </w:rPr>
        <w:t xml:space="preserve">v posameznih poglavjih določa </w:t>
      </w:r>
      <w:r w:rsidR="00E87B5B" w:rsidRPr="00043B56">
        <w:rPr>
          <w:noProof w:val="0"/>
        </w:rPr>
        <w:t>aktivnosti, ki se bodo izvajal</w:t>
      </w:r>
      <w:r w:rsidR="00D62E9C" w:rsidRPr="00043B56">
        <w:rPr>
          <w:noProof w:val="0"/>
        </w:rPr>
        <w:t>e</w:t>
      </w:r>
      <w:r w:rsidR="00E87B5B" w:rsidRPr="00043B56">
        <w:rPr>
          <w:noProof w:val="0"/>
        </w:rPr>
        <w:t xml:space="preserve"> po posameznih </w:t>
      </w:r>
      <w:r w:rsidR="00222F8D" w:rsidRPr="00043B56">
        <w:rPr>
          <w:noProof w:val="0"/>
        </w:rPr>
        <w:t>ukrepih</w:t>
      </w:r>
      <w:r w:rsidRPr="00043B56">
        <w:rPr>
          <w:noProof w:val="0"/>
        </w:rPr>
        <w:t xml:space="preserve">. </w:t>
      </w:r>
    </w:p>
    <w:p w14:paraId="7E0F1DFD" w14:textId="77777777" w:rsidR="00D24092" w:rsidRPr="00043B56" w:rsidRDefault="00D24092" w:rsidP="00551B85">
      <w:pPr>
        <w:pStyle w:val="gradivo"/>
        <w:spacing w:line="240" w:lineRule="auto"/>
        <w:rPr>
          <w:noProof w:val="0"/>
        </w:rPr>
      </w:pPr>
    </w:p>
    <w:p w14:paraId="24FE6939" w14:textId="77777777" w:rsidR="00D24092" w:rsidRPr="00043B56" w:rsidRDefault="00D24092" w:rsidP="008B189F">
      <w:pPr>
        <w:pStyle w:val="Naslov1"/>
        <w:spacing w:before="0" w:after="0"/>
      </w:pPr>
      <w:r w:rsidRPr="00043B56">
        <w:t>5.</w:t>
      </w:r>
      <w:r w:rsidRPr="00043B56">
        <w:tab/>
        <w:t>Realizacija AND MONG</w:t>
      </w:r>
    </w:p>
    <w:p w14:paraId="4F17825A" w14:textId="77777777" w:rsidR="00D24092" w:rsidRPr="00043B56" w:rsidRDefault="00D24092" w:rsidP="00551B85">
      <w:pPr>
        <w:pStyle w:val="gradivo"/>
        <w:spacing w:line="240" w:lineRule="auto"/>
        <w:rPr>
          <w:noProof w:val="0"/>
        </w:rPr>
      </w:pPr>
    </w:p>
    <w:p w14:paraId="53F09DF2" w14:textId="5B532B0A" w:rsidR="00D24092" w:rsidRDefault="00D24092" w:rsidP="00551B85">
      <w:pPr>
        <w:pStyle w:val="gradivo"/>
        <w:spacing w:line="240" w:lineRule="auto"/>
        <w:rPr>
          <w:noProof w:val="0"/>
        </w:rPr>
      </w:pPr>
      <w:r w:rsidRPr="00043B56">
        <w:rPr>
          <w:noProof w:val="0"/>
        </w:rPr>
        <w:t xml:space="preserve">V zvezi z realizacijo AND </w:t>
      </w:r>
      <w:r w:rsidR="00222F8D" w:rsidRPr="00043B56">
        <w:rPr>
          <w:noProof w:val="0"/>
        </w:rPr>
        <w:t>2</w:t>
      </w:r>
      <w:r w:rsidR="002876E8">
        <w:rPr>
          <w:noProof w:val="0"/>
        </w:rPr>
        <w:t>6</w:t>
      </w:r>
      <w:r w:rsidR="00222F8D" w:rsidRPr="00043B56">
        <w:rPr>
          <w:noProof w:val="0"/>
        </w:rPr>
        <w:t>-</w:t>
      </w:r>
      <w:r w:rsidR="002876E8" w:rsidRPr="00043B56">
        <w:rPr>
          <w:noProof w:val="0"/>
        </w:rPr>
        <w:t>2</w:t>
      </w:r>
      <w:r w:rsidR="002876E8">
        <w:rPr>
          <w:noProof w:val="0"/>
        </w:rPr>
        <w:t>9</w:t>
      </w:r>
      <w:r w:rsidR="002876E8" w:rsidRPr="00043B56">
        <w:rPr>
          <w:noProof w:val="0"/>
        </w:rPr>
        <w:t xml:space="preserve"> </w:t>
      </w:r>
      <w:r w:rsidRPr="00043B56">
        <w:rPr>
          <w:noProof w:val="0"/>
        </w:rPr>
        <w:t>uprava MONG pripravlja letna poročila o izvajanju akcijskega načrta, ki ga pred obravnavo na Mestnem svetu obravnava tudi Svet za invalide.</w:t>
      </w:r>
    </w:p>
    <w:p w14:paraId="50E8324B" w14:textId="77777777" w:rsidR="00D24092" w:rsidRPr="00043B56" w:rsidRDefault="00D24092" w:rsidP="00551B85">
      <w:pPr>
        <w:pStyle w:val="gradivo"/>
        <w:spacing w:line="240" w:lineRule="auto"/>
        <w:rPr>
          <w:noProof w:val="0"/>
        </w:rPr>
      </w:pPr>
    </w:p>
    <w:p w14:paraId="41F804AC" w14:textId="3C704FBD" w:rsidR="00D24092" w:rsidRDefault="00D24092" w:rsidP="008B189F">
      <w:pPr>
        <w:pStyle w:val="Naslov1"/>
        <w:spacing w:before="0" w:after="0" w:line="240" w:lineRule="exact"/>
      </w:pPr>
      <w:r w:rsidRPr="00043B56">
        <w:t xml:space="preserve"> 6.</w:t>
      </w:r>
      <w:r w:rsidRPr="00043B56">
        <w:tab/>
        <w:t>AND MONG – finančne posledice</w:t>
      </w:r>
    </w:p>
    <w:p w14:paraId="7950F6B1" w14:textId="77777777" w:rsidR="008B189F" w:rsidRDefault="008B189F" w:rsidP="00551B85">
      <w:pPr>
        <w:pStyle w:val="gradivo"/>
        <w:spacing w:line="240" w:lineRule="auto"/>
        <w:rPr>
          <w:noProof w:val="0"/>
        </w:rPr>
      </w:pPr>
    </w:p>
    <w:p w14:paraId="63B00333" w14:textId="799F8F7F" w:rsidR="002F3B46" w:rsidRPr="00043B56" w:rsidRDefault="00D24092" w:rsidP="00551B85">
      <w:pPr>
        <w:pStyle w:val="gradivo"/>
        <w:spacing w:line="240" w:lineRule="auto"/>
        <w:rPr>
          <w:noProof w:val="0"/>
        </w:rPr>
      </w:pPr>
      <w:r w:rsidRPr="00043B56">
        <w:rPr>
          <w:noProof w:val="0"/>
        </w:rPr>
        <w:t>MONG zagotavlja sredstva za izvajanje akcijskega načrta v proračunu v okviru rednega izvajanja nalog  Mestne občine Nova Gorica in v okviru  rednih proračunskih postavk</w:t>
      </w:r>
      <w:r w:rsidR="002F3B46" w:rsidRPr="00043B56">
        <w:rPr>
          <w:noProof w:val="0"/>
        </w:rPr>
        <w:t xml:space="preserve">. </w:t>
      </w:r>
    </w:p>
    <w:p w14:paraId="7580F114" w14:textId="77777777" w:rsidR="002F3B46" w:rsidRPr="00043B56" w:rsidRDefault="002F3B46" w:rsidP="00551B85">
      <w:pPr>
        <w:pStyle w:val="gradivo"/>
        <w:spacing w:line="240" w:lineRule="auto"/>
        <w:rPr>
          <w:noProof w:val="0"/>
        </w:rPr>
      </w:pPr>
    </w:p>
    <w:p w14:paraId="0607910D" w14:textId="77777777" w:rsidR="002F3B46" w:rsidRPr="00043B56" w:rsidRDefault="002F3B46" w:rsidP="00551B85">
      <w:pPr>
        <w:pStyle w:val="gradivo"/>
        <w:spacing w:line="240" w:lineRule="auto"/>
        <w:rPr>
          <w:noProof w:val="0"/>
        </w:rPr>
      </w:pPr>
      <w:r w:rsidRPr="00043B56">
        <w:rPr>
          <w:noProof w:val="0"/>
        </w:rPr>
        <w:t xml:space="preserve">Za potrebe izvajanja AND MONG je dodatno vzpostavljena proračunska postavka (10236 Dostopnost za invalide – priprava projektne dokumentacije in izvedba, v nadaljevanju Postavka 10236), kjer so predvidena namenska sredstva za naslednje naloge: </w:t>
      </w:r>
    </w:p>
    <w:p w14:paraId="6B546481" w14:textId="108CCAE4" w:rsidR="002F3B46" w:rsidRPr="00043B56" w:rsidRDefault="002F3B46" w:rsidP="00551B85">
      <w:pPr>
        <w:pStyle w:val="gradivo"/>
        <w:numPr>
          <w:ilvl w:val="0"/>
          <w:numId w:val="17"/>
        </w:numPr>
        <w:spacing w:line="240" w:lineRule="auto"/>
        <w:rPr>
          <w:noProof w:val="0"/>
        </w:rPr>
      </w:pPr>
      <w:r w:rsidRPr="00043B56">
        <w:rPr>
          <w:noProof w:val="0"/>
        </w:rPr>
        <w:t>izvajanje izobraževanj za druge zaposlene na Mestni občini Nova Gorica in zunanje izvajalce v zvezi s predvidenimi ukrepi. Primer: organizacija prireditev, informiranje obiskovalcev in uporabnikov itd.,</w:t>
      </w:r>
    </w:p>
    <w:p w14:paraId="1FA09F54" w14:textId="474822F7" w:rsidR="002F3B46" w:rsidRPr="00043B56" w:rsidRDefault="002F3B46" w:rsidP="00551B85">
      <w:pPr>
        <w:pStyle w:val="gradivo"/>
        <w:numPr>
          <w:ilvl w:val="0"/>
          <w:numId w:val="17"/>
        </w:numPr>
        <w:spacing w:line="240" w:lineRule="auto"/>
        <w:rPr>
          <w:noProof w:val="0"/>
        </w:rPr>
      </w:pPr>
      <w:r w:rsidRPr="00043B56">
        <w:rPr>
          <w:noProof w:val="0"/>
        </w:rPr>
        <w:t xml:space="preserve">svetovanje na področju priprave in izvedbe ukrepov akcijskega načrta in </w:t>
      </w:r>
    </w:p>
    <w:p w14:paraId="2E088915" w14:textId="0FDC2753" w:rsidR="00D24092" w:rsidRDefault="002F3B46" w:rsidP="00551B85">
      <w:pPr>
        <w:pStyle w:val="gradivo"/>
        <w:numPr>
          <w:ilvl w:val="0"/>
          <w:numId w:val="17"/>
        </w:numPr>
        <w:spacing w:line="240" w:lineRule="auto"/>
        <w:rPr>
          <w:noProof w:val="0"/>
        </w:rPr>
      </w:pPr>
      <w:r w:rsidRPr="00043B56">
        <w:rPr>
          <w:noProof w:val="0"/>
        </w:rPr>
        <w:t>ozaveščevalne akcije v povezavi z dostopnostjo.</w:t>
      </w:r>
    </w:p>
    <w:p w14:paraId="2E08BF00" w14:textId="77777777" w:rsidR="00B959B4" w:rsidRPr="00043B56" w:rsidRDefault="00B959B4" w:rsidP="00551B85">
      <w:pPr>
        <w:pStyle w:val="gradivo"/>
        <w:spacing w:line="240" w:lineRule="auto"/>
        <w:ind w:left="1070"/>
        <w:rPr>
          <w:noProof w:val="0"/>
        </w:rPr>
      </w:pPr>
    </w:p>
    <w:p w14:paraId="0B3F9A3D" w14:textId="6CD8DDD0" w:rsidR="00731380" w:rsidRPr="00043B56" w:rsidRDefault="00D44112" w:rsidP="00551B85">
      <w:pPr>
        <w:spacing w:line="240" w:lineRule="auto"/>
        <w:rPr>
          <w:noProof w:val="0"/>
        </w:rPr>
      </w:pPr>
      <w:r>
        <w:t xml:space="preserve">SND v </w:t>
      </w:r>
      <w:r w:rsidR="003828DE">
        <w:t xml:space="preserve">točki 1.6.4. določa, da Akcijski načrt sprejme občinski svet. </w:t>
      </w:r>
      <w:r w:rsidR="00D24092" w:rsidRPr="00043B56">
        <w:rPr>
          <w:noProof w:val="0"/>
        </w:rPr>
        <w:t>Mestnemu svetu predlagamo, da predloženi sklep obravnava in sprejme.</w:t>
      </w:r>
    </w:p>
    <w:p w14:paraId="17465817" w14:textId="1DD53C3F" w:rsidR="00A03315" w:rsidRDefault="00A03315" w:rsidP="00A03315">
      <w:pPr>
        <w:pStyle w:val="Podpisoseba"/>
        <w:spacing w:before="0" w:after="0"/>
        <w:ind w:left="709"/>
        <w:rPr>
          <w:bCs w:val="0"/>
        </w:rPr>
      </w:pPr>
      <w:r w:rsidRPr="00110838">
        <w:rPr>
          <w:bCs w:val="0"/>
        </w:rPr>
        <w:lastRenderedPageBreak/>
        <w:t>Pripravil</w:t>
      </w:r>
      <w:r>
        <w:rPr>
          <w:bCs w:val="0"/>
        </w:rPr>
        <w:t>(</w:t>
      </w:r>
      <w:r w:rsidR="00EF40A8">
        <w:rPr>
          <w:bCs w:val="0"/>
        </w:rPr>
        <w:t>i</w:t>
      </w:r>
      <w:r>
        <w:rPr>
          <w:bCs w:val="0"/>
        </w:rPr>
        <w:t>)</w:t>
      </w:r>
      <w:r w:rsidR="00BD79A5">
        <w:rPr>
          <w:bCs w:val="0"/>
        </w:rPr>
        <w:t>:</w:t>
      </w:r>
    </w:p>
    <w:tbl>
      <w:tblPr>
        <w:tblStyle w:val="Tabelamrea"/>
        <w:tblW w:w="8363"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814"/>
        <w:gridCol w:w="3549"/>
      </w:tblGrid>
      <w:tr w:rsidR="00A03315" w14:paraId="5EDE9153" w14:textId="77777777" w:rsidTr="000221AA">
        <w:tc>
          <w:tcPr>
            <w:tcW w:w="4814" w:type="dxa"/>
          </w:tcPr>
          <w:p w14:paraId="00AE3031" w14:textId="77777777" w:rsidR="00A03315" w:rsidRPr="00E639CC" w:rsidRDefault="00A03315" w:rsidP="00C818D4">
            <w:pPr>
              <w:pStyle w:val="Podpisoseba"/>
              <w:spacing w:before="0" w:after="0"/>
              <w:rPr>
                <w:b/>
                <w:color w:val="FFFFFF" w:themeColor="background1"/>
              </w:rPr>
            </w:pPr>
            <w:r w:rsidRPr="00E639CC">
              <w:rPr>
                <w:b/>
                <w:color w:val="FFFFFF" w:themeColor="background1"/>
              </w:rPr>
              <w:t>Levi podpisnik</w:t>
            </w:r>
          </w:p>
        </w:tc>
        <w:tc>
          <w:tcPr>
            <w:tcW w:w="3549" w:type="dxa"/>
          </w:tcPr>
          <w:p w14:paraId="357B865E" w14:textId="77777777" w:rsidR="00A03315" w:rsidRPr="00E639CC" w:rsidRDefault="00A03315" w:rsidP="00C818D4">
            <w:pPr>
              <w:pStyle w:val="Podpisoseba"/>
              <w:spacing w:before="0" w:after="0"/>
              <w:rPr>
                <w:b/>
                <w:color w:val="FFFFFF" w:themeColor="background1"/>
              </w:rPr>
            </w:pPr>
            <w:r w:rsidRPr="00E639CC">
              <w:rPr>
                <w:b/>
                <w:color w:val="FFFFFF" w:themeColor="background1"/>
              </w:rPr>
              <w:t>Desnik podpisnik</w:t>
            </w:r>
          </w:p>
        </w:tc>
      </w:tr>
      <w:tr w:rsidR="00A03315" w14:paraId="6A2F508B" w14:textId="77777777" w:rsidTr="000221AA">
        <w:tc>
          <w:tcPr>
            <w:tcW w:w="4814" w:type="dxa"/>
          </w:tcPr>
          <w:p w14:paraId="1B7A05E8" w14:textId="068124E0" w:rsidR="00A03315" w:rsidRPr="00D51EE1" w:rsidRDefault="00A03315" w:rsidP="00C818D4">
            <w:pPr>
              <w:pStyle w:val="Podpisoseba"/>
              <w:spacing w:before="0" w:after="0"/>
              <w:rPr>
                <w:b/>
                <w:bCs w:val="0"/>
              </w:rPr>
            </w:pPr>
          </w:p>
        </w:tc>
        <w:tc>
          <w:tcPr>
            <w:tcW w:w="3549" w:type="dxa"/>
          </w:tcPr>
          <w:p w14:paraId="33414636" w14:textId="72A1EE3D" w:rsidR="00A03315" w:rsidRPr="00D51EE1" w:rsidRDefault="0045587F" w:rsidP="00C818D4">
            <w:pPr>
              <w:pStyle w:val="Podpisoseba"/>
              <w:spacing w:before="0" w:after="0"/>
              <w:rPr>
                <w:b/>
                <w:bCs w:val="0"/>
              </w:rPr>
            </w:pPr>
            <w:r>
              <w:rPr>
                <w:b/>
                <w:bCs w:val="0"/>
              </w:rPr>
              <w:t>mag. Marinka Saksida</w:t>
            </w:r>
          </w:p>
        </w:tc>
      </w:tr>
      <w:tr w:rsidR="00A03315" w14:paraId="04CA288A" w14:textId="77777777" w:rsidTr="000221AA">
        <w:tc>
          <w:tcPr>
            <w:tcW w:w="4814" w:type="dxa"/>
          </w:tcPr>
          <w:p w14:paraId="71B73B6B" w14:textId="77777777" w:rsidR="00A03315" w:rsidRPr="00BD79A5" w:rsidRDefault="00D24092" w:rsidP="00C818D4">
            <w:pPr>
              <w:pStyle w:val="Podpisoseba"/>
              <w:spacing w:before="0" w:after="0"/>
              <w:ind w:right="459"/>
              <w:rPr>
                <w:b/>
                <w:bCs w:val="0"/>
              </w:rPr>
            </w:pPr>
            <w:r w:rsidRPr="00BD79A5">
              <w:rPr>
                <w:b/>
                <w:bCs w:val="0"/>
              </w:rPr>
              <w:t>Tamara Simčič</w:t>
            </w:r>
          </w:p>
          <w:p w14:paraId="78C9DA5D" w14:textId="5B079C81" w:rsidR="00084429" w:rsidRPr="00BD79A5" w:rsidRDefault="00137E1B" w:rsidP="00BD79A5">
            <w:pPr>
              <w:pStyle w:val="Podpisoseba"/>
              <w:spacing w:before="0" w:after="0"/>
              <w:ind w:right="459"/>
            </w:pPr>
            <w:r w:rsidRPr="001214F0">
              <w:t xml:space="preserve">Višja svetovlka za družbene dejavnosti </w:t>
            </w:r>
            <w:r w:rsidR="00C62913" w:rsidRPr="001214F0">
              <w:br/>
            </w:r>
          </w:p>
          <w:p w14:paraId="0DE1D433" w14:textId="77777777" w:rsidR="00084429" w:rsidRPr="001214F0" w:rsidRDefault="00084429" w:rsidP="001214F0">
            <w:pPr>
              <w:pStyle w:val="Nazivenote"/>
              <w:rPr>
                <w:b w:val="0"/>
                <w:bCs/>
                <w:sz w:val="20"/>
                <w:szCs w:val="20"/>
              </w:rPr>
            </w:pPr>
          </w:p>
          <w:p w14:paraId="4CE60106" w14:textId="12B651A7" w:rsidR="00084429" w:rsidRPr="00BD79A5" w:rsidRDefault="00084429" w:rsidP="001214F0">
            <w:pPr>
              <w:pStyle w:val="Nazivenote"/>
              <w:ind w:left="0" w:firstLine="37"/>
              <w:rPr>
                <w:sz w:val="20"/>
                <w:szCs w:val="20"/>
              </w:rPr>
            </w:pPr>
            <w:r w:rsidRPr="00BD79A5">
              <w:rPr>
                <w:sz w:val="20"/>
                <w:szCs w:val="20"/>
              </w:rPr>
              <w:t xml:space="preserve">Erik Lasič   </w:t>
            </w:r>
          </w:p>
          <w:p w14:paraId="62311181" w14:textId="3FBB3B0C" w:rsidR="00084429" w:rsidRPr="001214F0" w:rsidRDefault="000221AA" w:rsidP="001214F0">
            <w:pPr>
              <w:pStyle w:val="Nazivenote"/>
              <w:ind w:left="0"/>
              <w:rPr>
                <w:b w:val="0"/>
                <w:bCs/>
                <w:sz w:val="20"/>
                <w:szCs w:val="20"/>
              </w:rPr>
            </w:pPr>
            <w:r>
              <w:rPr>
                <w:b w:val="0"/>
                <w:bCs/>
                <w:sz w:val="20"/>
                <w:szCs w:val="20"/>
              </w:rPr>
              <w:t xml:space="preserve"> </w:t>
            </w:r>
            <w:r w:rsidR="001214F0">
              <w:rPr>
                <w:b w:val="0"/>
                <w:bCs/>
                <w:sz w:val="20"/>
                <w:szCs w:val="20"/>
              </w:rPr>
              <w:t>V</w:t>
            </w:r>
            <w:r w:rsidR="001214F0" w:rsidRPr="001214F0">
              <w:rPr>
                <w:b w:val="0"/>
                <w:bCs/>
                <w:sz w:val="20"/>
                <w:szCs w:val="20"/>
              </w:rPr>
              <w:t xml:space="preserve">odja </w:t>
            </w:r>
            <w:r w:rsidR="00084429" w:rsidRPr="001214F0">
              <w:rPr>
                <w:b w:val="0"/>
                <w:bCs/>
                <w:sz w:val="20"/>
                <w:szCs w:val="20"/>
              </w:rPr>
              <w:t>Službe za okolje in prostor</w:t>
            </w:r>
          </w:p>
          <w:p w14:paraId="54AEC01C" w14:textId="77777777" w:rsidR="00084429" w:rsidRPr="001214F0" w:rsidRDefault="00084429" w:rsidP="00BD79A5">
            <w:pPr>
              <w:pStyle w:val="Nazivenote"/>
              <w:ind w:left="0"/>
              <w:rPr>
                <w:b w:val="0"/>
                <w:bCs/>
                <w:sz w:val="20"/>
                <w:szCs w:val="20"/>
              </w:rPr>
            </w:pPr>
          </w:p>
          <w:p w14:paraId="530B7929" w14:textId="77777777" w:rsidR="00084429" w:rsidRPr="001214F0" w:rsidRDefault="00084429" w:rsidP="00C818D4">
            <w:pPr>
              <w:pStyle w:val="Podpisoseba"/>
              <w:spacing w:before="0" w:after="0"/>
              <w:ind w:right="459"/>
            </w:pPr>
          </w:p>
          <w:p w14:paraId="3431D6EA" w14:textId="238F7F18" w:rsidR="00137E1B" w:rsidRPr="001214F0" w:rsidRDefault="00C62913" w:rsidP="00C818D4">
            <w:pPr>
              <w:pStyle w:val="Podpisoseba"/>
              <w:spacing w:before="0" w:after="0"/>
              <w:ind w:right="459"/>
            </w:pPr>
            <w:r w:rsidRPr="00BD79A5">
              <w:rPr>
                <w:b/>
                <w:bCs w:val="0"/>
              </w:rPr>
              <w:t>Ana Kobe</w:t>
            </w:r>
            <w:r w:rsidRPr="001214F0">
              <w:t xml:space="preserve"> </w:t>
            </w:r>
            <w:r w:rsidR="00950E59" w:rsidRPr="001214F0">
              <w:br/>
              <w:t>Strokovna sodelavka VII/2-II za varstvo okolja</w:t>
            </w:r>
          </w:p>
        </w:tc>
        <w:tc>
          <w:tcPr>
            <w:tcW w:w="3549" w:type="dxa"/>
          </w:tcPr>
          <w:p w14:paraId="770E907E" w14:textId="3952FE56" w:rsidR="00A03315" w:rsidRPr="00E639CC" w:rsidRDefault="003436F9" w:rsidP="00C818D4">
            <w:pPr>
              <w:pStyle w:val="Podpisoseba"/>
              <w:spacing w:before="0" w:after="0"/>
              <w:rPr>
                <w:bCs w:val="0"/>
              </w:rPr>
            </w:pPr>
            <w:r>
              <w:rPr>
                <w:bCs w:val="0"/>
              </w:rPr>
              <w:t>v</w:t>
            </w:r>
            <w:r w:rsidR="0045587F">
              <w:rPr>
                <w:bCs w:val="0"/>
              </w:rPr>
              <w:t xml:space="preserve">odja Oddelka </w:t>
            </w:r>
            <w:r w:rsidR="001166E7">
              <w:rPr>
                <w:bCs w:val="0"/>
              </w:rPr>
              <w:t>za družbe</w:t>
            </w:r>
            <w:r>
              <w:rPr>
                <w:bCs w:val="0"/>
              </w:rPr>
              <w:t>ne dejavnosti</w:t>
            </w:r>
            <w:r w:rsidR="00137E1B">
              <w:rPr>
                <w:bCs w:val="0"/>
              </w:rPr>
              <w:br/>
            </w:r>
            <w:r w:rsidR="00137E1B">
              <w:rPr>
                <w:bCs w:val="0"/>
              </w:rPr>
              <w:br/>
            </w:r>
          </w:p>
        </w:tc>
      </w:tr>
    </w:tbl>
    <w:p w14:paraId="3383A950" w14:textId="77777777" w:rsidR="00731380" w:rsidRDefault="00731380" w:rsidP="00352A82"/>
    <w:p w14:paraId="0C8C4715" w14:textId="77777777" w:rsidR="00BE077F" w:rsidRDefault="00BE077F" w:rsidP="00352A82"/>
    <w:p w14:paraId="2A2F8C2B" w14:textId="77777777" w:rsidR="00BE077F" w:rsidRDefault="00BE077F" w:rsidP="00352A82"/>
    <w:p w14:paraId="05FED1A3" w14:textId="77777777" w:rsidR="00BE077F" w:rsidRDefault="00BE077F" w:rsidP="00352A82"/>
    <w:p w14:paraId="0FFAA878" w14:textId="77777777" w:rsidR="00BE077F" w:rsidRDefault="00BE077F" w:rsidP="00352A82"/>
    <w:sectPr w:rsidR="00BE077F" w:rsidSect="00E217AD">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83DCD" w14:textId="77777777" w:rsidR="0077649B" w:rsidRDefault="0077649B" w:rsidP="00352A82">
      <w:r>
        <w:separator/>
      </w:r>
    </w:p>
  </w:endnote>
  <w:endnote w:type="continuationSeparator" w:id="0">
    <w:p w14:paraId="50796276" w14:textId="77777777" w:rsidR="0077649B" w:rsidRDefault="0077649B"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58243"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58241"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3581E" w14:textId="77777777" w:rsidR="0077649B" w:rsidRDefault="0077649B" w:rsidP="00352A82">
      <w:r>
        <w:separator/>
      </w:r>
    </w:p>
  </w:footnote>
  <w:footnote w:type="continuationSeparator" w:id="0">
    <w:p w14:paraId="689D45FA" w14:textId="77777777" w:rsidR="0077649B" w:rsidRDefault="0077649B"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58242"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58240" behindDoc="1" locked="0" layoutInCell="1" allowOverlap="1" wp14:anchorId="61A8A9BC" wp14:editId="2F13BF65">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97C7C08"/>
    <w:multiLevelType w:val="hybridMultilevel"/>
    <w:tmpl w:val="15420A32"/>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 w15:restartNumberingAfterBreak="0">
    <w:nsid w:val="26554F90"/>
    <w:multiLevelType w:val="hybridMultilevel"/>
    <w:tmpl w:val="073E41F8"/>
    <w:lvl w:ilvl="0" w:tplc="4F40A332">
      <w:numFmt w:val="bullet"/>
      <w:lvlText w:val="-"/>
      <w:lvlJc w:val="left"/>
      <w:pPr>
        <w:ind w:left="1070" w:hanging="360"/>
      </w:pPr>
      <w:rPr>
        <w:rFonts w:ascii="Verdana" w:eastAsia="Times New Roman" w:hAnsi="Verdana" w:cs="Arial" w:hint="default"/>
      </w:rPr>
    </w:lvl>
    <w:lvl w:ilvl="1" w:tplc="04240003" w:tentative="1">
      <w:start w:val="1"/>
      <w:numFmt w:val="bullet"/>
      <w:lvlText w:val="o"/>
      <w:lvlJc w:val="left"/>
      <w:pPr>
        <w:ind w:left="1790" w:hanging="360"/>
      </w:pPr>
      <w:rPr>
        <w:rFonts w:ascii="Courier New" w:hAnsi="Courier New" w:cs="Courier New" w:hint="default"/>
      </w:rPr>
    </w:lvl>
    <w:lvl w:ilvl="2" w:tplc="04240005" w:tentative="1">
      <w:start w:val="1"/>
      <w:numFmt w:val="bullet"/>
      <w:lvlText w:val=""/>
      <w:lvlJc w:val="left"/>
      <w:pPr>
        <w:ind w:left="2510" w:hanging="360"/>
      </w:pPr>
      <w:rPr>
        <w:rFonts w:ascii="Wingdings" w:hAnsi="Wingdings" w:hint="default"/>
      </w:rPr>
    </w:lvl>
    <w:lvl w:ilvl="3" w:tplc="04240001" w:tentative="1">
      <w:start w:val="1"/>
      <w:numFmt w:val="bullet"/>
      <w:lvlText w:val=""/>
      <w:lvlJc w:val="left"/>
      <w:pPr>
        <w:ind w:left="3230" w:hanging="360"/>
      </w:pPr>
      <w:rPr>
        <w:rFonts w:ascii="Symbol" w:hAnsi="Symbol" w:hint="default"/>
      </w:rPr>
    </w:lvl>
    <w:lvl w:ilvl="4" w:tplc="04240003" w:tentative="1">
      <w:start w:val="1"/>
      <w:numFmt w:val="bullet"/>
      <w:lvlText w:val="o"/>
      <w:lvlJc w:val="left"/>
      <w:pPr>
        <w:ind w:left="3950" w:hanging="360"/>
      </w:pPr>
      <w:rPr>
        <w:rFonts w:ascii="Courier New" w:hAnsi="Courier New" w:cs="Courier New" w:hint="default"/>
      </w:rPr>
    </w:lvl>
    <w:lvl w:ilvl="5" w:tplc="04240005" w:tentative="1">
      <w:start w:val="1"/>
      <w:numFmt w:val="bullet"/>
      <w:lvlText w:val=""/>
      <w:lvlJc w:val="left"/>
      <w:pPr>
        <w:ind w:left="4670" w:hanging="360"/>
      </w:pPr>
      <w:rPr>
        <w:rFonts w:ascii="Wingdings" w:hAnsi="Wingdings" w:hint="default"/>
      </w:rPr>
    </w:lvl>
    <w:lvl w:ilvl="6" w:tplc="04240001" w:tentative="1">
      <w:start w:val="1"/>
      <w:numFmt w:val="bullet"/>
      <w:lvlText w:val=""/>
      <w:lvlJc w:val="left"/>
      <w:pPr>
        <w:ind w:left="5390" w:hanging="360"/>
      </w:pPr>
      <w:rPr>
        <w:rFonts w:ascii="Symbol" w:hAnsi="Symbol" w:hint="default"/>
      </w:rPr>
    </w:lvl>
    <w:lvl w:ilvl="7" w:tplc="04240003" w:tentative="1">
      <w:start w:val="1"/>
      <w:numFmt w:val="bullet"/>
      <w:lvlText w:val="o"/>
      <w:lvlJc w:val="left"/>
      <w:pPr>
        <w:ind w:left="6110" w:hanging="360"/>
      </w:pPr>
      <w:rPr>
        <w:rFonts w:ascii="Courier New" w:hAnsi="Courier New" w:cs="Courier New" w:hint="default"/>
      </w:rPr>
    </w:lvl>
    <w:lvl w:ilvl="8" w:tplc="04240005" w:tentative="1">
      <w:start w:val="1"/>
      <w:numFmt w:val="bullet"/>
      <w:lvlText w:val=""/>
      <w:lvlJc w:val="left"/>
      <w:pPr>
        <w:ind w:left="6830" w:hanging="360"/>
      </w:pPr>
      <w:rPr>
        <w:rFonts w:ascii="Wingdings" w:hAnsi="Wingdings" w:hint="default"/>
      </w:rPr>
    </w:lvl>
  </w:abstractNum>
  <w:abstractNum w:abstractNumId="5"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6" w15:restartNumberingAfterBreak="0">
    <w:nsid w:val="2AC74DE8"/>
    <w:multiLevelType w:val="hybridMultilevel"/>
    <w:tmpl w:val="0B6C81C8"/>
    <w:lvl w:ilvl="0" w:tplc="4F40A332">
      <w:numFmt w:val="bullet"/>
      <w:lvlText w:val="-"/>
      <w:lvlJc w:val="left"/>
      <w:pPr>
        <w:ind w:left="2123" w:hanging="705"/>
      </w:pPr>
      <w:rPr>
        <w:rFonts w:ascii="Verdana" w:eastAsia="Times New Roman" w:hAnsi="Verdana" w:cs="Aria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36691118"/>
    <w:multiLevelType w:val="hybridMultilevel"/>
    <w:tmpl w:val="ECBC8E36"/>
    <w:lvl w:ilvl="0" w:tplc="4F40A332">
      <w:numFmt w:val="bullet"/>
      <w:lvlText w:val="-"/>
      <w:lvlJc w:val="left"/>
      <w:pPr>
        <w:ind w:left="2123" w:hanging="705"/>
      </w:pPr>
      <w:rPr>
        <w:rFonts w:ascii="Verdana" w:eastAsia="Times New Roman" w:hAnsi="Verdana" w:cs="Aria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 w15:restartNumberingAfterBreak="0">
    <w:nsid w:val="3E627894"/>
    <w:multiLevelType w:val="hybridMultilevel"/>
    <w:tmpl w:val="28B404B6"/>
    <w:lvl w:ilvl="0" w:tplc="4F40A332">
      <w:numFmt w:val="bullet"/>
      <w:lvlText w:val="-"/>
      <w:lvlJc w:val="left"/>
      <w:pPr>
        <w:ind w:left="1414" w:hanging="705"/>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9" w15:restartNumberingAfterBreak="0">
    <w:nsid w:val="3EE35A71"/>
    <w:multiLevelType w:val="hybridMultilevel"/>
    <w:tmpl w:val="14D8EDD6"/>
    <w:lvl w:ilvl="0" w:tplc="82CAE87A">
      <w:start w:val="1"/>
      <w:numFmt w:val="decimal"/>
      <w:lvlText w:val="%1."/>
      <w:lvlJc w:val="left"/>
      <w:pPr>
        <w:ind w:left="1414" w:hanging="705"/>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0"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1"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3"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4"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5" w15:restartNumberingAfterBreak="0">
    <w:nsid w:val="5CB01087"/>
    <w:multiLevelType w:val="hybridMultilevel"/>
    <w:tmpl w:val="4B8A5D58"/>
    <w:lvl w:ilvl="0" w:tplc="E244CD3E">
      <w:numFmt w:val="bullet"/>
      <w:lvlText w:val="•"/>
      <w:lvlJc w:val="left"/>
      <w:pPr>
        <w:ind w:left="1414" w:hanging="705"/>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16"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7" w15:restartNumberingAfterBreak="0">
    <w:nsid w:val="6B196EA9"/>
    <w:multiLevelType w:val="hybridMultilevel"/>
    <w:tmpl w:val="25A451E2"/>
    <w:lvl w:ilvl="0" w:tplc="8646B7E4">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num w:numId="1" w16cid:durableId="1577129964">
    <w:abstractNumId w:val="11"/>
  </w:num>
  <w:num w:numId="2" w16cid:durableId="1164929981">
    <w:abstractNumId w:val="14"/>
  </w:num>
  <w:num w:numId="3" w16cid:durableId="1314213452">
    <w:abstractNumId w:val="0"/>
  </w:num>
  <w:num w:numId="4" w16cid:durableId="629288842">
    <w:abstractNumId w:val="5"/>
  </w:num>
  <w:num w:numId="5" w16cid:durableId="738939049">
    <w:abstractNumId w:val="13"/>
  </w:num>
  <w:num w:numId="6" w16cid:durableId="1657220828">
    <w:abstractNumId w:val="16"/>
  </w:num>
  <w:num w:numId="7" w16cid:durableId="1256210005">
    <w:abstractNumId w:val="2"/>
  </w:num>
  <w:num w:numId="8" w16cid:durableId="620721476">
    <w:abstractNumId w:val="3"/>
  </w:num>
  <w:num w:numId="9" w16cid:durableId="1223718357">
    <w:abstractNumId w:val="10"/>
  </w:num>
  <w:num w:numId="10" w16cid:durableId="767116328">
    <w:abstractNumId w:val="12"/>
  </w:num>
  <w:num w:numId="11" w16cid:durableId="1091200124">
    <w:abstractNumId w:val="9"/>
  </w:num>
  <w:num w:numId="12" w16cid:durableId="110828305">
    <w:abstractNumId w:val="1"/>
  </w:num>
  <w:num w:numId="13" w16cid:durableId="2121073340">
    <w:abstractNumId w:val="8"/>
  </w:num>
  <w:num w:numId="14" w16cid:durableId="957182307">
    <w:abstractNumId w:val="6"/>
  </w:num>
  <w:num w:numId="15" w16cid:durableId="245454327">
    <w:abstractNumId w:val="7"/>
  </w:num>
  <w:num w:numId="16" w16cid:durableId="2054111065">
    <w:abstractNumId w:val="15"/>
  </w:num>
  <w:num w:numId="17" w16cid:durableId="1017999261">
    <w:abstractNumId w:val="4"/>
  </w:num>
  <w:num w:numId="18" w16cid:durableId="16731478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30A9"/>
    <w:rsid w:val="00010CF0"/>
    <w:rsid w:val="00011A7D"/>
    <w:rsid w:val="000221AA"/>
    <w:rsid w:val="000276AB"/>
    <w:rsid w:val="00043B56"/>
    <w:rsid w:val="00053A9A"/>
    <w:rsid w:val="0005678C"/>
    <w:rsid w:val="000634A1"/>
    <w:rsid w:val="000807CE"/>
    <w:rsid w:val="00083CA2"/>
    <w:rsid w:val="00084429"/>
    <w:rsid w:val="00084F6E"/>
    <w:rsid w:val="000A3F89"/>
    <w:rsid w:val="000D6C77"/>
    <w:rsid w:val="000E423D"/>
    <w:rsid w:val="000E5815"/>
    <w:rsid w:val="000F1A10"/>
    <w:rsid w:val="00101B99"/>
    <w:rsid w:val="00110838"/>
    <w:rsid w:val="001137D1"/>
    <w:rsid w:val="001166E7"/>
    <w:rsid w:val="001214F0"/>
    <w:rsid w:val="00135FF8"/>
    <w:rsid w:val="00137E1B"/>
    <w:rsid w:val="00145A3D"/>
    <w:rsid w:val="00167093"/>
    <w:rsid w:val="001732D3"/>
    <w:rsid w:val="00192B9A"/>
    <w:rsid w:val="001A403F"/>
    <w:rsid w:val="001A4E4F"/>
    <w:rsid w:val="001B2389"/>
    <w:rsid w:val="001B3B26"/>
    <w:rsid w:val="001C0AAD"/>
    <w:rsid w:val="001C491B"/>
    <w:rsid w:val="001C6438"/>
    <w:rsid w:val="001D7013"/>
    <w:rsid w:val="001F7D02"/>
    <w:rsid w:val="00222F8D"/>
    <w:rsid w:val="0022510F"/>
    <w:rsid w:val="00226E0E"/>
    <w:rsid w:val="00231391"/>
    <w:rsid w:val="00244E08"/>
    <w:rsid w:val="00246369"/>
    <w:rsid w:val="0028430E"/>
    <w:rsid w:val="0028622D"/>
    <w:rsid w:val="002876E8"/>
    <w:rsid w:val="002B08B0"/>
    <w:rsid w:val="002E29FD"/>
    <w:rsid w:val="002E5FEC"/>
    <w:rsid w:val="002F3B46"/>
    <w:rsid w:val="0031620A"/>
    <w:rsid w:val="00323CF1"/>
    <w:rsid w:val="003436F9"/>
    <w:rsid w:val="00352A82"/>
    <w:rsid w:val="00355F3A"/>
    <w:rsid w:val="00366240"/>
    <w:rsid w:val="003815F8"/>
    <w:rsid w:val="003828DE"/>
    <w:rsid w:val="003924F9"/>
    <w:rsid w:val="0039457F"/>
    <w:rsid w:val="0039667F"/>
    <w:rsid w:val="003A0AE4"/>
    <w:rsid w:val="003B11F7"/>
    <w:rsid w:val="003E7E9A"/>
    <w:rsid w:val="003F3284"/>
    <w:rsid w:val="00400BFF"/>
    <w:rsid w:val="004129EE"/>
    <w:rsid w:val="00441C1B"/>
    <w:rsid w:val="00445A64"/>
    <w:rsid w:val="0045587F"/>
    <w:rsid w:val="00463FA4"/>
    <w:rsid w:val="00486063"/>
    <w:rsid w:val="004953C5"/>
    <w:rsid w:val="004B3F0C"/>
    <w:rsid w:val="004B4980"/>
    <w:rsid w:val="004C34A7"/>
    <w:rsid w:val="004D1B40"/>
    <w:rsid w:val="004E242E"/>
    <w:rsid w:val="005210F0"/>
    <w:rsid w:val="00523F22"/>
    <w:rsid w:val="00551B85"/>
    <w:rsid w:val="0056746D"/>
    <w:rsid w:val="00581BE7"/>
    <w:rsid w:val="005910BA"/>
    <w:rsid w:val="00592F64"/>
    <w:rsid w:val="005C6EAA"/>
    <w:rsid w:val="005E0DA0"/>
    <w:rsid w:val="00611051"/>
    <w:rsid w:val="00617760"/>
    <w:rsid w:val="0064644F"/>
    <w:rsid w:val="0066085E"/>
    <w:rsid w:val="006620F0"/>
    <w:rsid w:val="006C2FE8"/>
    <w:rsid w:val="006F3CCC"/>
    <w:rsid w:val="00714788"/>
    <w:rsid w:val="00722FAC"/>
    <w:rsid w:val="007254F9"/>
    <w:rsid w:val="00731380"/>
    <w:rsid w:val="00734A18"/>
    <w:rsid w:val="0074543E"/>
    <w:rsid w:val="00756B8E"/>
    <w:rsid w:val="00774DD1"/>
    <w:rsid w:val="0077649B"/>
    <w:rsid w:val="00786F79"/>
    <w:rsid w:val="0079172C"/>
    <w:rsid w:val="00791DB2"/>
    <w:rsid w:val="00793022"/>
    <w:rsid w:val="00796028"/>
    <w:rsid w:val="007A72D1"/>
    <w:rsid w:val="007C0907"/>
    <w:rsid w:val="007D68B9"/>
    <w:rsid w:val="00806E46"/>
    <w:rsid w:val="00810854"/>
    <w:rsid w:val="00811B8D"/>
    <w:rsid w:val="00873CAB"/>
    <w:rsid w:val="008759F5"/>
    <w:rsid w:val="008802E3"/>
    <w:rsid w:val="008821D4"/>
    <w:rsid w:val="008A0246"/>
    <w:rsid w:val="008B06A7"/>
    <w:rsid w:val="008B189F"/>
    <w:rsid w:val="008F21D2"/>
    <w:rsid w:val="008F55B6"/>
    <w:rsid w:val="008F5DCA"/>
    <w:rsid w:val="009060A3"/>
    <w:rsid w:val="009108BE"/>
    <w:rsid w:val="00912771"/>
    <w:rsid w:val="00917989"/>
    <w:rsid w:val="00920C51"/>
    <w:rsid w:val="00923A6E"/>
    <w:rsid w:val="00950E59"/>
    <w:rsid w:val="009B227A"/>
    <w:rsid w:val="009C7071"/>
    <w:rsid w:val="009E1245"/>
    <w:rsid w:val="009E405A"/>
    <w:rsid w:val="009F260B"/>
    <w:rsid w:val="00A03315"/>
    <w:rsid w:val="00A7398A"/>
    <w:rsid w:val="00A9127C"/>
    <w:rsid w:val="00A9136F"/>
    <w:rsid w:val="00A95A58"/>
    <w:rsid w:val="00AA2278"/>
    <w:rsid w:val="00AA4BFD"/>
    <w:rsid w:val="00AF573A"/>
    <w:rsid w:val="00AF675B"/>
    <w:rsid w:val="00B138D3"/>
    <w:rsid w:val="00B30986"/>
    <w:rsid w:val="00B50FF9"/>
    <w:rsid w:val="00B959B4"/>
    <w:rsid w:val="00BD689A"/>
    <w:rsid w:val="00BD79A5"/>
    <w:rsid w:val="00BE077F"/>
    <w:rsid w:val="00BE5B70"/>
    <w:rsid w:val="00C04D7E"/>
    <w:rsid w:val="00C10614"/>
    <w:rsid w:val="00C50EB4"/>
    <w:rsid w:val="00C56046"/>
    <w:rsid w:val="00C62913"/>
    <w:rsid w:val="00C67D5C"/>
    <w:rsid w:val="00C7627D"/>
    <w:rsid w:val="00C94912"/>
    <w:rsid w:val="00C973E8"/>
    <w:rsid w:val="00CA2FFD"/>
    <w:rsid w:val="00CB20E3"/>
    <w:rsid w:val="00CC3F17"/>
    <w:rsid w:val="00CD0869"/>
    <w:rsid w:val="00CD37C5"/>
    <w:rsid w:val="00CE51B4"/>
    <w:rsid w:val="00CF0B4F"/>
    <w:rsid w:val="00D24092"/>
    <w:rsid w:val="00D44112"/>
    <w:rsid w:val="00D44EE0"/>
    <w:rsid w:val="00D51EE1"/>
    <w:rsid w:val="00D62E9C"/>
    <w:rsid w:val="00D81991"/>
    <w:rsid w:val="00D836BF"/>
    <w:rsid w:val="00D85C67"/>
    <w:rsid w:val="00DA69BC"/>
    <w:rsid w:val="00DE7B81"/>
    <w:rsid w:val="00E217AD"/>
    <w:rsid w:val="00E57102"/>
    <w:rsid w:val="00E639CC"/>
    <w:rsid w:val="00E85729"/>
    <w:rsid w:val="00E876FD"/>
    <w:rsid w:val="00E87B5B"/>
    <w:rsid w:val="00EA5575"/>
    <w:rsid w:val="00EC3602"/>
    <w:rsid w:val="00ED7977"/>
    <w:rsid w:val="00EE054F"/>
    <w:rsid w:val="00EE5DDF"/>
    <w:rsid w:val="00EF40A8"/>
    <w:rsid w:val="00F07ACD"/>
    <w:rsid w:val="00F12361"/>
    <w:rsid w:val="00F1637F"/>
    <w:rsid w:val="00F24C66"/>
    <w:rsid w:val="00F27B9D"/>
    <w:rsid w:val="00F27F42"/>
    <w:rsid w:val="00F40810"/>
    <w:rsid w:val="00F4231E"/>
    <w:rsid w:val="00F44E9D"/>
    <w:rsid w:val="00F67284"/>
    <w:rsid w:val="00F770B1"/>
    <w:rsid w:val="00F811AF"/>
    <w:rsid w:val="00F84F2E"/>
    <w:rsid w:val="00FB7287"/>
    <w:rsid w:val="00FC0C63"/>
    <w:rsid w:val="00FD674A"/>
    <w:rsid w:val="00FE3B90"/>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styleId="Revizija">
    <w:name w:val="Revision"/>
    <w:hidden/>
    <w:uiPriority w:val="99"/>
    <w:semiHidden/>
    <w:rsid w:val="00806E46"/>
    <w:pPr>
      <w:spacing w:after="0" w:line="240" w:lineRule="auto"/>
    </w:pPr>
    <w:rPr>
      <w:rFonts w:ascii="Verdana" w:eastAsia="Times New Roman" w:hAnsi="Verdana" w:cs="Arial"/>
      <w:bCs/>
      <w:noProof/>
      <w:sz w:val="20"/>
      <w:szCs w:val="20"/>
      <w:lang w:eastAsia="sl-SI"/>
    </w:rPr>
  </w:style>
  <w:style w:type="character" w:styleId="Pripombasklic">
    <w:name w:val="annotation reference"/>
    <w:basedOn w:val="Privzetapisavaodstavka"/>
    <w:uiPriority w:val="99"/>
    <w:semiHidden/>
    <w:unhideWhenUsed/>
    <w:rsid w:val="007C0907"/>
    <w:rPr>
      <w:sz w:val="16"/>
      <w:szCs w:val="16"/>
    </w:rPr>
  </w:style>
  <w:style w:type="paragraph" w:styleId="Pripombabesedilo">
    <w:name w:val="annotation text"/>
    <w:basedOn w:val="Navaden"/>
    <w:link w:val="PripombabesediloZnak"/>
    <w:uiPriority w:val="99"/>
    <w:unhideWhenUsed/>
    <w:rsid w:val="007C0907"/>
    <w:pPr>
      <w:spacing w:line="240" w:lineRule="auto"/>
    </w:pPr>
  </w:style>
  <w:style w:type="character" w:customStyle="1" w:styleId="PripombabesediloZnak">
    <w:name w:val="Pripomba – besedilo Znak"/>
    <w:basedOn w:val="Privzetapisavaodstavka"/>
    <w:link w:val="Pripombabesedilo"/>
    <w:uiPriority w:val="99"/>
    <w:rsid w:val="007C0907"/>
    <w:rPr>
      <w:rFonts w:ascii="Verdana" w:eastAsia="Times New Roman" w:hAnsi="Verdana" w:cs="Arial"/>
      <w:bCs/>
      <w:noProof/>
      <w:sz w:val="20"/>
      <w:szCs w:val="20"/>
      <w:lang w:eastAsia="sl-SI"/>
    </w:rPr>
  </w:style>
  <w:style w:type="paragraph" w:styleId="Zadevapripombe">
    <w:name w:val="annotation subject"/>
    <w:basedOn w:val="Pripombabesedilo"/>
    <w:next w:val="Pripombabesedilo"/>
    <w:link w:val="ZadevapripombeZnak"/>
    <w:uiPriority w:val="99"/>
    <w:semiHidden/>
    <w:unhideWhenUsed/>
    <w:rsid w:val="007C0907"/>
    <w:rPr>
      <w:b/>
    </w:rPr>
  </w:style>
  <w:style w:type="character" w:customStyle="1" w:styleId="ZadevapripombeZnak">
    <w:name w:val="Zadeva pripombe Znak"/>
    <w:basedOn w:val="PripombabesediloZnak"/>
    <w:link w:val="Zadevapripombe"/>
    <w:uiPriority w:val="99"/>
    <w:semiHidden/>
    <w:rsid w:val="007C0907"/>
    <w:rPr>
      <w:rFonts w:ascii="Verdana" w:eastAsia="Times New Roman" w:hAnsi="Verdana" w:cs="Arial"/>
      <w:b/>
      <w:bCs/>
      <w:noProof/>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053D9A-E4CF-469A-B5AE-ED4D7732ED9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2.xml><?xml version="1.0" encoding="utf-8"?>
<ds:datastoreItem xmlns:ds="http://schemas.openxmlformats.org/officeDocument/2006/customXml" ds:itemID="{6FD2029F-3F5D-495F-8F82-97A013E48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AFA82E-41FB-49D3-AEE3-3C45F0ED5B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1544</Words>
  <Characters>8803</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24</cp:revision>
  <cp:lastPrinted>2025-02-19T07:16:00Z</cp:lastPrinted>
  <dcterms:created xsi:type="dcterms:W3CDTF">2026-01-12T09:57:00Z</dcterms:created>
  <dcterms:modified xsi:type="dcterms:W3CDTF">2026-01-15T12:35:00Z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ies>
</file>