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6A17" w14:textId="3C1E55DE" w:rsidR="00CA56F5" w:rsidRPr="00DC1FFC" w:rsidRDefault="00CA56F5" w:rsidP="00CA56F5">
      <w:pPr>
        <w:rPr>
          <w:b/>
          <w:bCs/>
          <w:sz w:val="28"/>
          <w:szCs w:val="28"/>
        </w:rPr>
      </w:pPr>
      <w:r w:rsidRPr="00DC1FFC">
        <w:rPr>
          <w:b/>
          <w:bCs/>
          <w:sz w:val="28"/>
          <w:szCs w:val="28"/>
        </w:rPr>
        <w:t xml:space="preserve">PRILOGA 1: </w:t>
      </w:r>
      <w:r w:rsidR="00550202">
        <w:rPr>
          <w:b/>
          <w:bCs/>
          <w:sz w:val="28"/>
          <w:szCs w:val="28"/>
        </w:rPr>
        <w:t>Naloge in nosilci nalog</w:t>
      </w:r>
      <w:r w:rsidR="00C8668E">
        <w:rPr>
          <w:b/>
          <w:bCs/>
          <w:sz w:val="28"/>
          <w:szCs w:val="28"/>
        </w:rPr>
        <w:t xml:space="preserve"> AND</w:t>
      </w:r>
    </w:p>
    <w:p w14:paraId="5553A383" w14:textId="63FBC025" w:rsidR="00830417" w:rsidRPr="00DC1FFC" w:rsidRDefault="00830417" w:rsidP="00830417">
      <w:pPr>
        <w:rPr>
          <w:sz w:val="24"/>
          <w:szCs w:val="24"/>
        </w:rPr>
      </w:pPr>
      <w:r w:rsidRPr="00DC1FFC">
        <w:rPr>
          <w:sz w:val="24"/>
          <w:szCs w:val="24"/>
        </w:rPr>
        <w:t>Zaposleni v občinski upravi se seznanijo s SND MONG in njihovimi obveznostmi v zvezi z njim. V nadaljevanju je navedeno, kaj morajo nosilci nalog izvesti v zvezi z zagotavljanjem dostopnosti, glede na to, za kakšno vrsto naloge gre. Za vsa javna naročila, informacije</w:t>
      </w:r>
      <w:r w:rsidR="000C1127">
        <w:rPr>
          <w:sz w:val="24"/>
          <w:szCs w:val="24"/>
        </w:rPr>
        <w:t xml:space="preserve"> in</w:t>
      </w:r>
      <w:r w:rsidRPr="00DC1FFC">
        <w:rPr>
          <w:sz w:val="24"/>
          <w:szCs w:val="24"/>
        </w:rPr>
        <w:t xml:space="preserve"> projekte je SND MONG obvezna priloga.</w:t>
      </w:r>
    </w:p>
    <w:p w14:paraId="0E827AAC" w14:textId="77777777" w:rsidR="00DC1FFC" w:rsidRDefault="00DC1FFC" w:rsidP="00DC1FFC">
      <w:pPr>
        <w:pStyle w:val="Heading2"/>
        <w:spacing w:before="120" w:after="120" w:line="240" w:lineRule="auto"/>
        <w:rPr>
          <w:rFonts w:ascii="Calibri" w:hAnsi="Calibri"/>
          <w:b/>
          <w:bCs/>
          <w:color w:val="000000" w:themeColor="text1"/>
          <w:sz w:val="24"/>
          <w:szCs w:val="24"/>
        </w:rPr>
      </w:pPr>
      <w:bookmarkStart w:id="0" w:name="_Toc185919851"/>
    </w:p>
    <w:p w14:paraId="04B4C949" w14:textId="7FA8EC69" w:rsidR="00830417" w:rsidRPr="00DC1FFC" w:rsidRDefault="00830417" w:rsidP="00830417">
      <w:pPr>
        <w:pStyle w:val="Heading2"/>
        <w:numPr>
          <w:ilvl w:val="0"/>
          <w:numId w:val="3"/>
        </w:numPr>
        <w:tabs>
          <w:tab w:val="num" w:pos="0"/>
        </w:tabs>
        <w:spacing w:before="120" w:after="120" w:line="240" w:lineRule="auto"/>
        <w:ind w:left="851" w:hanging="851"/>
        <w:rPr>
          <w:rFonts w:ascii="Calibri" w:hAnsi="Calibri"/>
          <w:b/>
          <w:bCs/>
          <w:color w:val="000000" w:themeColor="text1"/>
          <w:sz w:val="24"/>
          <w:szCs w:val="24"/>
        </w:rPr>
      </w:pPr>
      <w:r w:rsidRPr="00DC1FFC">
        <w:rPr>
          <w:rFonts w:ascii="Calibri" w:hAnsi="Calibri"/>
          <w:b/>
          <w:bCs/>
          <w:color w:val="000000" w:themeColor="text1"/>
          <w:sz w:val="24"/>
          <w:szCs w:val="24"/>
        </w:rPr>
        <w:t>Priprava strateških in drugih temeljnih dokumentov</w:t>
      </w:r>
      <w:bookmarkEnd w:id="0"/>
    </w:p>
    <w:p w14:paraId="269AB031" w14:textId="0BCB1596" w:rsidR="00830417" w:rsidRPr="00DC1FFC" w:rsidRDefault="00830417" w:rsidP="00DC1FFC">
      <w:pPr>
        <w:pStyle w:val="ListParagraph"/>
      </w:pPr>
      <w:r w:rsidRPr="00DC1FFC">
        <w:t xml:space="preserve">Pri pripravi strateških dokumentov in z njimi povezanih izvedbenih dokumentov (npr. razvojne strategije, celostna prometna strategija, občinski prostorski načrti, občinski podrobnejši prostorski načrti) mora nosilec naloge poskrbeti, da se v tovrstnih dokumentih upošteva SND MONG ter da so vsebine povezane z dostopnostjo ustrezno upoštevane. Enako velja za strokovne podlage (študije, strokovne presoje, ipd.), ki so podlaga za izdelavo strateških dokumentov ali izvedbo posegov v prostor. </w:t>
      </w:r>
    </w:p>
    <w:p w14:paraId="176603E5" w14:textId="77777777" w:rsidR="00830417" w:rsidRPr="00352CD7" w:rsidRDefault="00830417" w:rsidP="00DC1FFC">
      <w:pPr>
        <w:pStyle w:val="ListParagraph"/>
      </w:pPr>
      <w:r w:rsidRPr="00352CD7">
        <w:t xml:space="preserve">Pri pripravi katalogov mestne opreme, zasnove javnega prevoza, celostne grafične podobe in podobnih temeljnih dokumentov </w:t>
      </w:r>
      <w:r w:rsidRPr="00792167">
        <w:t>se v projektni nalogi izrecno navede, da mora pripravljavec kataloga (zasnove, načrta…) pri delu upoštevati SND MONG</w:t>
      </w:r>
      <w:r w:rsidRPr="00352CD7">
        <w:t xml:space="preserve"> in vso zakonodajo v zvezi z univerzalno graditvijo in rabo prostora ter zagotoviti sodelovanje usposobljene osebe z vidika dostopnosti informacij. Če je potrebno, se predlog pošlje v pregled Svetu za </w:t>
      </w:r>
      <w:r>
        <w:t>invalide</w:t>
      </w:r>
      <w:r w:rsidRPr="00352CD7">
        <w:t xml:space="preserve"> ter po potrebi svetovalcu za dostopnost, ki poda morebitne opombe in opozori na pomanjkljivosti. </w:t>
      </w:r>
    </w:p>
    <w:p w14:paraId="3FB03598" w14:textId="6513EE17" w:rsidR="00830417" w:rsidRPr="00DC1FFC" w:rsidRDefault="00830417" w:rsidP="00830417">
      <w:pPr>
        <w:pStyle w:val="Heading2"/>
        <w:numPr>
          <w:ilvl w:val="0"/>
          <w:numId w:val="3"/>
        </w:numPr>
        <w:tabs>
          <w:tab w:val="num" w:pos="0"/>
        </w:tabs>
        <w:spacing w:before="120" w:after="120" w:line="240" w:lineRule="auto"/>
        <w:ind w:left="851" w:hanging="851"/>
        <w:rPr>
          <w:rFonts w:ascii="Calibri" w:hAnsi="Calibri"/>
          <w:b/>
          <w:bCs/>
          <w:color w:val="000000" w:themeColor="text1"/>
          <w:sz w:val="24"/>
          <w:szCs w:val="24"/>
        </w:rPr>
      </w:pPr>
      <w:bookmarkStart w:id="1" w:name="_Toc185919852"/>
      <w:r w:rsidRPr="00DC1FFC">
        <w:rPr>
          <w:rFonts w:ascii="Calibri" w:hAnsi="Calibri"/>
          <w:b/>
          <w:bCs/>
          <w:color w:val="000000" w:themeColor="text1"/>
          <w:sz w:val="24"/>
          <w:szCs w:val="24"/>
        </w:rPr>
        <w:t>Priprava projektov in razpisov, vodenje projektov</w:t>
      </w:r>
      <w:bookmarkEnd w:id="1"/>
    </w:p>
    <w:p w14:paraId="6604D40B" w14:textId="14951457" w:rsidR="00830417" w:rsidRPr="00352CD7" w:rsidRDefault="004F4D21" w:rsidP="00DC1FFC">
      <w:pPr>
        <w:pStyle w:val="ListParagraph"/>
      </w:pPr>
      <w:r>
        <w:t>Nosilec</w:t>
      </w:r>
      <w:r w:rsidR="00830417" w:rsidRPr="00352CD7">
        <w:t xml:space="preserve"> projekta mora zahtevo po upoštevanju SND</w:t>
      </w:r>
      <w:r w:rsidR="00830417">
        <w:t xml:space="preserve"> MONG</w:t>
      </w:r>
      <w:r w:rsidR="00830417" w:rsidRPr="00352CD7">
        <w:t xml:space="preserve"> vključiti že na začetku projekta</w:t>
      </w:r>
      <w:r w:rsidR="00830417">
        <w:t xml:space="preserve"> (v projektno nalogo)</w:t>
      </w:r>
      <w:r w:rsidR="00830417" w:rsidRPr="00352CD7">
        <w:t xml:space="preserve"> ter v vse predloge projektov in razpisov, ki se bodo izvajali na območju </w:t>
      </w:r>
      <w:r w:rsidR="00830417">
        <w:t>MONG</w:t>
      </w:r>
      <w:r w:rsidR="00830417" w:rsidRPr="00352CD7">
        <w:t>. Pri tem gre tako za projekte, ki se nanašajo na urejanje prometa in zunanjih površin</w:t>
      </w:r>
      <w:r w:rsidR="00830417">
        <w:t>,</w:t>
      </w:r>
      <w:r w:rsidR="00830417" w:rsidRPr="00352CD7">
        <w:t xml:space="preserve"> kot tudi </w:t>
      </w:r>
      <w:r w:rsidR="008D2B02">
        <w:t xml:space="preserve">za </w:t>
      </w:r>
      <w:r w:rsidR="00830417" w:rsidRPr="00352CD7">
        <w:t xml:space="preserve">vse tiste, kjer so predvidene aktivnosti, ki na kakršenkoli način vključujejo sodelovanje javnosti in informacije za javnost v vseh oblikah. </w:t>
      </w:r>
    </w:p>
    <w:p w14:paraId="6247A34E" w14:textId="77777777" w:rsidR="00830417" w:rsidRPr="00DC1FFC" w:rsidRDefault="00830417" w:rsidP="00DC1FFC">
      <w:pPr>
        <w:pStyle w:val="ListParagraph"/>
        <w:numPr>
          <w:ilvl w:val="0"/>
          <w:numId w:val="0"/>
        </w:numPr>
        <w:ind w:left="1211"/>
        <w:rPr>
          <w:sz w:val="22"/>
          <w:szCs w:val="22"/>
        </w:rPr>
      </w:pPr>
      <w:r w:rsidRPr="00DC1FFC">
        <w:rPr>
          <w:sz w:val="22"/>
          <w:szCs w:val="22"/>
        </w:rPr>
        <w:t xml:space="preserve">Primer: Že na začetku je treba določiti, ali so v določenem projektu za osebe z okvaro sluha dovolj pisne informacije, ali je treba zagotavljati tudi uporabo slovenskega znakovnega jezika, ali pa so potrebni pripomočki za izboljšanje poslušanja. Podobno je treba že na začetku projekta določiti, ali se za ljudi z okvarami vida zagotavlja tudi brajico, ali so potrebni reliefni znaki, ali ustrezne zvočne informacije. Ob tem je treba napisati okviren program, kako si predstavljamo tehnične rešitve in v kateri fazi projekta jih je treba vključiti v vsebino. (Opozorilo: pogosto se dostopnost informacij rešuje na koncu projekta, ko so »navadne« informacije že pripravljene, tehnične rešitve pa niso več možne, oz. so lahko izvedene le pomanjkljivo, kar večinoma pomeni neuporabne aplikacije, napise v brajici na neprimernih mestih itd.). </w:t>
      </w:r>
    </w:p>
    <w:p w14:paraId="7150C418" w14:textId="75BCD554" w:rsidR="00830417" w:rsidRPr="00352CD7" w:rsidRDefault="00A9208B" w:rsidP="00DC1FFC">
      <w:pPr>
        <w:pStyle w:val="ListParagraph"/>
        <w:numPr>
          <w:ilvl w:val="0"/>
          <w:numId w:val="5"/>
        </w:numPr>
      </w:pPr>
      <w:r>
        <w:lastRenderedPageBreak/>
        <w:t>Nosilec</w:t>
      </w:r>
      <w:r w:rsidR="00830417" w:rsidRPr="00A9208B">
        <w:t xml:space="preserve"> projekta mora na to opozoriti tudi vse partnerje v projektu</w:t>
      </w:r>
      <w:r w:rsidR="00830417" w:rsidRPr="00352CD7">
        <w:t xml:space="preserve">, ki ne delujejo na območju </w:t>
      </w:r>
      <w:r w:rsidR="00830417">
        <w:t>MONG</w:t>
      </w:r>
      <w:r w:rsidR="00830417" w:rsidRPr="00352CD7">
        <w:t xml:space="preserve"> in jih s tem spodbuditi k izboljšanju dostopnosti v drugih občinah in državah. </w:t>
      </w:r>
    </w:p>
    <w:p w14:paraId="427FC7FA" w14:textId="4D593800" w:rsidR="00830417" w:rsidRPr="00352CD7" w:rsidRDefault="00830417" w:rsidP="00DC1FFC">
      <w:pPr>
        <w:pStyle w:val="ListParagraph"/>
        <w:numPr>
          <w:ilvl w:val="0"/>
          <w:numId w:val="5"/>
        </w:numPr>
      </w:pPr>
      <w:r w:rsidRPr="00352CD7">
        <w:t xml:space="preserve">Pri potrjevanju izvedenih aktivnosti in </w:t>
      </w:r>
      <w:r>
        <w:t xml:space="preserve">rešitev </w:t>
      </w:r>
      <w:r w:rsidRPr="00352CD7">
        <w:t xml:space="preserve">znotraj projektov, </w:t>
      </w:r>
      <w:r w:rsidR="00A9208B">
        <w:t>nosilec</w:t>
      </w:r>
      <w:r w:rsidRPr="00352CD7">
        <w:t xml:space="preserve"> projekta preveri, ali so bila upoštevana pravila v zvezi z dostopnostjo informacij. V kolikor ni prepričan o tem, naj </w:t>
      </w:r>
      <w:r w:rsidR="00A9208B">
        <w:t>to preveri pri</w:t>
      </w:r>
      <w:r w:rsidRPr="00352CD7">
        <w:t xml:space="preserve"> </w:t>
      </w:r>
      <w:r w:rsidRPr="008924EE">
        <w:t>Svet</w:t>
      </w:r>
      <w:r w:rsidR="00A9208B">
        <w:t>u</w:t>
      </w:r>
      <w:r w:rsidRPr="008924EE">
        <w:t xml:space="preserve"> za invalide</w:t>
      </w:r>
      <w:r>
        <w:t xml:space="preserve"> ali </w:t>
      </w:r>
      <w:r w:rsidRPr="00352CD7">
        <w:t>svetovalc</w:t>
      </w:r>
      <w:r w:rsidR="00A9208B">
        <w:t>u</w:t>
      </w:r>
      <w:r w:rsidRPr="00352CD7">
        <w:t xml:space="preserve"> za dostopnost z izkušnjami na predmetnem področju (npr. dostopnost grajenega okolja, dostopnost označevalnih sistemov, dostopnost spletnih strani, informacije v lahkem branju itd.).</w:t>
      </w:r>
    </w:p>
    <w:p w14:paraId="0DCCF542" w14:textId="77777777" w:rsidR="00830417" w:rsidRPr="00DC1FFC" w:rsidRDefault="00830417" w:rsidP="009538F8">
      <w:pPr>
        <w:pStyle w:val="Heading2"/>
        <w:numPr>
          <w:ilvl w:val="0"/>
          <w:numId w:val="3"/>
        </w:numPr>
        <w:tabs>
          <w:tab w:val="num" w:pos="0"/>
        </w:tabs>
        <w:spacing w:before="120" w:after="120" w:line="240" w:lineRule="auto"/>
        <w:ind w:left="709" w:hanging="851"/>
        <w:rPr>
          <w:rFonts w:ascii="Calibri" w:hAnsi="Calibri"/>
          <w:b/>
          <w:bCs/>
          <w:color w:val="000000" w:themeColor="text1"/>
          <w:sz w:val="24"/>
          <w:szCs w:val="24"/>
        </w:rPr>
      </w:pPr>
      <w:bookmarkStart w:id="2" w:name="_Toc87031078"/>
      <w:bookmarkStart w:id="3" w:name="_Toc185919853"/>
      <w:r w:rsidRPr="00DC1FFC">
        <w:rPr>
          <w:rFonts w:ascii="Calibri" w:hAnsi="Calibri"/>
          <w:b/>
          <w:bCs/>
          <w:color w:val="000000" w:themeColor="text1"/>
          <w:sz w:val="24"/>
          <w:szCs w:val="24"/>
        </w:rPr>
        <w:t xml:space="preserve">Načrtovanje in izvedba gradbenih del </w:t>
      </w:r>
    </w:p>
    <w:p w14:paraId="3B279404" w14:textId="08AD9699" w:rsidR="00830417" w:rsidRPr="00BF73F6" w:rsidRDefault="00830417" w:rsidP="00830417">
      <w:pPr>
        <w:pStyle w:val="Heading3"/>
        <w:spacing w:before="80" w:after="120" w:line="240" w:lineRule="auto"/>
        <w:jc w:val="left"/>
        <w:rPr>
          <w:b/>
          <w:bCs/>
          <w:caps/>
          <w:color w:val="000000" w:themeColor="text1"/>
          <w:sz w:val="24"/>
          <w:szCs w:val="24"/>
        </w:rPr>
      </w:pPr>
      <w:r w:rsidRPr="00BF73F6">
        <w:rPr>
          <w:b/>
          <w:bCs/>
          <w:caps/>
          <w:color w:val="000000" w:themeColor="text1"/>
          <w:sz w:val="24"/>
          <w:szCs w:val="24"/>
        </w:rPr>
        <w:t>3.1</w:t>
      </w:r>
      <w:r w:rsidR="00BF73F6">
        <w:rPr>
          <w:b/>
          <w:bCs/>
          <w:caps/>
          <w:color w:val="000000" w:themeColor="text1"/>
          <w:sz w:val="24"/>
          <w:szCs w:val="24"/>
        </w:rPr>
        <w:tab/>
      </w:r>
      <w:r w:rsidR="00BF73F6" w:rsidRPr="00BF73F6">
        <w:rPr>
          <w:b/>
          <w:bCs/>
          <w:color w:val="000000" w:themeColor="text1"/>
          <w:sz w:val="24"/>
          <w:szCs w:val="24"/>
        </w:rPr>
        <w:t>Zunanje površine</w:t>
      </w:r>
      <w:bookmarkEnd w:id="2"/>
      <w:bookmarkEnd w:id="3"/>
    </w:p>
    <w:p w14:paraId="78664141" w14:textId="53A5E600" w:rsidR="00830417" w:rsidRPr="00352CD7" w:rsidRDefault="00830417" w:rsidP="00E468CB">
      <w:pPr>
        <w:pStyle w:val="ListParagraph"/>
        <w:numPr>
          <w:ilvl w:val="0"/>
          <w:numId w:val="6"/>
        </w:numPr>
        <w:ind w:left="1418"/>
      </w:pPr>
      <w:r w:rsidRPr="00352CD7">
        <w:t xml:space="preserve">Pred izdelavo projektne naloge/naročila nosilec naloge preveri, v katero stopnjo dostopnosti sodi </w:t>
      </w:r>
      <w:r>
        <w:t xml:space="preserve">pot oz. </w:t>
      </w:r>
      <w:r w:rsidRPr="00352CD7">
        <w:t>območje</w:t>
      </w:r>
      <w:r w:rsidR="00DB0191">
        <w:t xml:space="preserve"> (Priloga 5)</w:t>
      </w:r>
      <w:r w:rsidRPr="00352CD7">
        <w:t>.</w:t>
      </w:r>
    </w:p>
    <w:p w14:paraId="05E258B9" w14:textId="4CA39D0F" w:rsidR="00830417" w:rsidRPr="00352CD7" w:rsidRDefault="00830417" w:rsidP="00E468CB">
      <w:pPr>
        <w:pStyle w:val="ListParagraph"/>
        <w:numPr>
          <w:ilvl w:val="0"/>
          <w:numId w:val="6"/>
        </w:numPr>
        <w:ind w:left="1418"/>
      </w:pPr>
      <w:r w:rsidRPr="00352CD7">
        <w:t xml:space="preserve">V projektni nalogi/naročilu se zapiše določilo, da je pri projektu obvezno upoštevati SND </w:t>
      </w:r>
      <w:r>
        <w:t>MONG</w:t>
      </w:r>
      <w:r w:rsidR="00C95E6A">
        <w:t xml:space="preserve">. Če sodi območje v višjo stopnjo dostopnosti, na to posebej opozori. </w:t>
      </w:r>
    </w:p>
    <w:p w14:paraId="5772594B" w14:textId="5FA76F62" w:rsidR="00830417" w:rsidRPr="00352CD7" w:rsidRDefault="00830417" w:rsidP="00E468CB">
      <w:pPr>
        <w:pStyle w:val="ListParagraph"/>
        <w:numPr>
          <w:ilvl w:val="0"/>
          <w:numId w:val="6"/>
        </w:numPr>
        <w:ind w:left="1418"/>
      </w:pPr>
      <w:r w:rsidRPr="00352CD7">
        <w:t>V območjih</w:t>
      </w:r>
      <w:r>
        <w:t xml:space="preserve"> oz. na poteh</w:t>
      </w:r>
      <w:r w:rsidRPr="00352CD7">
        <w:t xml:space="preserve"> višje stopnje dostopnosti se projekt posreduje v </w:t>
      </w:r>
      <w:r>
        <w:t>pregled</w:t>
      </w:r>
      <w:r w:rsidRPr="00352CD7">
        <w:t xml:space="preserve"> z vidika dostopnosti </w:t>
      </w:r>
      <w:r w:rsidR="006C49CC">
        <w:t xml:space="preserve">(v fazi IDZ in </w:t>
      </w:r>
      <w:r w:rsidR="00C95E6A">
        <w:t>PZI</w:t>
      </w:r>
      <w:r w:rsidR="006C49CC">
        <w:t>)</w:t>
      </w:r>
      <w:r w:rsidRPr="00352CD7">
        <w:t>.</w:t>
      </w:r>
    </w:p>
    <w:p w14:paraId="58D872E7" w14:textId="73D153D2" w:rsidR="00830417" w:rsidRPr="00352CD7" w:rsidRDefault="00830417" w:rsidP="00E468CB">
      <w:pPr>
        <w:pStyle w:val="ListParagraph"/>
        <w:numPr>
          <w:ilvl w:val="0"/>
          <w:numId w:val="6"/>
        </w:numPr>
        <w:ind w:left="1418"/>
      </w:pPr>
      <w:r w:rsidRPr="00352CD7">
        <w:t xml:space="preserve">Če gre za </w:t>
      </w:r>
      <w:r>
        <w:t>obnovo/</w:t>
      </w:r>
      <w:r w:rsidRPr="00352CD7">
        <w:t xml:space="preserve">izgradnjo objekta, ki je pomemben za javnost, pa še ni bil evidentiran v SND </w:t>
      </w:r>
      <w:r>
        <w:t>MONG</w:t>
      </w:r>
      <w:r w:rsidRPr="00352CD7">
        <w:t xml:space="preserve"> (npr. nov park, rekreacijsko območje), se poda </w:t>
      </w:r>
      <w:r w:rsidR="00C5188D">
        <w:t>Službi za okolje in prostor</w:t>
      </w:r>
      <w:r w:rsidR="00C5188D" w:rsidRPr="00352CD7">
        <w:t xml:space="preserve"> </w:t>
      </w:r>
      <w:r w:rsidRPr="00352CD7">
        <w:t>pobud</w:t>
      </w:r>
      <w:r w:rsidR="002419FA">
        <w:t>a</w:t>
      </w:r>
      <w:r w:rsidRPr="00352CD7">
        <w:t xml:space="preserve"> za vnos objekta v SND </w:t>
      </w:r>
      <w:r>
        <w:t>MONG</w:t>
      </w:r>
      <w:r w:rsidR="00C5188D">
        <w:t xml:space="preserve"> </w:t>
      </w:r>
      <w:r w:rsidRPr="00352CD7">
        <w:t xml:space="preserve">in določitev povezave v mrežo </w:t>
      </w:r>
      <w:r>
        <w:t xml:space="preserve">poti višje stopnje </w:t>
      </w:r>
      <w:r w:rsidRPr="00352CD7">
        <w:t>dostopn</w:t>
      </w:r>
      <w:r>
        <w:t>osti</w:t>
      </w:r>
      <w:r w:rsidRPr="00352CD7">
        <w:t xml:space="preserve">. </w:t>
      </w:r>
    </w:p>
    <w:p w14:paraId="02BCEDE6" w14:textId="504CB861" w:rsidR="00830417" w:rsidRPr="00E468CB" w:rsidRDefault="00830417" w:rsidP="00830417">
      <w:pPr>
        <w:pStyle w:val="Heading3"/>
        <w:spacing w:before="80" w:after="120" w:line="240" w:lineRule="auto"/>
        <w:jc w:val="left"/>
        <w:rPr>
          <w:b/>
          <w:bCs/>
          <w:color w:val="000000" w:themeColor="text1"/>
          <w:sz w:val="24"/>
          <w:szCs w:val="24"/>
        </w:rPr>
      </w:pPr>
      <w:bookmarkStart w:id="4" w:name="_Toc87031079"/>
      <w:bookmarkStart w:id="5" w:name="_Toc185919854"/>
      <w:r w:rsidRPr="00E468CB">
        <w:rPr>
          <w:b/>
          <w:bCs/>
          <w:color w:val="000000" w:themeColor="text1"/>
          <w:sz w:val="24"/>
          <w:szCs w:val="24"/>
        </w:rPr>
        <w:t xml:space="preserve">3.2 </w:t>
      </w:r>
      <w:r w:rsidR="00E468CB">
        <w:rPr>
          <w:b/>
          <w:bCs/>
          <w:color w:val="000000" w:themeColor="text1"/>
          <w:sz w:val="24"/>
          <w:szCs w:val="24"/>
        </w:rPr>
        <w:tab/>
        <w:t>S</w:t>
      </w:r>
      <w:r w:rsidRPr="00E468CB">
        <w:rPr>
          <w:b/>
          <w:bCs/>
          <w:color w:val="000000" w:themeColor="text1"/>
          <w:sz w:val="24"/>
          <w:szCs w:val="24"/>
        </w:rPr>
        <w:t>tavbe v javni rabi</w:t>
      </w:r>
      <w:bookmarkEnd w:id="4"/>
      <w:bookmarkEnd w:id="5"/>
    </w:p>
    <w:p w14:paraId="24FF4C33" w14:textId="434F6847" w:rsidR="00830417" w:rsidRPr="00352CD7" w:rsidRDefault="00830417" w:rsidP="00E468CB">
      <w:pPr>
        <w:pStyle w:val="ListParagraph"/>
        <w:numPr>
          <w:ilvl w:val="0"/>
          <w:numId w:val="6"/>
        </w:numPr>
        <w:ind w:left="1418"/>
      </w:pPr>
      <w:r w:rsidRPr="00352CD7">
        <w:t xml:space="preserve">Pred izdelavo projektne naloge/naročila nosilec naloge preveri, v katero stopnjo dostopnosti sodi </w:t>
      </w:r>
      <w:r>
        <w:t xml:space="preserve">pot oz. </w:t>
      </w:r>
      <w:r w:rsidRPr="00352CD7">
        <w:t>območje</w:t>
      </w:r>
      <w:r w:rsidR="00DB0191">
        <w:t xml:space="preserve"> (Priloga 5)</w:t>
      </w:r>
      <w:r w:rsidRPr="00352CD7">
        <w:t>.</w:t>
      </w:r>
    </w:p>
    <w:p w14:paraId="711B0A7B" w14:textId="77777777" w:rsidR="00830417" w:rsidRPr="00352CD7" w:rsidRDefault="00830417" w:rsidP="00E468CB">
      <w:pPr>
        <w:pStyle w:val="ListParagraph"/>
        <w:numPr>
          <w:ilvl w:val="0"/>
          <w:numId w:val="6"/>
        </w:numPr>
        <w:ind w:left="1418"/>
      </w:pPr>
      <w:r w:rsidRPr="00352CD7">
        <w:t xml:space="preserve">V projektni nalogi se zapiše določilo, da je obvezno upoštevati SND </w:t>
      </w:r>
      <w:r>
        <w:t>MONG</w:t>
      </w:r>
      <w:r w:rsidRPr="00352CD7">
        <w:t xml:space="preserve">. </w:t>
      </w:r>
    </w:p>
    <w:p w14:paraId="356E0C3E" w14:textId="4EAD4783" w:rsidR="00830417" w:rsidRPr="00352CD7" w:rsidRDefault="00830417" w:rsidP="00E468CB">
      <w:pPr>
        <w:pStyle w:val="ListParagraph"/>
        <w:numPr>
          <w:ilvl w:val="0"/>
          <w:numId w:val="6"/>
        </w:numPr>
        <w:ind w:left="1418"/>
      </w:pPr>
      <w:r w:rsidRPr="00352CD7">
        <w:t xml:space="preserve">Če gre za </w:t>
      </w:r>
      <w:r>
        <w:t xml:space="preserve">prenovo </w:t>
      </w:r>
      <w:r w:rsidRPr="00352CD7">
        <w:t>objekt</w:t>
      </w:r>
      <w:r>
        <w:t>a</w:t>
      </w:r>
      <w:r w:rsidRPr="00352CD7">
        <w:t xml:space="preserve">, ki je evidentiran v SND </w:t>
      </w:r>
      <w:r>
        <w:t>MONG</w:t>
      </w:r>
      <w:r w:rsidRPr="00352CD7">
        <w:t xml:space="preserve">, se </w:t>
      </w:r>
      <w:r>
        <w:t xml:space="preserve">projekt </w:t>
      </w:r>
      <w:r w:rsidRPr="00352CD7">
        <w:t xml:space="preserve">posreduje v revizijo z vidika dostopnosti (v </w:t>
      </w:r>
      <w:r w:rsidR="006C49CC">
        <w:t>fazi IDZ in</w:t>
      </w:r>
      <w:r w:rsidR="006F0126">
        <w:t xml:space="preserve"> PZI</w:t>
      </w:r>
      <w:r w:rsidRPr="00352CD7">
        <w:t>).</w:t>
      </w:r>
    </w:p>
    <w:p w14:paraId="59D86E3B" w14:textId="759C2661" w:rsidR="00830417" w:rsidRPr="00352CD7" w:rsidRDefault="00830417" w:rsidP="00E468CB">
      <w:pPr>
        <w:pStyle w:val="ListParagraph"/>
        <w:numPr>
          <w:ilvl w:val="0"/>
          <w:numId w:val="6"/>
        </w:numPr>
        <w:ind w:left="1418"/>
      </w:pPr>
      <w:r w:rsidRPr="00352CD7">
        <w:t xml:space="preserve">Če gre za </w:t>
      </w:r>
      <w:r>
        <w:t>prenovo/</w:t>
      </w:r>
      <w:r w:rsidRPr="00352CD7">
        <w:t xml:space="preserve">izgradnjo objekta, ki je pomemben za javnost, pa še ni bil evidentiran v </w:t>
      </w:r>
      <w:r>
        <w:t>SND MONG</w:t>
      </w:r>
      <w:r w:rsidRPr="00352CD7">
        <w:t xml:space="preserve">, se poda </w:t>
      </w:r>
      <w:r w:rsidR="00356BF0">
        <w:t>Službi za okolje in prostor</w:t>
      </w:r>
      <w:r w:rsidR="00356BF0" w:rsidRPr="00352CD7">
        <w:t xml:space="preserve"> </w:t>
      </w:r>
      <w:r w:rsidRPr="00352CD7">
        <w:t xml:space="preserve">pobudo za vnos objekta v SND </w:t>
      </w:r>
      <w:r>
        <w:t>MONG</w:t>
      </w:r>
      <w:r w:rsidRPr="00352CD7">
        <w:t xml:space="preserve"> in določitev povezave v mrežo </w:t>
      </w:r>
      <w:r>
        <w:t xml:space="preserve">poti višje stopnje </w:t>
      </w:r>
      <w:r w:rsidRPr="00352CD7">
        <w:t>dostopn</w:t>
      </w:r>
      <w:r>
        <w:t>osti</w:t>
      </w:r>
      <w:r w:rsidRPr="00352CD7">
        <w:t xml:space="preserve">. </w:t>
      </w:r>
    </w:p>
    <w:p w14:paraId="5F09A0C1" w14:textId="32EA142D" w:rsidR="00830417" w:rsidRPr="00DC1FFC" w:rsidRDefault="003C4B86" w:rsidP="003C4B86">
      <w:pPr>
        <w:pStyle w:val="Heading2"/>
        <w:numPr>
          <w:ilvl w:val="0"/>
          <w:numId w:val="3"/>
        </w:numPr>
        <w:tabs>
          <w:tab w:val="num" w:pos="0"/>
        </w:tabs>
        <w:spacing w:before="120" w:after="120" w:line="240" w:lineRule="auto"/>
        <w:ind w:left="851" w:hanging="851"/>
        <w:rPr>
          <w:rFonts w:ascii="Calibri" w:hAnsi="Calibri"/>
          <w:b/>
          <w:bCs/>
          <w:color w:val="000000" w:themeColor="text1"/>
          <w:sz w:val="24"/>
          <w:szCs w:val="24"/>
        </w:rPr>
      </w:pPr>
      <w:bookmarkStart w:id="6" w:name="_Toc87031080"/>
      <w:bookmarkStart w:id="7" w:name="_Toc185919855"/>
      <w:r w:rsidRPr="00DC1FFC">
        <w:rPr>
          <w:rFonts w:ascii="Calibri" w:hAnsi="Calibri"/>
          <w:b/>
          <w:bCs/>
          <w:color w:val="000000" w:themeColor="text1"/>
          <w:sz w:val="24"/>
          <w:szCs w:val="24"/>
        </w:rPr>
        <w:t xml:space="preserve">Izdajanje projektnih pogojev, lokacijskih informacij,  dovoljenj  in soglasij  </w:t>
      </w:r>
      <w:bookmarkEnd w:id="6"/>
      <w:bookmarkEnd w:id="7"/>
    </w:p>
    <w:p w14:paraId="0BA41A12" w14:textId="66B0C0B1" w:rsidR="000C7EDB" w:rsidRDefault="00830417" w:rsidP="00DC1FFC">
      <w:pPr>
        <w:pStyle w:val="ListParagraph"/>
        <w:numPr>
          <w:ilvl w:val="0"/>
          <w:numId w:val="7"/>
        </w:numPr>
      </w:pPr>
      <w:r w:rsidRPr="00352CD7">
        <w:t xml:space="preserve">Ob prejemu </w:t>
      </w:r>
      <w:r>
        <w:t>vloge</w:t>
      </w:r>
      <w:r w:rsidRPr="00352CD7">
        <w:t xml:space="preserve"> nosilec naloge preveri, v katero stopnjo dostopnosti sodi </w:t>
      </w:r>
      <w:r>
        <w:t xml:space="preserve">pot oz. </w:t>
      </w:r>
      <w:r w:rsidRPr="00352CD7">
        <w:t>območje</w:t>
      </w:r>
      <w:r w:rsidR="007411E0">
        <w:t>, na katero se nanaša vloga</w:t>
      </w:r>
      <w:r w:rsidR="00DB0191">
        <w:t xml:space="preserve"> (Priloga 5)</w:t>
      </w:r>
      <w:r w:rsidR="007411E0">
        <w:t xml:space="preserve">. </w:t>
      </w:r>
      <w:r w:rsidR="000C7EDB">
        <w:t xml:space="preserve"> </w:t>
      </w:r>
    </w:p>
    <w:p w14:paraId="3A126638" w14:textId="600DCD34" w:rsidR="000C7EDB" w:rsidRDefault="000C7EDB" w:rsidP="00DC1FFC">
      <w:pPr>
        <w:pStyle w:val="ListParagraph"/>
        <w:numPr>
          <w:ilvl w:val="0"/>
          <w:numId w:val="7"/>
        </w:numPr>
      </w:pPr>
      <w:r w:rsidRPr="00352CD7">
        <w:t xml:space="preserve">V primeru, da gre za </w:t>
      </w:r>
      <w:r>
        <w:t xml:space="preserve">gradnjo novega </w:t>
      </w:r>
      <w:r w:rsidRPr="00352CD7">
        <w:t>objekt</w:t>
      </w:r>
      <w:r>
        <w:t>a</w:t>
      </w:r>
      <w:r w:rsidRPr="00352CD7">
        <w:t xml:space="preserve">, ki je pomemben za javnost, pa ni bil evidentiran v SND </w:t>
      </w:r>
      <w:r>
        <w:t>MONG</w:t>
      </w:r>
      <w:r w:rsidRPr="00352CD7">
        <w:t xml:space="preserve">, se </w:t>
      </w:r>
      <w:r w:rsidR="005D3F9F">
        <w:t xml:space="preserve">Službi za okolje in prostor </w:t>
      </w:r>
      <w:r w:rsidRPr="00352CD7">
        <w:t xml:space="preserve">posreduje pobudo za vnos </w:t>
      </w:r>
      <w:r w:rsidRPr="00352CD7">
        <w:lastRenderedPageBreak/>
        <w:t>objekta v SND</w:t>
      </w:r>
      <w:r>
        <w:t xml:space="preserve"> MONG in po potrebi za določitev dodatnih poti višje stopnje dostopnosti</w:t>
      </w:r>
      <w:r w:rsidRPr="00352CD7">
        <w:t xml:space="preserve">. </w:t>
      </w:r>
    </w:p>
    <w:p w14:paraId="6CFEE476" w14:textId="48E9E132" w:rsidR="00CB209E" w:rsidRPr="00352CD7" w:rsidRDefault="00B51C13" w:rsidP="00DC1FFC">
      <w:pPr>
        <w:pStyle w:val="ListParagraph"/>
        <w:numPr>
          <w:ilvl w:val="0"/>
          <w:numId w:val="7"/>
        </w:numPr>
      </w:pPr>
      <w:r w:rsidRPr="00F453C8">
        <w:rPr>
          <w:b/>
          <w:bCs/>
        </w:rPr>
        <w:t xml:space="preserve">V projektnih pogojih </w:t>
      </w:r>
      <w:r w:rsidR="00177EB0" w:rsidRPr="00F453C8">
        <w:rPr>
          <w:b/>
          <w:bCs/>
        </w:rPr>
        <w:t>in lokacijski informaciji</w:t>
      </w:r>
      <w:r w:rsidR="00177EB0">
        <w:t xml:space="preserve"> </w:t>
      </w:r>
      <w:r>
        <w:t xml:space="preserve">se </w:t>
      </w:r>
      <w:r w:rsidR="00516881">
        <w:t>zapiše</w:t>
      </w:r>
      <w:r w:rsidR="0014524C" w:rsidRPr="00172F3C">
        <w:t>*</w:t>
      </w:r>
      <w:r w:rsidR="00516881">
        <w:t xml:space="preserve">: </w:t>
      </w:r>
      <w:r w:rsidR="00D2750F">
        <w:t>»</w:t>
      </w:r>
      <w:r w:rsidR="00CB209E">
        <w:t>Strateški načrt dostopnosti Nova Gorica. Pri načrtovanju zunanjih ureditev in dostopnih poti do objekta je treba upoštevati Strateški načrt dostopnosti Mestne občine Nova Gorica. Glavne dostopne poti do objekta, ki leži ob poti višje stopnje dostopnosti, je treba navezati na pot višje stopnje dostopnosti. Glavne dostopne poti do objekta, v bližini katerega ni poti višje stopnje dostopnosti, je treba navezati na javni pločnik ali drugo peš površino v smeri najbližjega avtobusnega postajališča.«</w:t>
      </w:r>
      <w:r w:rsidR="0014524C" w:rsidRPr="0014524C">
        <w:t xml:space="preserve"> </w:t>
      </w:r>
    </w:p>
    <w:p w14:paraId="0951A0D2" w14:textId="6D5C6709" w:rsidR="00BA15EE" w:rsidRDefault="00830417" w:rsidP="00DC1FFC">
      <w:pPr>
        <w:pStyle w:val="ListParagraph"/>
        <w:numPr>
          <w:ilvl w:val="0"/>
          <w:numId w:val="7"/>
        </w:numPr>
      </w:pPr>
      <w:r w:rsidRPr="00F453C8">
        <w:rPr>
          <w:b/>
          <w:bCs/>
        </w:rPr>
        <w:t>V</w:t>
      </w:r>
      <w:r w:rsidR="00E8748E" w:rsidRPr="00F453C8">
        <w:rPr>
          <w:b/>
          <w:bCs/>
        </w:rPr>
        <w:t xml:space="preserve"> dovoljenj</w:t>
      </w:r>
      <w:r w:rsidR="00F453C8" w:rsidRPr="00F453C8">
        <w:rPr>
          <w:b/>
          <w:bCs/>
        </w:rPr>
        <w:t>ih</w:t>
      </w:r>
      <w:r w:rsidR="00E8748E" w:rsidRPr="00F453C8">
        <w:rPr>
          <w:b/>
          <w:bCs/>
        </w:rPr>
        <w:t xml:space="preserve"> o posebni rabi </w:t>
      </w:r>
      <w:r w:rsidR="00C16CD0" w:rsidRPr="00F453C8">
        <w:rPr>
          <w:b/>
          <w:bCs/>
        </w:rPr>
        <w:t>javne površine</w:t>
      </w:r>
      <w:r w:rsidR="00E8748E">
        <w:t xml:space="preserve"> se </w:t>
      </w:r>
      <w:r w:rsidR="00026F1E">
        <w:t>v primeru, ko gre za površino</w:t>
      </w:r>
      <w:r w:rsidR="0071341F">
        <w:t>, čez katero poteka pot višje s</w:t>
      </w:r>
      <w:r w:rsidR="00026F1E">
        <w:t>topnj</w:t>
      </w:r>
      <w:r w:rsidR="0071341F">
        <w:t>e</w:t>
      </w:r>
      <w:r w:rsidR="00026F1E">
        <w:t xml:space="preserve"> dostopnosti</w:t>
      </w:r>
      <w:r w:rsidR="0071341F">
        <w:t>, navede</w:t>
      </w:r>
      <w:r w:rsidR="002E611C">
        <w:rPr>
          <w:rStyle w:val="FootnoteReference"/>
        </w:rPr>
        <w:footnoteReference w:id="1"/>
      </w:r>
      <w:r w:rsidR="00F77277">
        <w:t xml:space="preserve">: </w:t>
      </w:r>
    </w:p>
    <w:p w14:paraId="4DC78E8E" w14:textId="4EC86E88" w:rsidR="00BA15EE" w:rsidRDefault="00A37E1B" w:rsidP="00E161AE">
      <w:pPr>
        <w:pStyle w:val="ListParagraph"/>
        <w:numPr>
          <w:ilvl w:val="0"/>
          <w:numId w:val="0"/>
        </w:numPr>
        <w:ind w:left="1211"/>
      </w:pPr>
      <w:r>
        <w:t>»</w:t>
      </w:r>
      <w:r w:rsidR="001A0540">
        <w:t xml:space="preserve">Površina se nahaja v </w:t>
      </w:r>
      <w:r w:rsidR="004F20AB">
        <w:t>območju</w:t>
      </w:r>
      <w:r w:rsidR="001F2191">
        <w:t>/na poti</w:t>
      </w:r>
      <w:r w:rsidR="004F20AB">
        <w:t xml:space="preserve"> </w:t>
      </w:r>
      <w:r w:rsidR="001A0540">
        <w:t>višj</w:t>
      </w:r>
      <w:r w:rsidR="004F20AB">
        <w:t>e</w:t>
      </w:r>
      <w:r w:rsidR="001A0540">
        <w:t xml:space="preserve"> stopnj</w:t>
      </w:r>
      <w:r w:rsidR="004F20AB">
        <w:t>e</w:t>
      </w:r>
      <w:r w:rsidR="001A0540">
        <w:t xml:space="preserve"> dostopnosti, kot določa Strateški načrt dostopnosti MONG</w:t>
      </w:r>
      <w:r w:rsidR="00643D96">
        <w:t xml:space="preserve">. </w:t>
      </w:r>
      <w:r>
        <w:t xml:space="preserve">Raba javne površine </w:t>
      </w:r>
      <w:r w:rsidR="00643D96">
        <w:t xml:space="preserve">ne sme ovirati </w:t>
      </w:r>
      <w:r w:rsidR="001A0540">
        <w:t>dostopn</w:t>
      </w:r>
      <w:r w:rsidR="00643D96">
        <w:t>ih</w:t>
      </w:r>
      <w:r w:rsidR="001A0540">
        <w:t xml:space="preserve"> poti </w:t>
      </w:r>
      <w:r w:rsidR="00830417" w:rsidRPr="00352CD7">
        <w:t>v skladu s smernicami SND</w:t>
      </w:r>
      <w:r w:rsidR="00830417">
        <w:t xml:space="preserve"> MONG</w:t>
      </w:r>
      <w:r w:rsidR="00BA15EE">
        <w:t>, kot npr:</w:t>
      </w:r>
    </w:p>
    <w:p w14:paraId="4D1115D7" w14:textId="761D52C8" w:rsidR="00BA15EE" w:rsidRDefault="00BA15EE" w:rsidP="00E161AE">
      <w:pPr>
        <w:pStyle w:val="ListParagraph"/>
        <w:numPr>
          <w:ilvl w:val="0"/>
          <w:numId w:val="18"/>
        </w:numPr>
        <w:ind w:left="1701"/>
      </w:pPr>
      <w:r>
        <w:t>ohraniti je treba</w:t>
      </w:r>
      <w:r w:rsidR="00407CFA">
        <w:t xml:space="preserve"> prost</w:t>
      </w:r>
      <w:r>
        <w:t>e</w:t>
      </w:r>
      <w:r w:rsidR="00407CFA">
        <w:t xml:space="preserve"> robov</w:t>
      </w:r>
      <w:r>
        <w:t>e</w:t>
      </w:r>
      <w:r w:rsidR="00407CFA">
        <w:t xml:space="preserve"> </w:t>
      </w:r>
      <w:r w:rsidR="00C11E2C">
        <w:t xml:space="preserve">peš površin </w:t>
      </w:r>
      <w:r w:rsidR="00407CFA">
        <w:t>za vodenje slepih in slabovidnih</w:t>
      </w:r>
      <w:r w:rsidR="00C11E2C">
        <w:t xml:space="preserve"> oz. izve</w:t>
      </w:r>
      <w:r>
        <w:t>sti</w:t>
      </w:r>
      <w:r w:rsidR="00C11E2C">
        <w:t xml:space="preserve"> nadomestn</w:t>
      </w:r>
      <w:r>
        <w:t>e</w:t>
      </w:r>
      <w:r w:rsidR="00C11E2C">
        <w:t xml:space="preserve"> ukrep</w:t>
      </w:r>
      <w:r>
        <w:t>e</w:t>
      </w:r>
      <w:r w:rsidR="00007967">
        <w:t xml:space="preserve"> za vodenje slepih in slabovidnih (npr. taktilne oznake)</w:t>
      </w:r>
      <w:r w:rsidR="00C11E2C">
        <w:t xml:space="preserve">, </w:t>
      </w:r>
    </w:p>
    <w:p w14:paraId="09709186" w14:textId="77777777" w:rsidR="00BA15EE" w:rsidRDefault="00407CFA" w:rsidP="00E161AE">
      <w:pPr>
        <w:pStyle w:val="ListParagraph"/>
        <w:numPr>
          <w:ilvl w:val="0"/>
          <w:numId w:val="18"/>
        </w:numPr>
        <w:ind w:left="1701"/>
      </w:pPr>
      <w:r>
        <w:t xml:space="preserve">vse ovire </w:t>
      </w:r>
      <w:r w:rsidR="0054775C">
        <w:t xml:space="preserve">morajo biti </w:t>
      </w:r>
      <w:r>
        <w:t xml:space="preserve">odmaknjene vsaj 60 cm </w:t>
      </w:r>
      <w:r w:rsidR="00C11E2C">
        <w:t xml:space="preserve">od </w:t>
      </w:r>
      <w:r w:rsidR="00007967">
        <w:t xml:space="preserve">taktilnih </w:t>
      </w:r>
      <w:r w:rsidR="00C11E2C">
        <w:t xml:space="preserve">vodilnih linij </w:t>
      </w:r>
      <w:r w:rsidR="00830417" w:rsidRPr="00352CD7">
        <w:t xml:space="preserve">in </w:t>
      </w:r>
      <w:r w:rsidR="00C11E2C">
        <w:t xml:space="preserve">vsaj 150 cm od </w:t>
      </w:r>
      <w:r w:rsidR="0051460C">
        <w:t>začetka in konca</w:t>
      </w:r>
      <w:r w:rsidR="0077736D">
        <w:t xml:space="preserve"> </w:t>
      </w:r>
      <w:r w:rsidR="00830417" w:rsidRPr="00352CD7">
        <w:t>klančin</w:t>
      </w:r>
      <w:r w:rsidR="00BA15EE">
        <w:t xml:space="preserve"> ter</w:t>
      </w:r>
      <w:r w:rsidR="0051460C">
        <w:t xml:space="preserve"> ne smejo ovirati uporabe oprijemal na stopnicah in klančinah</w:t>
      </w:r>
      <w:r w:rsidR="00BA15EE">
        <w:t>,</w:t>
      </w:r>
    </w:p>
    <w:p w14:paraId="608B9EF4" w14:textId="2C58CF04" w:rsidR="00830417" w:rsidRDefault="00BA15EE" w:rsidP="00E161AE">
      <w:pPr>
        <w:pStyle w:val="ListParagraph"/>
        <w:numPr>
          <w:ilvl w:val="0"/>
          <w:numId w:val="18"/>
        </w:numPr>
        <w:ind w:left="1701"/>
      </w:pPr>
      <w:r>
        <w:t>v</w:t>
      </w:r>
      <w:r w:rsidR="0077736D">
        <w:t xml:space="preserve"> primeru </w:t>
      </w:r>
      <w:r w:rsidR="00BB0379">
        <w:t xml:space="preserve">postavitve ograj </w:t>
      </w:r>
      <w:r w:rsidR="0003740C">
        <w:t xml:space="preserve">in preprek </w:t>
      </w:r>
      <w:r w:rsidR="00A62C18">
        <w:t xml:space="preserve">za preprečevanje prehoda, </w:t>
      </w:r>
      <w:r w:rsidR="0003740C">
        <w:t>morajo ograje segati do tal</w:t>
      </w:r>
      <w:r w:rsidR="004E6F1B">
        <w:t xml:space="preserve"> </w:t>
      </w:r>
      <w:r w:rsidR="00255BC2">
        <w:t xml:space="preserve">in biti označene </w:t>
      </w:r>
      <w:r w:rsidR="00905838">
        <w:t xml:space="preserve">z </w:t>
      </w:r>
      <w:r w:rsidR="00830417" w:rsidRPr="00352CD7">
        <w:t>vizualni</w:t>
      </w:r>
      <w:r w:rsidR="00905838">
        <w:t>mi</w:t>
      </w:r>
      <w:r w:rsidR="00830417" w:rsidRPr="00352CD7">
        <w:t xml:space="preserve"> kontrast</w:t>
      </w:r>
      <w:r w:rsidR="0003740C">
        <w:t>i</w:t>
      </w:r>
      <w:r w:rsidR="00B60885">
        <w:t>)</w:t>
      </w:r>
      <w:r w:rsidR="00830417" w:rsidRPr="00352CD7">
        <w:t>.</w:t>
      </w:r>
      <w:r w:rsidR="00651AED">
        <w:t>«</w:t>
      </w:r>
    </w:p>
    <w:p w14:paraId="15EE9FC1" w14:textId="03666980" w:rsidR="00B605F9" w:rsidRDefault="00B605F9" w:rsidP="00E161AE">
      <w:pPr>
        <w:pStyle w:val="ListParagraph"/>
        <w:numPr>
          <w:ilvl w:val="0"/>
          <w:numId w:val="0"/>
        </w:numPr>
        <w:ind w:left="1211"/>
      </w:pPr>
      <w:r>
        <w:t xml:space="preserve">V primeru, ko gre za površino v osnovni stopnji dostopnosti </w:t>
      </w:r>
      <w:r w:rsidR="00F453C8">
        <w:t>se navede: »</w:t>
      </w:r>
      <w:r w:rsidR="00F453C8" w:rsidRPr="003D333D">
        <w:t xml:space="preserve">Začasni objekti in oprema za prireditve ne smejo ovirati </w:t>
      </w:r>
      <w:r w:rsidR="00F453C8">
        <w:t xml:space="preserve">uporabe </w:t>
      </w:r>
      <w:r w:rsidR="00F453C8" w:rsidRPr="003D333D">
        <w:t xml:space="preserve">taktilnih oznak za </w:t>
      </w:r>
      <w:r w:rsidR="00F453C8">
        <w:t>osebe z okvaro vida in dostopa do klančin in dvigal.</w:t>
      </w:r>
      <w:r w:rsidR="00E22D66">
        <w:t xml:space="preserve"> V primeru postavitve ograj in preprek za preprečevanje prehoda, morajo ograje segati do tal in biti označene z </w:t>
      </w:r>
      <w:r w:rsidR="00E22D66" w:rsidRPr="00352CD7">
        <w:t>vizualni</w:t>
      </w:r>
      <w:r w:rsidR="00E22D66">
        <w:t>mi</w:t>
      </w:r>
      <w:r w:rsidR="00E22D66" w:rsidRPr="00352CD7">
        <w:t xml:space="preserve"> kontrast</w:t>
      </w:r>
      <w:r w:rsidR="00E22D66">
        <w:t>i</w:t>
      </w:r>
      <w:r w:rsidR="00F453C8">
        <w:t>«</w:t>
      </w:r>
    </w:p>
    <w:p w14:paraId="2B035F7C" w14:textId="6D7E6B9D" w:rsidR="003D333D" w:rsidRDefault="003D333D" w:rsidP="00DC1FFC">
      <w:pPr>
        <w:pStyle w:val="ListParagraph"/>
        <w:numPr>
          <w:ilvl w:val="0"/>
          <w:numId w:val="7"/>
        </w:numPr>
      </w:pPr>
      <w:r w:rsidRPr="00C94652">
        <w:rPr>
          <w:b/>
          <w:bCs/>
        </w:rPr>
        <w:t>V soglasju za postavitev začasnih objektov</w:t>
      </w:r>
      <w:r w:rsidR="00A70F52" w:rsidRPr="00A70F52">
        <w:t xml:space="preserve"> </w:t>
      </w:r>
      <w:r>
        <w:t xml:space="preserve">se </w:t>
      </w:r>
      <w:r w:rsidR="005A70E7">
        <w:t xml:space="preserve">ne glede na to, za katero stopnjo dostopnosti gre, </w:t>
      </w:r>
      <w:r w:rsidRPr="003D333D">
        <w:t>navede</w:t>
      </w:r>
      <w:r w:rsidR="002E611C">
        <w:rPr>
          <w:rStyle w:val="FootnoteReference"/>
        </w:rPr>
        <w:footnoteReference w:customMarkFollows="1" w:id="2"/>
        <w:t>1</w:t>
      </w:r>
      <w:r w:rsidRPr="003D333D">
        <w:t xml:space="preserve">: </w:t>
      </w:r>
      <w:r w:rsidR="00673474">
        <w:t>»</w:t>
      </w:r>
      <w:r w:rsidRPr="003D333D">
        <w:t xml:space="preserve">Začasni objekti in oprema za prireditve ne smejo ovirati </w:t>
      </w:r>
      <w:r w:rsidR="00AC6D6D">
        <w:t xml:space="preserve">uporabe </w:t>
      </w:r>
      <w:r w:rsidRPr="003D333D">
        <w:t xml:space="preserve">taktilnih oznak za </w:t>
      </w:r>
      <w:r w:rsidR="00AC6D6D">
        <w:t xml:space="preserve">osebe z okvaro vida in </w:t>
      </w:r>
      <w:r w:rsidR="009C676E">
        <w:t>dostopa do klančin in dvigal</w:t>
      </w:r>
      <w:r w:rsidR="00905219">
        <w:t>.</w:t>
      </w:r>
      <w:r w:rsidR="00673474">
        <w:t>«</w:t>
      </w:r>
      <w:r w:rsidR="00905219">
        <w:t xml:space="preserve"> </w:t>
      </w:r>
    </w:p>
    <w:p w14:paraId="7499D7BE" w14:textId="77777777" w:rsidR="00830417" w:rsidRPr="00DC1FFC" w:rsidRDefault="00830417" w:rsidP="00830417">
      <w:pPr>
        <w:pStyle w:val="Heading2"/>
        <w:numPr>
          <w:ilvl w:val="0"/>
          <w:numId w:val="3"/>
        </w:numPr>
        <w:tabs>
          <w:tab w:val="num" w:pos="0"/>
        </w:tabs>
        <w:spacing w:before="120" w:after="120" w:line="240" w:lineRule="auto"/>
        <w:ind w:left="851" w:hanging="851"/>
        <w:rPr>
          <w:rFonts w:ascii="Calibri" w:hAnsi="Calibri"/>
          <w:b/>
          <w:bCs/>
          <w:color w:val="000000" w:themeColor="text1"/>
          <w:sz w:val="24"/>
          <w:szCs w:val="24"/>
        </w:rPr>
      </w:pPr>
      <w:bookmarkStart w:id="8" w:name="_Toc87031082"/>
      <w:bookmarkStart w:id="9" w:name="_Toc185919856"/>
      <w:r w:rsidRPr="00DC1FFC">
        <w:rPr>
          <w:rFonts w:ascii="Calibri" w:hAnsi="Calibri"/>
          <w:b/>
          <w:bCs/>
          <w:color w:val="000000" w:themeColor="text1"/>
          <w:sz w:val="24"/>
          <w:szCs w:val="24"/>
        </w:rPr>
        <w:t>Spreminjanje prometnih ureditev</w:t>
      </w:r>
      <w:bookmarkEnd w:id="8"/>
      <w:bookmarkEnd w:id="9"/>
    </w:p>
    <w:p w14:paraId="4CF67BF3" w14:textId="40DDB211" w:rsidR="00830417" w:rsidRPr="00352CD7" w:rsidRDefault="00830417" w:rsidP="00DC1FFC">
      <w:pPr>
        <w:pStyle w:val="ListParagraph"/>
        <w:numPr>
          <w:ilvl w:val="0"/>
          <w:numId w:val="8"/>
        </w:numPr>
      </w:pPr>
      <w:r w:rsidRPr="00352CD7">
        <w:t>Pred spremembo prometne ureditve nosilec naloge preveri, v katero stopnjo dostopnosti s</w:t>
      </w:r>
      <w:r>
        <w:t>odi</w:t>
      </w:r>
      <w:r w:rsidRPr="00352CD7">
        <w:t xml:space="preserve"> obravnavan</w:t>
      </w:r>
      <w:r>
        <w:t>a pot oz.</w:t>
      </w:r>
      <w:r w:rsidRPr="00352CD7">
        <w:t xml:space="preserve"> območje</w:t>
      </w:r>
      <w:r w:rsidR="00DB0191">
        <w:t xml:space="preserve"> (Priloga 5)</w:t>
      </w:r>
      <w:r w:rsidRPr="00352CD7">
        <w:t xml:space="preserve">. </w:t>
      </w:r>
    </w:p>
    <w:p w14:paraId="26FDF0B8" w14:textId="3A109A9D" w:rsidR="00830417" w:rsidRPr="00352CD7" w:rsidRDefault="00830417" w:rsidP="00DC1FFC">
      <w:pPr>
        <w:pStyle w:val="ListParagraph"/>
        <w:numPr>
          <w:ilvl w:val="0"/>
          <w:numId w:val="8"/>
        </w:numPr>
      </w:pPr>
      <w:r w:rsidRPr="00352CD7">
        <w:lastRenderedPageBreak/>
        <w:t>Če s</w:t>
      </w:r>
      <w:r>
        <w:t>odi</w:t>
      </w:r>
      <w:r w:rsidRPr="00352CD7">
        <w:t xml:space="preserve"> obravnavan</w:t>
      </w:r>
      <w:r>
        <w:t>a pot</w:t>
      </w:r>
      <w:r w:rsidRPr="00352CD7">
        <w:t xml:space="preserve"> v višjo stopnjo dostopnosti, se pred </w:t>
      </w:r>
      <w:r>
        <w:t>spremembo prometne ureditve</w:t>
      </w:r>
      <w:r w:rsidRPr="00352CD7">
        <w:t xml:space="preserve"> </w:t>
      </w:r>
      <w:r w:rsidR="00814E58">
        <w:t>uskladi projektno dokumentacijo, v vseh fazah priprave (DPP, DGD in PZI)  tudi iz vidika zagotavljanje univerzalne dostopnosti.</w:t>
      </w:r>
    </w:p>
    <w:p w14:paraId="77089BB5" w14:textId="043A630D" w:rsidR="00830417" w:rsidRPr="00352CD7" w:rsidRDefault="00830417" w:rsidP="00DC1FFC">
      <w:pPr>
        <w:pStyle w:val="ListParagraph"/>
        <w:numPr>
          <w:ilvl w:val="0"/>
          <w:numId w:val="8"/>
        </w:numPr>
      </w:pPr>
      <w:r w:rsidRPr="00352CD7">
        <w:t xml:space="preserve">Poskusnih prometnih ureditev naj se ne uvaja na </w:t>
      </w:r>
      <w:r>
        <w:t xml:space="preserve">poteh </w:t>
      </w:r>
      <w:r w:rsidRPr="00352CD7">
        <w:t xml:space="preserve">višje </w:t>
      </w:r>
      <w:r>
        <w:t>stopnje</w:t>
      </w:r>
      <w:r w:rsidRPr="00352CD7">
        <w:t xml:space="preserve"> dostopnosti</w:t>
      </w:r>
      <w:r w:rsidR="00981EF5">
        <w:t>. Č</w:t>
      </w:r>
      <w:r w:rsidRPr="00352CD7">
        <w:t xml:space="preserve">e je nujno, da se poskusno prometno ureditev izvede na </w:t>
      </w:r>
      <w:r>
        <w:t>poti</w:t>
      </w:r>
      <w:r w:rsidRPr="00352CD7">
        <w:t xml:space="preserve"> višje stopnje dostopnosti, je potrebno </w:t>
      </w:r>
      <w:r w:rsidR="00814E58">
        <w:t xml:space="preserve">projektno dokumentacijo preveriti iz vidika zagotavljanja univerzalne dostopnosti </w:t>
      </w:r>
      <w:r w:rsidR="009C3476">
        <w:t>ter</w:t>
      </w:r>
      <w:r w:rsidRPr="00352CD7">
        <w:t xml:space="preserve"> obvestiti javnost ter invalidske organizacije o spremembi. </w:t>
      </w:r>
    </w:p>
    <w:p w14:paraId="32E21CAA" w14:textId="77777777" w:rsidR="00830417" w:rsidRPr="00DC1FFC" w:rsidRDefault="00830417" w:rsidP="00830417">
      <w:pPr>
        <w:pStyle w:val="Heading2"/>
        <w:numPr>
          <w:ilvl w:val="0"/>
          <w:numId w:val="3"/>
        </w:numPr>
        <w:tabs>
          <w:tab w:val="num" w:pos="0"/>
        </w:tabs>
        <w:spacing w:before="120" w:after="120" w:line="240" w:lineRule="auto"/>
        <w:ind w:left="851" w:hanging="851"/>
        <w:rPr>
          <w:rFonts w:ascii="Calibri" w:hAnsi="Calibri"/>
          <w:b/>
          <w:bCs/>
          <w:color w:val="000000" w:themeColor="text1"/>
          <w:sz w:val="24"/>
          <w:szCs w:val="24"/>
        </w:rPr>
      </w:pPr>
      <w:bookmarkStart w:id="10" w:name="_Toc87031084"/>
      <w:bookmarkStart w:id="11" w:name="_Toc185919858"/>
      <w:r w:rsidRPr="00DC1FFC">
        <w:rPr>
          <w:rFonts w:ascii="Calibri" w:hAnsi="Calibri"/>
          <w:b/>
          <w:bCs/>
          <w:color w:val="000000" w:themeColor="text1"/>
          <w:sz w:val="24"/>
          <w:szCs w:val="24"/>
        </w:rPr>
        <w:t>Vzdrževanje</w:t>
      </w:r>
      <w:bookmarkEnd w:id="10"/>
      <w:r w:rsidRPr="00DC1FFC">
        <w:rPr>
          <w:rFonts w:ascii="Calibri" w:hAnsi="Calibri"/>
          <w:b/>
          <w:bCs/>
          <w:color w:val="000000" w:themeColor="text1"/>
          <w:sz w:val="24"/>
          <w:szCs w:val="24"/>
        </w:rPr>
        <w:t xml:space="preserve"> javnih površin</w:t>
      </w:r>
      <w:bookmarkEnd w:id="11"/>
    </w:p>
    <w:p w14:paraId="27727170" w14:textId="77777777" w:rsidR="00830417" w:rsidRDefault="00830417" w:rsidP="00DC1FFC">
      <w:pPr>
        <w:pStyle w:val="ListParagraph2"/>
        <w:numPr>
          <w:ilvl w:val="0"/>
          <w:numId w:val="0"/>
        </w:numPr>
        <w:ind w:left="851"/>
      </w:pPr>
      <w:r>
        <w:t xml:space="preserve">Občinske službe za vzdrževanje javnih površin v MONG  se seznanijo s SND MONG, predvsem z nalogami v zvezi z  rednim </w:t>
      </w:r>
      <w:r w:rsidRPr="00352CD7">
        <w:t>vzdrževanje</w:t>
      </w:r>
      <w:r>
        <w:t xml:space="preserve">m vseh </w:t>
      </w:r>
      <w:r w:rsidRPr="00352CD7">
        <w:t>površin za pešce</w:t>
      </w:r>
      <w:r>
        <w:t xml:space="preserve">, ki so: </w:t>
      </w:r>
    </w:p>
    <w:p w14:paraId="6C769AB2" w14:textId="77777777" w:rsidR="00830417" w:rsidRDefault="00830417" w:rsidP="00DC6BB9">
      <w:pPr>
        <w:pStyle w:val="ListParagraph"/>
        <w:numPr>
          <w:ilvl w:val="0"/>
          <w:numId w:val="9"/>
        </w:numPr>
      </w:pPr>
      <w:r>
        <w:t xml:space="preserve">redno </w:t>
      </w:r>
      <w:r w:rsidRPr="00352CD7">
        <w:t>popravljanje poškodovanih tlakov in taktilnih oznak</w:t>
      </w:r>
      <w:r>
        <w:t>,</w:t>
      </w:r>
    </w:p>
    <w:p w14:paraId="1D1983AB" w14:textId="77777777" w:rsidR="00830417" w:rsidRDefault="00830417" w:rsidP="00DC6BB9">
      <w:pPr>
        <w:pStyle w:val="ListParagraph"/>
        <w:numPr>
          <w:ilvl w:val="0"/>
          <w:numId w:val="9"/>
        </w:numPr>
      </w:pPr>
      <w:r>
        <w:t xml:space="preserve">takojšnje zavarovanje </w:t>
      </w:r>
      <w:r w:rsidRPr="00352CD7">
        <w:t>nevarnih mest</w:t>
      </w:r>
      <w:r>
        <w:t xml:space="preserve"> (npr. odprti jaški, polomljene ograje),</w:t>
      </w:r>
    </w:p>
    <w:p w14:paraId="76DD0B43" w14:textId="77777777" w:rsidR="00830417" w:rsidRDefault="00830417" w:rsidP="00DC6BB9">
      <w:pPr>
        <w:pStyle w:val="ListParagraph"/>
        <w:numPr>
          <w:ilvl w:val="0"/>
          <w:numId w:val="9"/>
        </w:numPr>
      </w:pPr>
      <w:r w:rsidRPr="00352CD7">
        <w:t>redno obrezovanje drevnine</w:t>
      </w:r>
      <w:r>
        <w:t xml:space="preserve"> in živih mej, ki segajo na poti in pločnike (še posebej poti v višji stopnji dostopnosti),</w:t>
      </w:r>
    </w:p>
    <w:p w14:paraId="190608DF" w14:textId="77777777" w:rsidR="00830417" w:rsidRDefault="00830417" w:rsidP="00DC6BB9">
      <w:pPr>
        <w:pStyle w:val="ListParagraph"/>
        <w:numPr>
          <w:ilvl w:val="0"/>
          <w:numId w:val="9"/>
        </w:numPr>
      </w:pPr>
      <w:r w:rsidRPr="00352CD7">
        <w:t>košnja</w:t>
      </w:r>
      <w:r>
        <w:t xml:space="preserve"> in </w:t>
      </w:r>
      <w:r w:rsidRPr="00352CD7">
        <w:t>urejanje zelenic ob poti, odstranjevanje listja</w:t>
      </w:r>
      <w:r>
        <w:t xml:space="preserve"> in</w:t>
      </w:r>
    </w:p>
    <w:p w14:paraId="178F0C7C" w14:textId="77777777" w:rsidR="00830417" w:rsidRPr="00352CD7" w:rsidRDefault="00830417" w:rsidP="00DC6BB9">
      <w:pPr>
        <w:pStyle w:val="ListParagraph"/>
        <w:numPr>
          <w:ilvl w:val="0"/>
          <w:numId w:val="9"/>
        </w:numPr>
      </w:pPr>
      <w:r>
        <w:t xml:space="preserve">odstranjevanje vseh </w:t>
      </w:r>
      <w:r w:rsidRPr="00352CD7">
        <w:t>ovir,</w:t>
      </w:r>
      <w:r>
        <w:t xml:space="preserve"> ki zmanjšujejo širino prehodov na pločnikih (širina pločnika oz. peš prehoda ne sme biti ožja od 120 cm, le izjemoma (na odsekih do 2m) je dovoljena najmanjša širina 90 cm. </w:t>
      </w:r>
    </w:p>
    <w:p w14:paraId="65DEB0BC" w14:textId="77777777" w:rsidR="00830417" w:rsidRPr="00DC1FFC" w:rsidRDefault="00830417" w:rsidP="00830417">
      <w:pPr>
        <w:pStyle w:val="Heading2"/>
        <w:numPr>
          <w:ilvl w:val="0"/>
          <w:numId w:val="3"/>
        </w:numPr>
        <w:tabs>
          <w:tab w:val="num" w:pos="0"/>
        </w:tabs>
        <w:spacing w:before="120" w:after="120" w:line="240" w:lineRule="auto"/>
        <w:ind w:left="851" w:hanging="851"/>
        <w:rPr>
          <w:rFonts w:ascii="Calibri" w:hAnsi="Calibri"/>
          <w:b/>
          <w:bCs/>
          <w:color w:val="000000" w:themeColor="text1"/>
          <w:sz w:val="24"/>
          <w:szCs w:val="24"/>
        </w:rPr>
      </w:pPr>
      <w:bookmarkStart w:id="12" w:name="_Toc185919859"/>
      <w:r w:rsidRPr="00DC1FFC">
        <w:rPr>
          <w:rFonts w:ascii="Calibri" w:hAnsi="Calibri"/>
          <w:b/>
          <w:bCs/>
          <w:color w:val="000000" w:themeColor="text1"/>
          <w:sz w:val="24"/>
          <w:szCs w:val="24"/>
        </w:rPr>
        <w:t>Začasne ureditve in gradbišča</w:t>
      </w:r>
      <w:bookmarkEnd w:id="12"/>
      <w:r w:rsidRPr="00DC1FFC">
        <w:rPr>
          <w:rFonts w:ascii="Calibri" w:hAnsi="Calibri"/>
          <w:b/>
          <w:bCs/>
          <w:color w:val="000000" w:themeColor="text1"/>
          <w:sz w:val="24"/>
          <w:szCs w:val="24"/>
        </w:rPr>
        <w:t xml:space="preserve"> </w:t>
      </w:r>
    </w:p>
    <w:p w14:paraId="7E5099ED" w14:textId="77777777" w:rsidR="00BB2164" w:rsidRDefault="00BB2164" w:rsidP="00DC1FFC">
      <w:pPr>
        <w:pStyle w:val="ListParagraph"/>
        <w:numPr>
          <w:ilvl w:val="0"/>
          <w:numId w:val="9"/>
        </w:numPr>
      </w:pPr>
      <w:r w:rsidRPr="00364905">
        <w:t>V dovoljenju o zaporah cest</w:t>
      </w:r>
      <w:r w:rsidRPr="005A70E7">
        <w:t xml:space="preserve"> </w:t>
      </w:r>
      <w:r>
        <w:t xml:space="preserve">se </w:t>
      </w:r>
      <w:r w:rsidRPr="005A70E7">
        <w:t>napiše:</w:t>
      </w:r>
      <w:r>
        <w:t xml:space="preserve"> »I</w:t>
      </w:r>
      <w:r w:rsidRPr="005A70E7">
        <w:t xml:space="preserve">zvajalec del ali organizator prireditve </w:t>
      </w:r>
      <w:r>
        <w:t xml:space="preserve">mora </w:t>
      </w:r>
      <w:r w:rsidRPr="005A70E7">
        <w:t>zagotoviti ustrezne obvoze ali varne poti za pešce in kolesarje v času delne ali popolne zapore ceste</w:t>
      </w:r>
      <w:r>
        <w:t xml:space="preserve">.« </w:t>
      </w:r>
    </w:p>
    <w:p w14:paraId="7D919E21" w14:textId="1E6FDBB8" w:rsidR="00BB2164" w:rsidRPr="00352CD7" w:rsidRDefault="00BB2164" w:rsidP="00DC1FFC">
      <w:pPr>
        <w:pStyle w:val="ListParagraph"/>
        <w:numPr>
          <w:ilvl w:val="0"/>
          <w:numId w:val="9"/>
        </w:numPr>
      </w:pPr>
      <w:r>
        <w:t>Nosilec naloge</w:t>
      </w:r>
      <w:r w:rsidRPr="004001B3">
        <w:t xml:space="preserve"> dovoljenje o cestni zapori v primeru, da je na območju višje </w:t>
      </w:r>
      <w:r w:rsidR="00D12D3C">
        <w:t>stop</w:t>
      </w:r>
      <w:r w:rsidR="00F7665A">
        <w:t xml:space="preserve">nje </w:t>
      </w:r>
      <w:r w:rsidRPr="004001B3">
        <w:t>dostopnosti, po</w:t>
      </w:r>
      <w:r>
        <w:t>šlje</w:t>
      </w:r>
      <w:r w:rsidRPr="004001B3">
        <w:t xml:space="preserve"> v vednost vsem invalidskim društvom v Novi Gorici</w:t>
      </w:r>
      <w:r w:rsidR="00DB0191">
        <w:t xml:space="preserve"> (Priloga 5)</w:t>
      </w:r>
      <w:r w:rsidRPr="004001B3">
        <w:t>.</w:t>
      </w:r>
    </w:p>
    <w:p w14:paraId="45EA1443" w14:textId="77777777" w:rsidR="00830417" w:rsidRDefault="00830417" w:rsidP="00DC1FFC">
      <w:pPr>
        <w:pStyle w:val="ListParagraph"/>
        <w:numPr>
          <w:ilvl w:val="0"/>
          <w:numId w:val="9"/>
        </w:numPr>
      </w:pPr>
      <w:r>
        <w:t xml:space="preserve">Gradbišča morajo biti ustrezno urejena z vidika varnosti mimoidočih, posebej še za osebe z okvarami vida. </w:t>
      </w:r>
    </w:p>
    <w:p w14:paraId="40183345" w14:textId="2717ED86" w:rsidR="00830417" w:rsidRDefault="00830417" w:rsidP="00DC1FFC">
      <w:pPr>
        <w:pStyle w:val="ListParagraph"/>
        <w:numPr>
          <w:ilvl w:val="0"/>
          <w:numId w:val="9"/>
        </w:numPr>
      </w:pPr>
      <w:r w:rsidRPr="00DB7476">
        <w:t xml:space="preserve">V primeru </w:t>
      </w:r>
      <w:r>
        <w:t>dolgotrajnih zaprtij poti</w:t>
      </w:r>
      <w:r w:rsidR="002003A8">
        <w:t xml:space="preserve"> v višji stopnji dostopnosti</w:t>
      </w:r>
      <w:r>
        <w:t xml:space="preserve">, </w:t>
      </w:r>
      <w:r w:rsidRPr="00DB7476">
        <w:t xml:space="preserve">je potrebno zagotoviti alternativno pot, ki se ustrezno navezuje na pot višje stopnje dostopnosti.  </w:t>
      </w:r>
    </w:p>
    <w:p w14:paraId="5DDB7449" w14:textId="772C5CF5" w:rsidR="00830417" w:rsidRPr="00DC1FFC" w:rsidRDefault="00830417" w:rsidP="00830417">
      <w:pPr>
        <w:pStyle w:val="Heading2"/>
        <w:numPr>
          <w:ilvl w:val="0"/>
          <w:numId w:val="3"/>
        </w:numPr>
        <w:tabs>
          <w:tab w:val="num" w:pos="0"/>
        </w:tabs>
        <w:spacing w:before="120" w:after="120" w:line="240" w:lineRule="auto"/>
        <w:ind w:left="851" w:hanging="851"/>
        <w:rPr>
          <w:rFonts w:ascii="Calibri" w:hAnsi="Calibri"/>
          <w:b/>
          <w:bCs/>
          <w:color w:val="000000" w:themeColor="text1"/>
          <w:sz w:val="24"/>
          <w:szCs w:val="24"/>
        </w:rPr>
      </w:pPr>
      <w:r w:rsidRPr="00DC1FFC">
        <w:rPr>
          <w:rFonts w:ascii="Calibri" w:hAnsi="Calibri"/>
          <w:b/>
          <w:bCs/>
          <w:color w:val="000000" w:themeColor="text1"/>
          <w:sz w:val="24"/>
          <w:szCs w:val="24"/>
        </w:rPr>
        <w:t>Selitev javnih storitev in opremljanje prostorov</w:t>
      </w:r>
    </w:p>
    <w:p w14:paraId="7B73AB3D" w14:textId="0B02CE7E" w:rsidR="00830417" w:rsidRPr="00DC6BB9" w:rsidRDefault="00830417" w:rsidP="00830417">
      <w:pPr>
        <w:pStyle w:val="Heading3"/>
        <w:spacing w:before="80" w:after="120" w:line="240" w:lineRule="auto"/>
        <w:jc w:val="left"/>
        <w:rPr>
          <w:b/>
          <w:bCs/>
          <w:caps/>
          <w:color w:val="000000" w:themeColor="text1"/>
          <w:sz w:val="24"/>
          <w:szCs w:val="24"/>
        </w:rPr>
      </w:pPr>
      <w:bookmarkStart w:id="13" w:name="_Toc185919860"/>
      <w:r w:rsidRPr="00DC6BB9">
        <w:rPr>
          <w:b/>
          <w:bCs/>
          <w:caps/>
          <w:color w:val="000000" w:themeColor="text1"/>
          <w:sz w:val="24"/>
          <w:szCs w:val="24"/>
        </w:rPr>
        <w:t>8.1</w:t>
      </w:r>
      <w:r w:rsidR="00DC6BB9">
        <w:rPr>
          <w:b/>
          <w:bCs/>
          <w:caps/>
          <w:color w:val="000000" w:themeColor="text1"/>
          <w:sz w:val="24"/>
          <w:szCs w:val="24"/>
        </w:rPr>
        <w:tab/>
        <w:t>S</w:t>
      </w:r>
      <w:r w:rsidR="00DC6BB9" w:rsidRPr="00DC6BB9">
        <w:rPr>
          <w:b/>
          <w:bCs/>
          <w:color w:val="000000" w:themeColor="text1"/>
          <w:sz w:val="24"/>
          <w:szCs w:val="24"/>
        </w:rPr>
        <w:t>elitev na nove lokacije</w:t>
      </w:r>
      <w:bookmarkEnd w:id="13"/>
    </w:p>
    <w:p w14:paraId="1F7D46D0" w14:textId="67FD3432" w:rsidR="00830417" w:rsidRPr="00DC6BB9" w:rsidRDefault="00830417" w:rsidP="00830417">
      <w:pPr>
        <w:rPr>
          <w:bCs/>
          <w:sz w:val="24"/>
          <w:szCs w:val="24"/>
        </w:rPr>
      </w:pPr>
      <w:r w:rsidRPr="00DC6BB9">
        <w:rPr>
          <w:bCs/>
          <w:sz w:val="24"/>
          <w:szCs w:val="24"/>
        </w:rPr>
        <w:t>Poglavje obravnava primere, ko se storitve in prostori v okviru Mestne občine Nova Gorica</w:t>
      </w:r>
      <w:r w:rsidR="007411E0" w:rsidRPr="00DC6BB9">
        <w:rPr>
          <w:bCs/>
          <w:sz w:val="24"/>
          <w:szCs w:val="24"/>
        </w:rPr>
        <w:t xml:space="preserve"> </w:t>
      </w:r>
      <w:r w:rsidRPr="00DC6BB9">
        <w:rPr>
          <w:bCs/>
          <w:sz w:val="24"/>
          <w:szCs w:val="24"/>
        </w:rPr>
        <w:t xml:space="preserve">(ter vseh organov in javnih podjetij, katerih (so)-ustanoviteljica je MONG in koncesionarji katerim je občina prenesla s koncesijo določene naloge) selijo na nove lokacije zaradi neustreznosti starih prostorov ali širitve dejavnosti. Enak postopek je </w:t>
      </w:r>
      <w:r w:rsidRPr="00DC6BB9">
        <w:rPr>
          <w:bCs/>
          <w:sz w:val="24"/>
          <w:szCs w:val="24"/>
        </w:rPr>
        <w:lastRenderedPageBreak/>
        <w:t>predviden tudi za primere, ko gre za vzpostavljanje novih storitev in prostorov, do katerih dostopa širša javnost:</w:t>
      </w:r>
    </w:p>
    <w:p w14:paraId="24125296" w14:textId="77777777" w:rsidR="00830417" w:rsidRPr="009E7DBB" w:rsidRDefault="00830417" w:rsidP="00DC1FFC">
      <w:pPr>
        <w:pStyle w:val="ListParagraph"/>
        <w:numPr>
          <w:ilvl w:val="0"/>
          <w:numId w:val="11"/>
        </w:numPr>
      </w:pPr>
      <w:r w:rsidRPr="009E7DBB">
        <w:t>Nosilec naloge poišče prostor oz. sestavi seznam možnih prostorov, v katere se lahko storitev preseli glede na velikost in druge zahteve, ki jih mora izpolnjevati. To so lahko prostori, ki so že v lasti MONG, tisti, ki jih MONG lahko najame ali so naprodaj.</w:t>
      </w:r>
    </w:p>
    <w:p w14:paraId="6DF700BB" w14:textId="77777777" w:rsidR="00830417" w:rsidRPr="009E7DBB" w:rsidRDefault="00830417" w:rsidP="00DC1FFC">
      <w:pPr>
        <w:pStyle w:val="ListParagraph"/>
        <w:numPr>
          <w:ilvl w:val="0"/>
          <w:numId w:val="11"/>
        </w:numPr>
      </w:pPr>
      <w:r w:rsidRPr="009E7DBB">
        <w:t xml:space="preserve">Pred nakupom/najemom/selitvijo nosilec naloge preveri, kako je prostor povezan s potmi višje stopnje dostopnosti v SND. Če se nahaja v bližini mreže poti prve stopnje dostopnosti (oziroma če se nahaja v bližini avtobusnih postajališč, ko gre za lokacijo izven območij obravnavanih v grafični prilogi SND), lahko oceni, da je njegova lokacija primerna. </w:t>
      </w:r>
    </w:p>
    <w:p w14:paraId="37E407A3" w14:textId="77777777" w:rsidR="00830417" w:rsidRPr="009E7DBB" w:rsidRDefault="00830417" w:rsidP="00DC1FFC">
      <w:pPr>
        <w:pStyle w:val="ListParagraph"/>
        <w:numPr>
          <w:ilvl w:val="0"/>
          <w:numId w:val="11"/>
        </w:numPr>
      </w:pPr>
      <w:r w:rsidRPr="009E7DBB">
        <w:t>Nosilec naloge izvede hitro presojo dostopnosti izbranega prostora</w:t>
      </w:r>
      <w:r>
        <w:t xml:space="preserve"> </w:t>
      </w:r>
      <w:r w:rsidRPr="009E7DBB">
        <w:t xml:space="preserve">in oceni, ali je prostor ustrezen, oziroma navede ukrepe, ki bi jih bilo potrebno izvesti pred selitvijo, da bo lahko dostopen širši javnosti. Če oceni, da je za zagotovitev dostopnosti potrebnih preveč prilagoditev in s tem povezanih stroškov, ga odstrani s seznama primernih prostorov. V nekaterih primerih se lahko tudi ugotovi, da je prostor za večino ljudi sprejemljiv, za nekatere skupine pa bo storitev morala potekati na daljavo ali pa bo potrebno predvideti drugačne oblike pomoči (npr. zvonec za priklic osebja ipd.). Če se po posvetu s predstavnikom </w:t>
      </w:r>
      <w:r w:rsidRPr="00A27C26">
        <w:rPr>
          <w:i/>
          <w:iCs/>
        </w:rPr>
        <w:t>Sveta za invalide</w:t>
      </w:r>
      <w:r w:rsidRPr="009E7DBB">
        <w:t xml:space="preserve"> ugotovi, da je to dovolj dobro, potem lahko sprejme pozitivno mnenje, v katerem opiše kakšne alternativne rešitve je treba zagotoviti samo za tisto skupino.</w:t>
      </w:r>
    </w:p>
    <w:p w14:paraId="4205BBE0" w14:textId="77777777" w:rsidR="00830417" w:rsidRPr="009E7DBB" w:rsidRDefault="00830417" w:rsidP="00DC1FFC">
      <w:pPr>
        <w:pStyle w:val="ListParagraph"/>
        <w:numPr>
          <w:ilvl w:val="0"/>
          <w:numId w:val="11"/>
        </w:numPr>
      </w:pPr>
      <w:r w:rsidRPr="009E7DBB">
        <w:t xml:space="preserve">Če je odločeno, da bi bila stavba primerna po izvedbi določenih ukrepov za izboljšanje in gre stavbo, ki bi jo občina želela najeti, nosilec naloge preveri pri lastniku, ali je mogoče te ukrepe izvesti. Če se lastnik z izvedbo ukrepov ne strinja, nosilec naloge prostor odstrani s seznama. </w:t>
      </w:r>
    </w:p>
    <w:p w14:paraId="71055B09" w14:textId="77777777" w:rsidR="00830417" w:rsidRPr="009E7DBB" w:rsidRDefault="00830417" w:rsidP="00DC1FFC">
      <w:pPr>
        <w:pStyle w:val="ListParagraph"/>
        <w:numPr>
          <w:ilvl w:val="0"/>
          <w:numId w:val="11"/>
        </w:numPr>
      </w:pPr>
      <w:r w:rsidRPr="009E7DBB">
        <w:t xml:space="preserve">Nosilec naloge spremlja postopek izvedbe ukrepov in preverja, ali so bili upoštevani vsi ukrepi. Če gre za ukrepe, ki vsebujejo prilagoditev storitev, mora te ukrepe in njihovo obveznost izvajanja navesti v zadevo in jih posredovati izvajalcu storitve. </w:t>
      </w:r>
    </w:p>
    <w:p w14:paraId="3B3350C7" w14:textId="641FC875" w:rsidR="00830417" w:rsidRPr="00DC6BB9" w:rsidRDefault="00830417" w:rsidP="00830417">
      <w:pPr>
        <w:pStyle w:val="Heading3"/>
        <w:spacing w:before="80" w:after="120" w:line="240" w:lineRule="auto"/>
        <w:jc w:val="left"/>
        <w:rPr>
          <w:b/>
          <w:bCs/>
          <w:caps/>
          <w:color w:val="000000" w:themeColor="text1"/>
          <w:sz w:val="24"/>
          <w:szCs w:val="24"/>
        </w:rPr>
      </w:pPr>
      <w:bookmarkStart w:id="14" w:name="_Toc185919861"/>
      <w:r w:rsidRPr="00DC6BB9">
        <w:rPr>
          <w:b/>
          <w:bCs/>
          <w:caps/>
          <w:color w:val="000000" w:themeColor="text1"/>
          <w:sz w:val="24"/>
          <w:szCs w:val="24"/>
        </w:rPr>
        <w:t xml:space="preserve">8.2 </w:t>
      </w:r>
      <w:r w:rsidR="00DC6BB9">
        <w:rPr>
          <w:b/>
          <w:bCs/>
          <w:caps/>
          <w:color w:val="000000" w:themeColor="text1"/>
          <w:sz w:val="24"/>
          <w:szCs w:val="24"/>
        </w:rPr>
        <w:tab/>
      </w:r>
      <w:r w:rsidR="00DC6BB9">
        <w:rPr>
          <w:b/>
          <w:bCs/>
          <w:color w:val="000000" w:themeColor="text1"/>
          <w:sz w:val="24"/>
          <w:szCs w:val="24"/>
        </w:rPr>
        <w:t>O</w:t>
      </w:r>
      <w:r w:rsidR="00DC6BB9" w:rsidRPr="00DC6BB9">
        <w:rPr>
          <w:b/>
          <w:bCs/>
          <w:color w:val="000000" w:themeColor="text1"/>
          <w:sz w:val="24"/>
          <w:szCs w:val="24"/>
        </w:rPr>
        <w:t>premljanje prostorov</w:t>
      </w:r>
      <w:bookmarkEnd w:id="14"/>
      <w:r w:rsidR="00DC6BB9" w:rsidRPr="00DC6BB9">
        <w:rPr>
          <w:b/>
          <w:bCs/>
          <w:color w:val="000000" w:themeColor="text1"/>
          <w:sz w:val="24"/>
          <w:szCs w:val="24"/>
        </w:rPr>
        <w:t xml:space="preserve"> </w:t>
      </w:r>
    </w:p>
    <w:p w14:paraId="6570CABD" w14:textId="00CC5DB3" w:rsidR="00830417" w:rsidRPr="00DC6BB9" w:rsidRDefault="00830417" w:rsidP="00830417">
      <w:pPr>
        <w:rPr>
          <w:bCs/>
          <w:sz w:val="24"/>
          <w:szCs w:val="24"/>
        </w:rPr>
      </w:pPr>
      <w:r w:rsidRPr="00DC6BB9">
        <w:rPr>
          <w:bCs/>
          <w:sz w:val="24"/>
          <w:szCs w:val="24"/>
        </w:rPr>
        <w:t>Poglavje obravnava opremljanje prostorov Mestne občine Nova Gorica (ter vseh organov in javnih podjetij, katerih (so)-ustanoviteljica je MONG in koncesionarji katerim je občina prenesla s koncesijo določene naloge). Aktivnosti, ki jih mora izvesti nosilec naloge v primerih nabave in postavitve opreme (npr. pohištva, oglasnih in informacijskih panojev, pametne opreme, ki je namenjena uporabi javnosti itd.)  v prostorih, do katerih dostopa širša javnost:</w:t>
      </w:r>
    </w:p>
    <w:p w14:paraId="331E99BD" w14:textId="77777777" w:rsidR="00830417" w:rsidRPr="009E7DBB" w:rsidRDefault="00830417" w:rsidP="00DC1FFC">
      <w:pPr>
        <w:pStyle w:val="ListParagraph"/>
        <w:numPr>
          <w:ilvl w:val="0"/>
          <w:numId w:val="10"/>
        </w:numPr>
      </w:pPr>
      <w:r w:rsidRPr="009E7DBB">
        <w:t>Nosilec naloge pred naročilom opreme preveri ali oprema</w:t>
      </w:r>
      <w:r>
        <w:t>:</w:t>
      </w:r>
    </w:p>
    <w:p w14:paraId="37FCC2C6" w14:textId="3A2F1FAC" w:rsidR="00830417" w:rsidRPr="00830417" w:rsidRDefault="00830417" w:rsidP="00DC6BB9">
      <w:pPr>
        <w:pStyle w:val="ListParagraph2"/>
        <w:ind w:left="1276"/>
      </w:pPr>
      <w:r w:rsidRPr="00830417">
        <w:lastRenderedPageBreak/>
        <w:t>ne ovira uporabnikov (ne posega v prostor, ne predstavlja nevarnosti za spotikanje, je dosegljiva z vozička, je jasno zaznavna v dobrem kontrastu z okolico, v kateri je postavljena, ne povzroča bleščanja) in</w:t>
      </w:r>
    </w:p>
    <w:p w14:paraId="76C8FAF8" w14:textId="4AA49CC7" w:rsidR="00830417" w:rsidRPr="00830417" w:rsidRDefault="00830417" w:rsidP="00DC6BB9">
      <w:pPr>
        <w:pStyle w:val="ListParagraph2"/>
        <w:ind w:left="1276" w:hanging="425"/>
      </w:pPr>
      <w:r w:rsidRPr="00830417">
        <w:t>zagotavlja preprosto uporabo (je razumljiva, intuitivna, uporabna brez posebnih navodil, omogoča uporabo tudi z eno roko, tako stoje kot z vozička).</w:t>
      </w:r>
    </w:p>
    <w:p w14:paraId="17510285" w14:textId="77777777" w:rsidR="00830417" w:rsidRPr="009E7DBB" w:rsidRDefault="00830417" w:rsidP="00DC1FFC">
      <w:pPr>
        <w:pStyle w:val="ListParagraph"/>
        <w:numPr>
          <w:ilvl w:val="0"/>
          <w:numId w:val="10"/>
        </w:numPr>
      </w:pPr>
      <w:r w:rsidRPr="009E7DBB">
        <w:t xml:space="preserve">V primeru naročila informacijskih panojev in druge pametne opreme, ki je na voljo javnosti, mora njeno ustreznost za vse tipe funkcionalnih oviranosti preveriti pri ponudnikih. V kolikor je v dvomih, naj se posvetuje s predstavnikom Sveta za invalide. </w:t>
      </w:r>
    </w:p>
    <w:p w14:paraId="25B289EE" w14:textId="19DA56B3" w:rsidR="00830417" w:rsidRPr="00830417" w:rsidRDefault="00830417" w:rsidP="00830417">
      <w:pPr>
        <w:pStyle w:val="Heading3"/>
        <w:spacing w:before="80" w:after="120" w:line="240" w:lineRule="auto"/>
        <w:jc w:val="left"/>
        <w:rPr>
          <w:caps/>
          <w:color w:val="000000" w:themeColor="text1"/>
        </w:rPr>
      </w:pPr>
    </w:p>
    <w:p w14:paraId="055157AD" w14:textId="01EA8982" w:rsidR="00830417" w:rsidRPr="0030036A" w:rsidRDefault="00830417" w:rsidP="0030036A">
      <w:pPr>
        <w:pStyle w:val="Heading2"/>
        <w:numPr>
          <w:ilvl w:val="0"/>
          <w:numId w:val="3"/>
        </w:numPr>
        <w:tabs>
          <w:tab w:val="num" w:pos="0"/>
        </w:tabs>
        <w:spacing w:before="120" w:after="120" w:line="240" w:lineRule="auto"/>
        <w:ind w:left="851" w:hanging="851"/>
        <w:rPr>
          <w:rFonts w:ascii="Calibri" w:hAnsi="Calibri"/>
          <w:b/>
          <w:bCs/>
          <w:color w:val="000000" w:themeColor="text1"/>
          <w:sz w:val="24"/>
          <w:szCs w:val="24"/>
        </w:rPr>
      </w:pPr>
      <w:r w:rsidRPr="0030036A">
        <w:rPr>
          <w:rFonts w:ascii="Calibri" w:hAnsi="Calibri"/>
          <w:b/>
          <w:bCs/>
          <w:color w:val="000000" w:themeColor="text1"/>
          <w:sz w:val="24"/>
          <w:szCs w:val="24"/>
        </w:rPr>
        <w:t>Redarske in inšpekcijske službe</w:t>
      </w:r>
    </w:p>
    <w:p w14:paraId="5A953681" w14:textId="77777777" w:rsidR="00830417" w:rsidRPr="00830417" w:rsidRDefault="00830417" w:rsidP="0030036A">
      <w:pPr>
        <w:pStyle w:val="ListParagraph"/>
        <w:numPr>
          <w:ilvl w:val="0"/>
          <w:numId w:val="8"/>
        </w:numPr>
      </w:pPr>
      <w:r w:rsidRPr="00830417">
        <w:t xml:space="preserve">Zaposleni se seznanijo s SND MONG ter preučijo smernice, ki so pomembne za izvajanje njihovih nalog. </w:t>
      </w:r>
    </w:p>
    <w:p w14:paraId="2958E80E" w14:textId="42BC7043" w:rsidR="00830417" w:rsidRPr="00352CD7" w:rsidRDefault="003A0E17" w:rsidP="0030036A">
      <w:pPr>
        <w:pStyle w:val="ListParagraph"/>
        <w:numPr>
          <w:ilvl w:val="0"/>
          <w:numId w:val="8"/>
        </w:numPr>
      </w:pPr>
      <w:r>
        <w:t>Občinski r</w:t>
      </w:r>
      <w:r w:rsidR="00830417">
        <w:t>edarji</w:t>
      </w:r>
      <w:r w:rsidR="00830417" w:rsidRPr="00352CD7">
        <w:t xml:space="preserve"> </w:t>
      </w:r>
      <w:r w:rsidR="00830417">
        <w:t xml:space="preserve">glede na </w:t>
      </w:r>
      <w:r w:rsidR="00830417" w:rsidRPr="00352CD7">
        <w:t>SND</w:t>
      </w:r>
      <w:r w:rsidR="00830417">
        <w:t xml:space="preserve"> MONG</w:t>
      </w:r>
      <w:r w:rsidR="00830417" w:rsidRPr="00352CD7">
        <w:t xml:space="preserve"> </w:t>
      </w:r>
      <w:r w:rsidR="00830417">
        <w:t>delujejo</w:t>
      </w:r>
      <w:r w:rsidR="00830417" w:rsidRPr="00352CD7">
        <w:t xml:space="preserve"> tako, da svoj nadzor poostrijo na poteh višje stopnje dostopnosti in avtobusnih postajališčih</w:t>
      </w:r>
      <w:r w:rsidR="00086AFD">
        <w:rPr>
          <w:rStyle w:val="FootnoteReference"/>
        </w:rPr>
        <w:footnoteReference w:id="3"/>
      </w:r>
      <w:r w:rsidR="00E01921">
        <w:t xml:space="preserve"> (Priloga 5)</w:t>
      </w:r>
      <w:r w:rsidR="00830417" w:rsidRPr="00352CD7">
        <w:t xml:space="preserve">. Pri tem se osredotočijo na to, da preverjajo pretočnost pešpoti s: </w:t>
      </w:r>
    </w:p>
    <w:p w14:paraId="52CB17DC" w14:textId="77777777" w:rsidR="00830417" w:rsidRPr="00352CD7" w:rsidRDefault="00830417" w:rsidP="0030036A">
      <w:pPr>
        <w:pStyle w:val="ListParagraph2"/>
        <w:ind w:left="1276"/>
      </w:pPr>
      <w:r w:rsidRPr="00352CD7">
        <w:t xml:space="preserve">kaznovanjem nepravilnega parkiranja na površinah za pešce in </w:t>
      </w:r>
      <w:r>
        <w:t>parkirnih mestih rezerviranih za vozila invalidov</w:t>
      </w:r>
      <w:r w:rsidRPr="00352CD7">
        <w:t xml:space="preserve">, </w:t>
      </w:r>
    </w:p>
    <w:p w14:paraId="545F244B" w14:textId="77777777" w:rsidR="00830417" w:rsidRPr="00352CD7" w:rsidRDefault="00830417" w:rsidP="0030036A">
      <w:pPr>
        <w:pStyle w:val="ListParagraph2"/>
        <w:ind w:left="1276"/>
      </w:pPr>
      <w:r w:rsidRPr="00352CD7">
        <w:t xml:space="preserve">opozarjanjem na </w:t>
      </w:r>
      <w:r>
        <w:t>parkiranje</w:t>
      </w:r>
      <w:r w:rsidRPr="00352CD7">
        <w:t xml:space="preserve"> koles in drugih vozil na poteh (izvedba ozaveščevalnih akcij).</w:t>
      </w:r>
    </w:p>
    <w:p w14:paraId="61003520" w14:textId="39EBF22D" w:rsidR="00830417" w:rsidRPr="00352CD7" w:rsidRDefault="00830417" w:rsidP="0030036A">
      <w:pPr>
        <w:pStyle w:val="ListParagraph"/>
        <w:numPr>
          <w:ilvl w:val="0"/>
          <w:numId w:val="8"/>
        </w:numPr>
      </w:pPr>
      <w:r w:rsidRPr="00352CD7">
        <w:t>Inšpektorji</w:t>
      </w:r>
      <w:r>
        <w:t xml:space="preserve"> glede na</w:t>
      </w:r>
      <w:r w:rsidRPr="00352CD7">
        <w:t xml:space="preserve"> SND</w:t>
      </w:r>
      <w:r>
        <w:t xml:space="preserve"> MONG</w:t>
      </w:r>
      <w:r w:rsidRPr="00352CD7">
        <w:t xml:space="preserve"> </w:t>
      </w:r>
      <w:r>
        <w:t xml:space="preserve">poostrijo </w:t>
      </w:r>
      <w:r w:rsidRPr="00352CD7">
        <w:t>nadzor na poteh višje stopnje dostopnosti in avtobusnih postajališčih</w:t>
      </w:r>
      <w:r w:rsidR="00045FBE" w:rsidRPr="00172F3C">
        <w:t>*</w:t>
      </w:r>
      <w:r w:rsidR="00E01921">
        <w:t xml:space="preserve"> (Priloga 5)</w:t>
      </w:r>
      <w:r w:rsidRPr="00352CD7">
        <w:t>. Pri tem se osredotočijo na to, da preverjajo pretočnost pešpoti z:</w:t>
      </w:r>
    </w:p>
    <w:p w14:paraId="6002EB55" w14:textId="77777777" w:rsidR="00830417" w:rsidRPr="00352CD7" w:rsidRDefault="00830417" w:rsidP="0030036A">
      <w:pPr>
        <w:pStyle w:val="ListParagraph2"/>
        <w:ind w:left="1276"/>
      </w:pPr>
      <w:r w:rsidRPr="00352CD7">
        <w:t xml:space="preserve">nadzori nad namestitvijo gostinskih vrtov in njihovim širjenjem izven določenih meja, </w:t>
      </w:r>
    </w:p>
    <w:p w14:paraId="6B0B0C7E" w14:textId="77777777" w:rsidR="00830417" w:rsidRDefault="00830417" w:rsidP="0030036A">
      <w:pPr>
        <w:pStyle w:val="ListParagraph2"/>
        <w:ind w:left="1276"/>
      </w:pPr>
      <w:r w:rsidRPr="00352CD7">
        <w:t>nadzori nad območji, kjer se izvajajo dela in so površine za pešce deloma ali v celoti zaprte</w:t>
      </w:r>
      <w:r>
        <w:t>,</w:t>
      </w:r>
      <w:r w:rsidRPr="00352CD7">
        <w:t xml:space="preserve"> </w:t>
      </w:r>
    </w:p>
    <w:p w14:paraId="21EB3E34" w14:textId="77777777" w:rsidR="00830417" w:rsidRDefault="00830417" w:rsidP="0030036A">
      <w:pPr>
        <w:pStyle w:val="ListParagraph2"/>
        <w:ind w:left="1276"/>
      </w:pPr>
      <w:r w:rsidRPr="00352CD7">
        <w:t xml:space="preserve">nadzori nad neprimernim postavljanjem </w:t>
      </w:r>
      <w:r>
        <w:t xml:space="preserve">urbane </w:t>
      </w:r>
      <w:r w:rsidRPr="00352CD7">
        <w:t>opreme kot so cvetlična korita, oglasne table</w:t>
      </w:r>
      <w:r>
        <w:t xml:space="preserve"> ter </w:t>
      </w:r>
      <w:r w:rsidRPr="00352CD7">
        <w:t xml:space="preserve">ostalih ovir </w:t>
      </w:r>
      <w:r>
        <w:t>na</w:t>
      </w:r>
      <w:r w:rsidRPr="00352CD7">
        <w:t xml:space="preserve"> površin za pešce (npr. zabojniki za odpadke, </w:t>
      </w:r>
      <w:r>
        <w:t>drevnina, ki sega na pločnik</w:t>
      </w:r>
      <w:r w:rsidRPr="00352CD7">
        <w:t>)</w:t>
      </w:r>
      <w:r>
        <w:t xml:space="preserve"> ter</w:t>
      </w:r>
    </w:p>
    <w:p w14:paraId="5C1ECBDA" w14:textId="12191D7A" w:rsidR="00830417" w:rsidRPr="008924EE" w:rsidRDefault="00830417" w:rsidP="0030036A">
      <w:pPr>
        <w:pStyle w:val="ListParagraph2"/>
        <w:ind w:left="1276"/>
      </w:pPr>
      <w:r>
        <w:t xml:space="preserve">preverjanjem oznak na gradbiščih in opozarjanjem izvajalcev, ki nimajo ustrezno zavarovanih delovišč, na katere lahko zaidejo mimoidoči in se poškodujejo itd.  </w:t>
      </w:r>
    </w:p>
    <w:p w14:paraId="7D9A249F" w14:textId="77777777" w:rsidR="00830417" w:rsidRDefault="00830417"/>
    <w:p w14:paraId="6F37857F" w14:textId="45A17368" w:rsidR="00490749" w:rsidRPr="000D64AE" w:rsidRDefault="00246B5D" w:rsidP="000D64AE">
      <w:pPr>
        <w:pStyle w:val="Heading2"/>
        <w:numPr>
          <w:ilvl w:val="0"/>
          <w:numId w:val="3"/>
        </w:numPr>
        <w:tabs>
          <w:tab w:val="num" w:pos="0"/>
        </w:tabs>
        <w:spacing w:before="120" w:after="120" w:line="240" w:lineRule="auto"/>
        <w:ind w:left="851" w:hanging="851"/>
        <w:rPr>
          <w:rFonts w:ascii="Calibri" w:hAnsi="Calibri"/>
          <w:b/>
          <w:bCs/>
          <w:color w:val="000000" w:themeColor="text1"/>
          <w:sz w:val="24"/>
          <w:szCs w:val="24"/>
        </w:rPr>
      </w:pPr>
      <w:r w:rsidRPr="000D64AE">
        <w:rPr>
          <w:rFonts w:ascii="Calibri" w:hAnsi="Calibri"/>
          <w:b/>
          <w:bCs/>
          <w:color w:val="000000" w:themeColor="text1"/>
          <w:sz w:val="24"/>
          <w:szCs w:val="24"/>
        </w:rPr>
        <w:lastRenderedPageBreak/>
        <w:t xml:space="preserve">Zbiranje pobud za določitev </w:t>
      </w:r>
      <w:r w:rsidR="00B14929" w:rsidRPr="000D64AE">
        <w:rPr>
          <w:rFonts w:ascii="Calibri" w:hAnsi="Calibri"/>
          <w:b/>
          <w:bCs/>
          <w:color w:val="000000" w:themeColor="text1"/>
          <w:sz w:val="24"/>
          <w:szCs w:val="24"/>
        </w:rPr>
        <w:t xml:space="preserve">dodatnih </w:t>
      </w:r>
      <w:r w:rsidRPr="000D64AE">
        <w:rPr>
          <w:rFonts w:ascii="Calibri" w:hAnsi="Calibri"/>
          <w:b/>
          <w:bCs/>
          <w:color w:val="000000" w:themeColor="text1"/>
          <w:sz w:val="24"/>
          <w:szCs w:val="24"/>
        </w:rPr>
        <w:t>objektov</w:t>
      </w:r>
      <w:r w:rsidR="000D64AE">
        <w:rPr>
          <w:rFonts w:ascii="Calibri" w:hAnsi="Calibri"/>
          <w:b/>
          <w:bCs/>
          <w:color w:val="000000" w:themeColor="text1"/>
          <w:sz w:val="24"/>
          <w:szCs w:val="24"/>
        </w:rPr>
        <w:t>/</w:t>
      </w:r>
      <w:r w:rsidRPr="000D64AE">
        <w:rPr>
          <w:rFonts w:ascii="Calibri" w:hAnsi="Calibri"/>
          <w:b/>
          <w:bCs/>
          <w:color w:val="000000" w:themeColor="text1"/>
          <w:sz w:val="24"/>
          <w:szCs w:val="24"/>
        </w:rPr>
        <w:t xml:space="preserve"> poti v višjo stopnjo dostopnosti</w:t>
      </w:r>
    </w:p>
    <w:p w14:paraId="7E7380FD" w14:textId="77777777" w:rsidR="00246B5D" w:rsidRDefault="00246B5D" w:rsidP="000D64AE">
      <w:pPr>
        <w:pStyle w:val="ListParagraph"/>
        <w:numPr>
          <w:ilvl w:val="0"/>
          <w:numId w:val="8"/>
        </w:numPr>
      </w:pPr>
      <w:r>
        <w:t xml:space="preserve">Služba za okolje in prostor je zadolžena za zbiranje pobud za umestitev objektov v višjo stopnjo dostopnosti. </w:t>
      </w:r>
    </w:p>
    <w:p w14:paraId="31B473C0" w14:textId="76BABFE0" w:rsidR="00246B5D" w:rsidRDefault="00127A88" w:rsidP="000D64AE">
      <w:pPr>
        <w:pStyle w:val="ListParagraph"/>
        <w:numPr>
          <w:ilvl w:val="0"/>
          <w:numId w:val="8"/>
        </w:numPr>
      </w:pPr>
      <w:r>
        <w:t xml:space="preserve">Ko dobi pobudo za umestitev objekta ali povezave v višjo stopnjo dostopnosti, jo zapiše v seznam. </w:t>
      </w:r>
      <w:r w:rsidR="00F752FA">
        <w:t xml:space="preserve">Seznam </w:t>
      </w:r>
      <w:r w:rsidR="002D7E09">
        <w:t xml:space="preserve">enkrat letno </w:t>
      </w:r>
      <w:r w:rsidR="00F752FA">
        <w:t>obravnava Svet za invalide (npr. ob sprejemanju letnega poročila).</w:t>
      </w:r>
      <w:r w:rsidR="002D7E09">
        <w:t xml:space="preserve"> Po odločitvi, ali so </w:t>
      </w:r>
      <w:r w:rsidR="00B14929">
        <w:t>objekti/poti/območja</w:t>
      </w:r>
      <w:r w:rsidR="002D7E09">
        <w:t xml:space="preserve"> primern</w:t>
      </w:r>
      <w:r w:rsidR="00B14929">
        <w:t>i</w:t>
      </w:r>
      <w:r w:rsidR="002D7E09">
        <w:t xml:space="preserve"> za vpis v </w:t>
      </w:r>
      <w:r w:rsidR="00B14929">
        <w:t xml:space="preserve">SND, se poti/objekte doda na portal. </w:t>
      </w:r>
    </w:p>
    <w:p w14:paraId="585F0756" w14:textId="07980D53" w:rsidR="002703C5" w:rsidRPr="002703C5" w:rsidRDefault="002703C5" w:rsidP="00BA6C0A">
      <w:pPr>
        <w:pStyle w:val="Heading2"/>
        <w:spacing w:before="120" w:after="120" w:line="240" w:lineRule="auto"/>
        <w:ind w:left="0"/>
        <w:rPr>
          <w:rFonts w:ascii="Calibri" w:hAnsi="Calibri"/>
          <w:color w:val="000000" w:themeColor="text1"/>
          <w:sz w:val="36"/>
          <w:szCs w:val="36"/>
        </w:rPr>
      </w:pPr>
    </w:p>
    <w:p w14:paraId="04C4A813" w14:textId="77777777" w:rsidR="00246B5D" w:rsidRDefault="00246B5D" w:rsidP="00246B5D">
      <w:pPr>
        <w:ind w:left="0"/>
      </w:pPr>
    </w:p>
    <w:p w14:paraId="7B75316C" w14:textId="6D95B0DF" w:rsidR="001F6D5C" w:rsidRDefault="00674C7F" w:rsidP="00396A8D">
      <w:pPr>
        <w:spacing w:line="278" w:lineRule="auto"/>
        <w:ind w:left="0"/>
        <w:jc w:val="left"/>
      </w:pPr>
      <w:r>
        <w:br w:type="page"/>
      </w:r>
      <w:r>
        <w:lastRenderedPageBreak/>
        <w:t xml:space="preserve">Preglednica 1: </w:t>
      </w:r>
      <w:r w:rsidR="00396A8D">
        <w:t>Naloge akcijskega načrta dostopnosti in n</w:t>
      </w:r>
      <w:r>
        <w:t>osilci nal</w:t>
      </w:r>
      <w:r w:rsidR="00396A8D">
        <w:t xml:space="preserve">og </w:t>
      </w:r>
    </w:p>
    <w:tbl>
      <w:tblPr>
        <w:tblStyle w:val="TableGrid"/>
        <w:tblW w:w="0" w:type="auto"/>
        <w:tblLook w:val="04A0" w:firstRow="1" w:lastRow="0" w:firstColumn="1" w:lastColumn="0" w:noHBand="0" w:noVBand="1"/>
      </w:tblPr>
      <w:tblGrid>
        <w:gridCol w:w="926"/>
        <w:gridCol w:w="4721"/>
        <w:gridCol w:w="3415"/>
      </w:tblGrid>
      <w:tr w:rsidR="00AC0FC2" w:rsidRPr="00AC0FC2" w14:paraId="2039BEF7" w14:textId="77777777" w:rsidTr="00AC0FC2">
        <w:trPr>
          <w:trHeight w:val="287"/>
        </w:trPr>
        <w:tc>
          <w:tcPr>
            <w:tcW w:w="926" w:type="dxa"/>
            <w:noWrap/>
            <w:hideMark/>
          </w:tcPr>
          <w:p w14:paraId="03D06A19" w14:textId="77777777" w:rsidR="00AC0FC2" w:rsidRPr="00AC0FC2" w:rsidRDefault="00AC0FC2" w:rsidP="00AC0FC2">
            <w:pPr>
              <w:spacing w:line="278" w:lineRule="auto"/>
              <w:ind w:left="0"/>
              <w:jc w:val="left"/>
            </w:pPr>
          </w:p>
        </w:tc>
        <w:tc>
          <w:tcPr>
            <w:tcW w:w="4721" w:type="dxa"/>
            <w:noWrap/>
            <w:hideMark/>
          </w:tcPr>
          <w:p w14:paraId="6D82FC46" w14:textId="77777777" w:rsidR="00AC0FC2" w:rsidRPr="00AC0FC2" w:rsidRDefault="00AC0FC2" w:rsidP="00AC0FC2">
            <w:pPr>
              <w:spacing w:line="278" w:lineRule="auto"/>
              <w:ind w:left="0"/>
              <w:jc w:val="left"/>
            </w:pPr>
            <w:r w:rsidRPr="00AC0FC2">
              <w:t xml:space="preserve">NALOGA </w:t>
            </w:r>
          </w:p>
        </w:tc>
        <w:tc>
          <w:tcPr>
            <w:tcW w:w="3415" w:type="dxa"/>
            <w:noWrap/>
            <w:hideMark/>
          </w:tcPr>
          <w:p w14:paraId="5514F64D" w14:textId="77777777" w:rsidR="00AC0FC2" w:rsidRPr="00AC0FC2" w:rsidRDefault="00AC0FC2" w:rsidP="00AC0FC2">
            <w:pPr>
              <w:spacing w:line="278" w:lineRule="auto"/>
              <w:ind w:left="0"/>
              <w:jc w:val="left"/>
            </w:pPr>
            <w:r w:rsidRPr="00AC0FC2">
              <w:t>ODDELEK /NOSILEC NALOGE</w:t>
            </w:r>
          </w:p>
        </w:tc>
      </w:tr>
      <w:tr w:rsidR="00AC0FC2" w:rsidRPr="00AC0FC2" w14:paraId="5296417D" w14:textId="77777777" w:rsidTr="00AC0FC2">
        <w:trPr>
          <w:trHeight w:val="287"/>
        </w:trPr>
        <w:tc>
          <w:tcPr>
            <w:tcW w:w="926" w:type="dxa"/>
            <w:noWrap/>
            <w:hideMark/>
          </w:tcPr>
          <w:p w14:paraId="625FDF26" w14:textId="77777777" w:rsidR="00AC0FC2" w:rsidRPr="00AC0FC2" w:rsidRDefault="00AC0FC2" w:rsidP="00AC0FC2">
            <w:pPr>
              <w:spacing w:line="278" w:lineRule="auto"/>
              <w:ind w:left="0"/>
              <w:jc w:val="left"/>
            </w:pPr>
            <w:r w:rsidRPr="00AC0FC2">
              <w:t>1</w:t>
            </w:r>
          </w:p>
        </w:tc>
        <w:tc>
          <w:tcPr>
            <w:tcW w:w="4721" w:type="dxa"/>
            <w:noWrap/>
            <w:hideMark/>
          </w:tcPr>
          <w:p w14:paraId="13009158" w14:textId="77777777" w:rsidR="00AC0FC2" w:rsidRPr="00AC0FC2" w:rsidRDefault="00AC0FC2" w:rsidP="00AC0FC2">
            <w:pPr>
              <w:spacing w:line="278" w:lineRule="auto"/>
              <w:ind w:left="0"/>
              <w:jc w:val="left"/>
              <w:rPr>
                <w:b/>
                <w:bCs/>
              </w:rPr>
            </w:pPr>
            <w:r w:rsidRPr="00AC0FC2">
              <w:rPr>
                <w:b/>
                <w:bCs/>
              </w:rPr>
              <w:t>Priprava strateških in drugih temeljnih dokumentov</w:t>
            </w:r>
          </w:p>
        </w:tc>
        <w:tc>
          <w:tcPr>
            <w:tcW w:w="3415" w:type="dxa"/>
            <w:noWrap/>
            <w:hideMark/>
          </w:tcPr>
          <w:p w14:paraId="17D49CF6" w14:textId="77777777" w:rsidR="00AC0FC2" w:rsidRPr="00AC0FC2" w:rsidRDefault="00AC0FC2" w:rsidP="00AC0FC2">
            <w:pPr>
              <w:spacing w:line="278" w:lineRule="auto"/>
              <w:ind w:left="0"/>
              <w:jc w:val="left"/>
              <w:rPr>
                <w:b/>
                <w:bCs/>
              </w:rPr>
            </w:pPr>
          </w:p>
        </w:tc>
      </w:tr>
      <w:tr w:rsidR="00AC0FC2" w:rsidRPr="00AC0FC2" w14:paraId="616B0C11" w14:textId="77777777" w:rsidTr="00AC0FC2">
        <w:trPr>
          <w:trHeight w:val="1720"/>
        </w:trPr>
        <w:tc>
          <w:tcPr>
            <w:tcW w:w="926" w:type="dxa"/>
            <w:noWrap/>
            <w:hideMark/>
          </w:tcPr>
          <w:p w14:paraId="695B341F" w14:textId="77777777" w:rsidR="00AC0FC2" w:rsidRPr="00AC0FC2" w:rsidRDefault="00AC0FC2" w:rsidP="00AC0FC2">
            <w:pPr>
              <w:spacing w:line="278" w:lineRule="auto"/>
              <w:ind w:left="0"/>
              <w:jc w:val="left"/>
            </w:pPr>
            <w:r w:rsidRPr="00AC0FC2">
              <w:t>1.1</w:t>
            </w:r>
          </w:p>
        </w:tc>
        <w:tc>
          <w:tcPr>
            <w:tcW w:w="4721" w:type="dxa"/>
            <w:hideMark/>
          </w:tcPr>
          <w:p w14:paraId="6AEB6FB0" w14:textId="77777777" w:rsidR="00AC0FC2" w:rsidRPr="00AC0FC2" w:rsidRDefault="00AC0FC2" w:rsidP="00AC0FC2">
            <w:pPr>
              <w:spacing w:line="278" w:lineRule="auto"/>
              <w:ind w:left="0"/>
              <w:jc w:val="left"/>
            </w:pPr>
            <w:r w:rsidRPr="00AC0FC2">
              <w:t>Strateški dokumenti in z njimi povezani izvedbeni dokumenti (npr. razvojne strategije, celostna prometna strategija, občinski prostorski načrti, občinski podrobnejši prostorski načrti),  strokovne podlage (študije, strokovne presoje, ipd.), ki so podlaga za izdelavo strateških dokumentov ali izvedbo posegov v prostor.</w:t>
            </w:r>
          </w:p>
        </w:tc>
        <w:tc>
          <w:tcPr>
            <w:tcW w:w="3415" w:type="dxa"/>
            <w:hideMark/>
          </w:tcPr>
          <w:p w14:paraId="65289863" w14:textId="77777777" w:rsidR="00AC0FC2" w:rsidRPr="00AC0FC2" w:rsidRDefault="00AC0FC2" w:rsidP="00AC0FC2">
            <w:pPr>
              <w:spacing w:line="278" w:lineRule="auto"/>
              <w:ind w:left="0"/>
              <w:jc w:val="left"/>
            </w:pPr>
            <w:r w:rsidRPr="00AC0FC2">
              <w:t>Razvojna pisarna</w:t>
            </w:r>
            <w:r w:rsidRPr="00AC0FC2">
              <w:br/>
              <w:t>Služba za okolje in prostor</w:t>
            </w:r>
            <w:r w:rsidRPr="00AC0FC2">
              <w:br/>
              <w:t>Služba za javno infrastrukturo</w:t>
            </w:r>
            <w:r w:rsidRPr="00AC0FC2">
              <w:br/>
              <w:t>Oddelek za gospodarstvo in gospodarske javne službe</w:t>
            </w:r>
            <w:r w:rsidRPr="00AC0FC2">
              <w:br/>
              <w:t>Oddelek za družbene dejavnosti</w:t>
            </w:r>
          </w:p>
        </w:tc>
      </w:tr>
      <w:tr w:rsidR="00AC0FC2" w:rsidRPr="00AC0FC2" w14:paraId="64B69E78" w14:textId="77777777" w:rsidTr="00AC0FC2">
        <w:trPr>
          <w:trHeight w:val="2294"/>
        </w:trPr>
        <w:tc>
          <w:tcPr>
            <w:tcW w:w="926" w:type="dxa"/>
            <w:noWrap/>
            <w:hideMark/>
          </w:tcPr>
          <w:p w14:paraId="62BADCEA" w14:textId="77777777" w:rsidR="00AC0FC2" w:rsidRPr="00AC0FC2" w:rsidRDefault="00AC0FC2" w:rsidP="00AC0FC2">
            <w:pPr>
              <w:spacing w:line="278" w:lineRule="auto"/>
              <w:ind w:left="0"/>
              <w:jc w:val="left"/>
            </w:pPr>
            <w:r w:rsidRPr="00AC0FC2">
              <w:t>1.2</w:t>
            </w:r>
          </w:p>
        </w:tc>
        <w:tc>
          <w:tcPr>
            <w:tcW w:w="4721" w:type="dxa"/>
            <w:hideMark/>
          </w:tcPr>
          <w:p w14:paraId="35B9D6B3" w14:textId="77777777" w:rsidR="00AC0FC2" w:rsidRPr="00AC0FC2" w:rsidRDefault="00AC0FC2" w:rsidP="00AC0FC2">
            <w:pPr>
              <w:spacing w:line="278" w:lineRule="auto"/>
              <w:ind w:left="0"/>
              <w:jc w:val="left"/>
            </w:pPr>
            <w:r w:rsidRPr="00AC0FC2">
              <w:t>Katalogi mestne opreme, zasnove javnega prevoza, celostne grafične podobe in podobni temeljni dokumenti, ki jih izvajajo zunanji izvajalci.</w:t>
            </w:r>
          </w:p>
        </w:tc>
        <w:tc>
          <w:tcPr>
            <w:tcW w:w="3415" w:type="dxa"/>
            <w:hideMark/>
          </w:tcPr>
          <w:p w14:paraId="356E54C3" w14:textId="77777777" w:rsidR="00AC0FC2" w:rsidRPr="00AC0FC2" w:rsidRDefault="00AC0FC2" w:rsidP="00AC0FC2">
            <w:pPr>
              <w:spacing w:line="278" w:lineRule="auto"/>
              <w:ind w:left="0"/>
              <w:jc w:val="left"/>
            </w:pPr>
            <w:r w:rsidRPr="00AC0FC2">
              <w:t>Razvojna pisarna</w:t>
            </w:r>
            <w:r w:rsidRPr="00AC0FC2">
              <w:br/>
              <w:t>Služba za okolje in prostor</w:t>
            </w:r>
            <w:r w:rsidRPr="00AC0FC2">
              <w:br/>
              <w:t>Služba za javno infrastrukturo</w:t>
            </w:r>
            <w:r w:rsidRPr="00AC0FC2">
              <w:br/>
              <w:t>Oddelek za gospodarstvo in gospodarske javne službe</w:t>
            </w:r>
            <w:r w:rsidRPr="00AC0FC2">
              <w:br/>
              <w:t>Oddelek za družbene dejavnosti</w:t>
            </w:r>
            <w:r w:rsidRPr="00AC0FC2">
              <w:br/>
              <w:t>Služba za stike z javnostmi, protokol ter mednarodno sodelovanje</w:t>
            </w:r>
          </w:p>
        </w:tc>
      </w:tr>
      <w:tr w:rsidR="00AC0FC2" w:rsidRPr="00AC0FC2" w14:paraId="7E1CD320" w14:textId="77777777" w:rsidTr="00AC0FC2">
        <w:trPr>
          <w:trHeight w:val="287"/>
        </w:trPr>
        <w:tc>
          <w:tcPr>
            <w:tcW w:w="926" w:type="dxa"/>
            <w:noWrap/>
            <w:hideMark/>
          </w:tcPr>
          <w:p w14:paraId="4CEA556F" w14:textId="77777777" w:rsidR="00AC0FC2" w:rsidRPr="00AC0FC2" w:rsidRDefault="00AC0FC2" w:rsidP="00AC0FC2">
            <w:pPr>
              <w:spacing w:line="278" w:lineRule="auto"/>
              <w:ind w:left="0"/>
              <w:jc w:val="left"/>
            </w:pPr>
            <w:r w:rsidRPr="00AC0FC2">
              <w:t>2</w:t>
            </w:r>
          </w:p>
        </w:tc>
        <w:tc>
          <w:tcPr>
            <w:tcW w:w="4721" w:type="dxa"/>
            <w:noWrap/>
            <w:hideMark/>
          </w:tcPr>
          <w:p w14:paraId="54DC561E" w14:textId="77777777" w:rsidR="00AC0FC2" w:rsidRPr="00AC0FC2" w:rsidRDefault="00AC0FC2" w:rsidP="00AC0FC2">
            <w:pPr>
              <w:spacing w:line="278" w:lineRule="auto"/>
              <w:ind w:left="0"/>
              <w:jc w:val="left"/>
              <w:rPr>
                <w:b/>
                <w:bCs/>
              </w:rPr>
            </w:pPr>
            <w:r w:rsidRPr="00AC0FC2">
              <w:rPr>
                <w:b/>
                <w:bCs/>
              </w:rPr>
              <w:t>Priprava projektov in razpisov, vodenje projektov</w:t>
            </w:r>
          </w:p>
        </w:tc>
        <w:tc>
          <w:tcPr>
            <w:tcW w:w="3415" w:type="dxa"/>
            <w:noWrap/>
            <w:hideMark/>
          </w:tcPr>
          <w:p w14:paraId="23E0B217" w14:textId="77777777" w:rsidR="00AC0FC2" w:rsidRPr="00AC0FC2" w:rsidRDefault="00AC0FC2" w:rsidP="00AC0FC2">
            <w:pPr>
              <w:spacing w:line="278" w:lineRule="auto"/>
              <w:ind w:left="0"/>
              <w:jc w:val="left"/>
              <w:rPr>
                <w:b/>
                <w:bCs/>
              </w:rPr>
            </w:pPr>
          </w:p>
        </w:tc>
      </w:tr>
      <w:tr w:rsidR="00AC0FC2" w:rsidRPr="00AC0FC2" w14:paraId="0ACA869D" w14:textId="77777777" w:rsidTr="00AC0FC2">
        <w:trPr>
          <w:trHeight w:val="2007"/>
        </w:trPr>
        <w:tc>
          <w:tcPr>
            <w:tcW w:w="926" w:type="dxa"/>
            <w:noWrap/>
            <w:hideMark/>
          </w:tcPr>
          <w:p w14:paraId="32DC6A5D" w14:textId="77777777" w:rsidR="00AC0FC2" w:rsidRPr="00AC0FC2" w:rsidRDefault="00AC0FC2" w:rsidP="00AC0FC2">
            <w:pPr>
              <w:spacing w:line="278" w:lineRule="auto"/>
              <w:ind w:left="0"/>
              <w:jc w:val="left"/>
            </w:pPr>
            <w:r w:rsidRPr="00AC0FC2">
              <w:t>2.1</w:t>
            </w:r>
          </w:p>
        </w:tc>
        <w:tc>
          <w:tcPr>
            <w:tcW w:w="4721" w:type="dxa"/>
            <w:hideMark/>
          </w:tcPr>
          <w:p w14:paraId="4CE92F73" w14:textId="77777777" w:rsidR="00AC0FC2" w:rsidRPr="00AC0FC2" w:rsidRDefault="00AC0FC2" w:rsidP="00AC0FC2">
            <w:pPr>
              <w:spacing w:line="278" w:lineRule="auto"/>
              <w:ind w:left="0"/>
              <w:jc w:val="left"/>
            </w:pPr>
            <w:r w:rsidRPr="00AC0FC2">
              <w:t>Projekti, kjer se ureja prostore in površine v javni rabi</w:t>
            </w:r>
          </w:p>
        </w:tc>
        <w:tc>
          <w:tcPr>
            <w:tcW w:w="3415" w:type="dxa"/>
            <w:hideMark/>
          </w:tcPr>
          <w:p w14:paraId="28CE3B6D" w14:textId="77777777" w:rsidR="00AC0FC2" w:rsidRPr="00AC0FC2" w:rsidRDefault="00AC0FC2" w:rsidP="00AC0FC2">
            <w:pPr>
              <w:spacing w:line="278" w:lineRule="auto"/>
              <w:ind w:left="0"/>
              <w:jc w:val="left"/>
            </w:pPr>
            <w:r w:rsidRPr="00AC0FC2">
              <w:t>Razvojna pisarna</w:t>
            </w:r>
            <w:r w:rsidRPr="00AC0FC2">
              <w:br/>
              <w:t>Oddelek za okolje, prostor in javno infrastrukturo</w:t>
            </w:r>
            <w:r w:rsidRPr="00AC0FC2">
              <w:br/>
              <w:t>Služba za investicije</w:t>
            </w:r>
            <w:r w:rsidRPr="00AC0FC2">
              <w:br/>
              <w:t>Služba za nepremičnine</w:t>
            </w:r>
            <w:r w:rsidRPr="00AC0FC2">
              <w:br/>
              <w:t>Splošna služba</w:t>
            </w:r>
            <w:r w:rsidRPr="00AC0FC2">
              <w:br/>
              <w:t>Služba za infrastrukturo</w:t>
            </w:r>
          </w:p>
        </w:tc>
      </w:tr>
      <w:tr w:rsidR="00AC0FC2" w:rsidRPr="00AC0FC2" w14:paraId="3FB330CC" w14:textId="77777777" w:rsidTr="00AC0FC2">
        <w:trPr>
          <w:trHeight w:val="1434"/>
        </w:trPr>
        <w:tc>
          <w:tcPr>
            <w:tcW w:w="926" w:type="dxa"/>
            <w:noWrap/>
            <w:hideMark/>
          </w:tcPr>
          <w:p w14:paraId="169AE97D" w14:textId="77777777" w:rsidR="00AC0FC2" w:rsidRPr="00AC0FC2" w:rsidRDefault="00AC0FC2" w:rsidP="00AC0FC2">
            <w:pPr>
              <w:spacing w:line="278" w:lineRule="auto"/>
              <w:ind w:left="0"/>
              <w:jc w:val="left"/>
            </w:pPr>
            <w:r w:rsidRPr="00AC0FC2">
              <w:t>2.2</w:t>
            </w:r>
          </w:p>
        </w:tc>
        <w:tc>
          <w:tcPr>
            <w:tcW w:w="4721" w:type="dxa"/>
            <w:hideMark/>
          </w:tcPr>
          <w:p w14:paraId="4FFC1994" w14:textId="77777777" w:rsidR="00AC0FC2" w:rsidRPr="00AC0FC2" w:rsidRDefault="00AC0FC2" w:rsidP="00AC0FC2">
            <w:pPr>
              <w:spacing w:line="278" w:lineRule="auto"/>
              <w:ind w:left="0"/>
              <w:jc w:val="left"/>
            </w:pPr>
            <w:r w:rsidRPr="00AC0FC2">
              <w:t xml:space="preserve">Projekti, kjer so predvidene aktivnosti, ki na kakršenkoli način vključujejo sodelovanje javnosti in informacije za javnost v vseh oblikah </w:t>
            </w:r>
          </w:p>
        </w:tc>
        <w:tc>
          <w:tcPr>
            <w:tcW w:w="3415" w:type="dxa"/>
            <w:hideMark/>
          </w:tcPr>
          <w:p w14:paraId="156E3350" w14:textId="77777777" w:rsidR="00AC0FC2" w:rsidRPr="00AC0FC2" w:rsidRDefault="00AC0FC2" w:rsidP="00AC0FC2">
            <w:pPr>
              <w:spacing w:line="278" w:lineRule="auto"/>
              <w:ind w:left="0"/>
              <w:jc w:val="left"/>
            </w:pPr>
            <w:r w:rsidRPr="00AC0FC2">
              <w:t>Razvojna pisarna</w:t>
            </w:r>
            <w:r w:rsidRPr="00AC0FC2">
              <w:br/>
              <w:t>Služba za okolje in prostor</w:t>
            </w:r>
            <w:r w:rsidRPr="00AC0FC2">
              <w:br/>
              <w:t>Služba za javno infrastrukturo</w:t>
            </w:r>
            <w:r w:rsidRPr="00AC0FC2">
              <w:br/>
              <w:t>Oddelek za družbene dejavnosti</w:t>
            </w:r>
            <w:r w:rsidRPr="00AC0FC2">
              <w:br/>
              <w:t>Glavna pisarna</w:t>
            </w:r>
          </w:p>
        </w:tc>
      </w:tr>
      <w:tr w:rsidR="00AC0FC2" w:rsidRPr="00AC0FC2" w14:paraId="0EB17528" w14:textId="77777777" w:rsidTr="00AC0FC2">
        <w:trPr>
          <w:trHeight w:val="287"/>
        </w:trPr>
        <w:tc>
          <w:tcPr>
            <w:tcW w:w="926" w:type="dxa"/>
            <w:noWrap/>
            <w:hideMark/>
          </w:tcPr>
          <w:p w14:paraId="5863C671" w14:textId="77777777" w:rsidR="00AC0FC2" w:rsidRPr="00AC0FC2" w:rsidRDefault="00AC0FC2" w:rsidP="00AC0FC2">
            <w:pPr>
              <w:spacing w:line="278" w:lineRule="auto"/>
              <w:ind w:left="0"/>
              <w:jc w:val="left"/>
            </w:pPr>
            <w:r w:rsidRPr="00AC0FC2">
              <w:t xml:space="preserve">3 </w:t>
            </w:r>
          </w:p>
        </w:tc>
        <w:tc>
          <w:tcPr>
            <w:tcW w:w="4721" w:type="dxa"/>
            <w:noWrap/>
            <w:hideMark/>
          </w:tcPr>
          <w:p w14:paraId="06C0D012" w14:textId="77777777" w:rsidR="00AC0FC2" w:rsidRPr="00AC0FC2" w:rsidRDefault="00AC0FC2" w:rsidP="00AC0FC2">
            <w:pPr>
              <w:spacing w:line="278" w:lineRule="auto"/>
              <w:ind w:left="0"/>
              <w:jc w:val="left"/>
              <w:rPr>
                <w:b/>
                <w:bCs/>
              </w:rPr>
            </w:pPr>
            <w:r w:rsidRPr="00AC0FC2">
              <w:rPr>
                <w:b/>
                <w:bCs/>
              </w:rPr>
              <w:t xml:space="preserve">Načrtovanje in izvedba gradbenih del </w:t>
            </w:r>
          </w:p>
        </w:tc>
        <w:tc>
          <w:tcPr>
            <w:tcW w:w="3415" w:type="dxa"/>
            <w:noWrap/>
            <w:hideMark/>
          </w:tcPr>
          <w:p w14:paraId="2DFAEF0C" w14:textId="77777777" w:rsidR="00AC0FC2" w:rsidRPr="00AC0FC2" w:rsidRDefault="00AC0FC2" w:rsidP="00AC0FC2">
            <w:pPr>
              <w:spacing w:line="278" w:lineRule="auto"/>
              <w:ind w:left="0"/>
              <w:jc w:val="left"/>
              <w:rPr>
                <w:b/>
                <w:bCs/>
              </w:rPr>
            </w:pPr>
          </w:p>
        </w:tc>
      </w:tr>
      <w:tr w:rsidR="00AC0FC2" w:rsidRPr="00AC0FC2" w14:paraId="28EE5869" w14:textId="77777777" w:rsidTr="00AC0FC2">
        <w:trPr>
          <w:trHeight w:val="2007"/>
        </w:trPr>
        <w:tc>
          <w:tcPr>
            <w:tcW w:w="926" w:type="dxa"/>
            <w:noWrap/>
            <w:hideMark/>
          </w:tcPr>
          <w:p w14:paraId="48E8322F" w14:textId="77777777" w:rsidR="00AC0FC2" w:rsidRPr="00AC0FC2" w:rsidRDefault="00AC0FC2" w:rsidP="00AC0FC2">
            <w:pPr>
              <w:spacing w:line="278" w:lineRule="auto"/>
              <w:ind w:left="0"/>
              <w:jc w:val="left"/>
            </w:pPr>
            <w:r w:rsidRPr="00AC0FC2">
              <w:t>3.1</w:t>
            </w:r>
          </w:p>
        </w:tc>
        <w:tc>
          <w:tcPr>
            <w:tcW w:w="4721" w:type="dxa"/>
            <w:noWrap/>
            <w:hideMark/>
          </w:tcPr>
          <w:p w14:paraId="0EDA06D3" w14:textId="77777777" w:rsidR="00AC0FC2" w:rsidRPr="00AC0FC2" w:rsidRDefault="00AC0FC2" w:rsidP="00AC0FC2">
            <w:pPr>
              <w:spacing w:line="278" w:lineRule="auto"/>
              <w:ind w:left="0"/>
              <w:jc w:val="left"/>
            </w:pPr>
            <w:r w:rsidRPr="00AC0FC2">
              <w:t>Zunanje površine</w:t>
            </w:r>
          </w:p>
        </w:tc>
        <w:tc>
          <w:tcPr>
            <w:tcW w:w="3415" w:type="dxa"/>
            <w:hideMark/>
          </w:tcPr>
          <w:p w14:paraId="5D4486A5" w14:textId="77777777" w:rsidR="00AC0FC2" w:rsidRPr="00AC0FC2" w:rsidRDefault="00AC0FC2" w:rsidP="00AC0FC2">
            <w:pPr>
              <w:spacing w:line="278" w:lineRule="auto"/>
              <w:ind w:left="0"/>
              <w:jc w:val="left"/>
            </w:pPr>
            <w:r w:rsidRPr="00AC0FC2">
              <w:t>Razvojna pisarna</w:t>
            </w:r>
            <w:r w:rsidRPr="00AC0FC2">
              <w:br/>
              <w:t>Služba za okolje in prostor</w:t>
            </w:r>
            <w:r w:rsidRPr="00AC0FC2">
              <w:br/>
              <w:t>Služba za javno infrastrukturo</w:t>
            </w:r>
            <w:r w:rsidRPr="00AC0FC2">
              <w:br/>
              <w:t>Oddelek za gospodarstvo in gospodarske javne službe</w:t>
            </w:r>
            <w:r w:rsidRPr="00AC0FC2">
              <w:br/>
              <w:t>Služba za investicije</w:t>
            </w:r>
            <w:r w:rsidRPr="00AC0FC2">
              <w:br/>
              <w:t>Služba za infrastrukturo</w:t>
            </w:r>
          </w:p>
        </w:tc>
      </w:tr>
      <w:tr w:rsidR="00AC0FC2" w:rsidRPr="00AC0FC2" w14:paraId="160D8C92" w14:textId="77777777" w:rsidTr="00AC0FC2">
        <w:trPr>
          <w:trHeight w:val="1147"/>
        </w:trPr>
        <w:tc>
          <w:tcPr>
            <w:tcW w:w="926" w:type="dxa"/>
            <w:noWrap/>
            <w:hideMark/>
          </w:tcPr>
          <w:p w14:paraId="5AC28045" w14:textId="77777777" w:rsidR="00AC0FC2" w:rsidRPr="00AC0FC2" w:rsidRDefault="00AC0FC2" w:rsidP="00AC0FC2">
            <w:pPr>
              <w:spacing w:line="278" w:lineRule="auto"/>
              <w:ind w:left="0"/>
              <w:jc w:val="left"/>
            </w:pPr>
            <w:r w:rsidRPr="00AC0FC2">
              <w:lastRenderedPageBreak/>
              <w:t>3.2</w:t>
            </w:r>
          </w:p>
        </w:tc>
        <w:tc>
          <w:tcPr>
            <w:tcW w:w="4721" w:type="dxa"/>
            <w:noWrap/>
            <w:hideMark/>
          </w:tcPr>
          <w:p w14:paraId="72BFC5E2" w14:textId="77777777" w:rsidR="00AC0FC2" w:rsidRPr="00AC0FC2" w:rsidRDefault="00AC0FC2" w:rsidP="00AC0FC2">
            <w:pPr>
              <w:spacing w:line="278" w:lineRule="auto"/>
              <w:ind w:left="0"/>
              <w:jc w:val="left"/>
            </w:pPr>
            <w:r w:rsidRPr="00AC0FC2">
              <w:t>Stavbe v javni rabi</w:t>
            </w:r>
          </w:p>
        </w:tc>
        <w:tc>
          <w:tcPr>
            <w:tcW w:w="3415" w:type="dxa"/>
            <w:hideMark/>
          </w:tcPr>
          <w:p w14:paraId="421761BE" w14:textId="77777777" w:rsidR="00AC0FC2" w:rsidRPr="00AC0FC2" w:rsidRDefault="00AC0FC2" w:rsidP="00AC0FC2">
            <w:pPr>
              <w:spacing w:line="278" w:lineRule="auto"/>
              <w:ind w:left="0"/>
              <w:jc w:val="left"/>
            </w:pPr>
            <w:r w:rsidRPr="00AC0FC2">
              <w:t>Služba za investicije</w:t>
            </w:r>
            <w:r w:rsidRPr="00AC0FC2">
              <w:br/>
              <w:t>Splošna služba</w:t>
            </w:r>
            <w:r w:rsidRPr="00AC0FC2">
              <w:br/>
              <w:t>Služba za nepremičnine</w:t>
            </w:r>
            <w:r w:rsidRPr="00AC0FC2">
              <w:br/>
              <w:t>Oddelek za družbene dejavnosti</w:t>
            </w:r>
          </w:p>
        </w:tc>
      </w:tr>
      <w:tr w:rsidR="00AC0FC2" w:rsidRPr="00AC0FC2" w14:paraId="14C3A8E4" w14:textId="77777777" w:rsidTr="00AC0FC2">
        <w:trPr>
          <w:trHeight w:val="1434"/>
        </w:trPr>
        <w:tc>
          <w:tcPr>
            <w:tcW w:w="926" w:type="dxa"/>
            <w:noWrap/>
            <w:hideMark/>
          </w:tcPr>
          <w:p w14:paraId="20D668A6" w14:textId="77777777" w:rsidR="00AC0FC2" w:rsidRPr="00AC0FC2" w:rsidRDefault="00AC0FC2" w:rsidP="00AC0FC2">
            <w:pPr>
              <w:spacing w:line="278" w:lineRule="auto"/>
              <w:ind w:left="0"/>
              <w:jc w:val="left"/>
            </w:pPr>
            <w:r w:rsidRPr="00AC0FC2">
              <w:t>4</w:t>
            </w:r>
          </w:p>
        </w:tc>
        <w:tc>
          <w:tcPr>
            <w:tcW w:w="4721" w:type="dxa"/>
            <w:hideMark/>
          </w:tcPr>
          <w:p w14:paraId="5C797734" w14:textId="77777777" w:rsidR="00AC0FC2" w:rsidRPr="00AC0FC2" w:rsidRDefault="00AC0FC2" w:rsidP="00AC0FC2">
            <w:pPr>
              <w:spacing w:line="278" w:lineRule="auto"/>
              <w:ind w:left="0"/>
              <w:jc w:val="left"/>
              <w:rPr>
                <w:b/>
                <w:bCs/>
              </w:rPr>
            </w:pPr>
            <w:r w:rsidRPr="00AC0FC2">
              <w:rPr>
                <w:b/>
                <w:bCs/>
              </w:rPr>
              <w:t xml:space="preserve">Izdajanje projektnih pogojev, lokacijskih informacij, mnenj, dovoljenj  in soglasij  </w:t>
            </w:r>
          </w:p>
        </w:tc>
        <w:tc>
          <w:tcPr>
            <w:tcW w:w="3415" w:type="dxa"/>
            <w:hideMark/>
          </w:tcPr>
          <w:p w14:paraId="3ADEE9FF" w14:textId="77777777" w:rsidR="00AC0FC2" w:rsidRPr="00AC0FC2" w:rsidRDefault="00AC0FC2" w:rsidP="00AC0FC2">
            <w:pPr>
              <w:spacing w:line="278" w:lineRule="auto"/>
              <w:ind w:left="0"/>
              <w:jc w:val="left"/>
            </w:pPr>
            <w:r w:rsidRPr="00AC0FC2">
              <w:t>Služba za okolje in prostor</w:t>
            </w:r>
            <w:r w:rsidRPr="00AC0FC2">
              <w:br/>
              <w:t>Služba za javno infrastrukturo</w:t>
            </w:r>
            <w:r w:rsidRPr="00AC0FC2">
              <w:br/>
              <w:t>Oddelek za godpodarstvo in gospodarske javne službe</w:t>
            </w:r>
            <w:r w:rsidRPr="00AC0FC2">
              <w:br/>
              <w:t>Mestne storitve</w:t>
            </w:r>
          </w:p>
        </w:tc>
      </w:tr>
      <w:tr w:rsidR="00AC0FC2" w:rsidRPr="00AC0FC2" w14:paraId="54D2374F" w14:textId="77777777" w:rsidTr="00AC0FC2">
        <w:trPr>
          <w:trHeight w:val="847"/>
        </w:trPr>
        <w:tc>
          <w:tcPr>
            <w:tcW w:w="926" w:type="dxa"/>
            <w:noWrap/>
            <w:hideMark/>
          </w:tcPr>
          <w:p w14:paraId="3132F0B8" w14:textId="77777777" w:rsidR="00AC0FC2" w:rsidRPr="00AC0FC2" w:rsidRDefault="00AC0FC2" w:rsidP="00AC0FC2">
            <w:pPr>
              <w:spacing w:line="278" w:lineRule="auto"/>
              <w:ind w:left="0"/>
              <w:jc w:val="left"/>
            </w:pPr>
            <w:r w:rsidRPr="00AC0FC2">
              <w:t>5</w:t>
            </w:r>
          </w:p>
        </w:tc>
        <w:tc>
          <w:tcPr>
            <w:tcW w:w="4721" w:type="dxa"/>
            <w:noWrap/>
            <w:hideMark/>
          </w:tcPr>
          <w:p w14:paraId="0A499E09" w14:textId="77777777" w:rsidR="00AC0FC2" w:rsidRPr="00AC0FC2" w:rsidRDefault="00AC0FC2" w:rsidP="00AC0FC2">
            <w:pPr>
              <w:spacing w:line="278" w:lineRule="auto"/>
              <w:ind w:left="0"/>
              <w:jc w:val="left"/>
              <w:rPr>
                <w:b/>
                <w:bCs/>
              </w:rPr>
            </w:pPr>
            <w:r w:rsidRPr="00AC0FC2">
              <w:rPr>
                <w:b/>
                <w:bCs/>
              </w:rPr>
              <w:t>Spreminjanje prometnih ureditev</w:t>
            </w:r>
          </w:p>
        </w:tc>
        <w:tc>
          <w:tcPr>
            <w:tcW w:w="3415" w:type="dxa"/>
            <w:hideMark/>
          </w:tcPr>
          <w:p w14:paraId="454074EB" w14:textId="77777777" w:rsidR="00AC0FC2" w:rsidRPr="00AC0FC2" w:rsidRDefault="00AC0FC2" w:rsidP="00AC0FC2">
            <w:pPr>
              <w:spacing w:line="278" w:lineRule="auto"/>
              <w:ind w:left="0"/>
              <w:jc w:val="left"/>
            </w:pPr>
            <w:r w:rsidRPr="00AC0FC2">
              <w:t>Služba za okolje in prostor</w:t>
            </w:r>
            <w:r w:rsidRPr="00AC0FC2">
              <w:br/>
              <w:t>Služba za javno infrastrukturo</w:t>
            </w:r>
            <w:r w:rsidRPr="00AC0FC2">
              <w:br/>
              <w:t>Služba za investicije</w:t>
            </w:r>
          </w:p>
        </w:tc>
      </w:tr>
      <w:tr w:rsidR="00AC0FC2" w:rsidRPr="00AC0FC2" w14:paraId="7EB2081D" w14:textId="77777777" w:rsidTr="00AC0FC2">
        <w:trPr>
          <w:trHeight w:val="860"/>
        </w:trPr>
        <w:tc>
          <w:tcPr>
            <w:tcW w:w="926" w:type="dxa"/>
            <w:noWrap/>
            <w:hideMark/>
          </w:tcPr>
          <w:p w14:paraId="1FA0A6AC" w14:textId="77777777" w:rsidR="00AC0FC2" w:rsidRPr="00AC0FC2" w:rsidRDefault="00AC0FC2" w:rsidP="00AC0FC2">
            <w:pPr>
              <w:spacing w:line="278" w:lineRule="auto"/>
              <w:ind w:left="0"/>
              <w:jc w:val="left"/>
            </w:pPr>
            <w:r w:rsidRPr="00AC0FC2">
              <w:t>6</w:t>
            </w:r>
          </w:p>
        </w:tc>
        <w:tc>
          <w:tcPr>
            <w:tcW w:w="4721" w:type="dxa"/>
            <w:noWrap/>
            <w:hideMark/>
          </w:tcPr>
          <w:p w14:paraId="7126C735" w14:textId="77777777" w:rsidR="00AC0FC2" w:rsidRPr="00AC0FC2" w:rsidRDefault="00AC0FC2" w:rsidP="00AC0FC2">
            <w:pPr>
              <w:spacing w:line="278" w:lineRule="auto"/>
              <w:ind w:left="0"/>
              <w:jc w:val="left"/>
              <w:rPr>
                <w:b/>
                <w:bCs/>
              </w:rPr>
            </w:pPr>
            <w:r w:rsidRPr="00AC0FC2">
              <w:rPr>
                <w:b/>
                <w:bCs/>
              </w:rPr>
              <w:t>Vzdrževanje javnih površin</w:t>
            </w:r>
          </w:p>
        </w:tc>
        <w:tc>
          <w:tcPr>
            <w:tcW w:w="3415" w:type="dxa"/>
            <w:hideMark/>
          </w:tcPr>
          <w:p w14:paraId="77B53B54" w14:textId="77777777" w:rsidR="00AC0FC2" w:rsidRPr="00AC0FC2" w:rsidRDefault="00AC0FC2" w:rsidP="00AC0FC2">
            <w:pPr>
              <w:spacing w:line="278" w:lineRule="auto"/>
              <w:ind w:left="0"/>
              <w:jc w:val="left"/>
            </w:pPr>
            <w:r w:rsidRPr="00AC0FC2">
              <w:t>Oddelek za godpodarstvo in gospodarske javne službe</w:t>
            </w:r>
            <w:r w:rsidRPr="00AC0FC2">
              <w:br/>
              <w:t>Služba za investicije</w:t>
            </w:r>
          </w:p>
        </w:tc>
      </w:tr>
      <w:tr w:rsidR="00AC0FC2" w:rsidRPr="00AC0FC2" w14:paraId="48A5A7D1" w14:textId="77777777" w:rsidTr="00AC0FC2">
        <w:trPr>
          <w:trHeight w:val="1434"/>
        </w:trPr>
        <w:tc>
          <w:tcPr>
            <w:tcW w:w="926" w:type="dxa"/>
            <w:noWrap/>
            <w:hideMark/>
          </w:tcPr>
          <w:p w14:paraId="0EEE3175" w14:textId="77777777" w:rsidR="00AC0FC2" w:rsidRPr="00AC0FC2" w:rsidRDefault="00AC0FC2" w:rsidP="00AC0FC2">
            <w:pPr>
              <w:spacing w:line="278" w:lineRule="auto"/>
              <w:ind w:left="0"/>
              <w:jc w:val="left"/>
            </w:pPr>
            <w:r w:rsidRPr="00AC0FC2">
              <w:t>7</w:t>
            </w:r>
          </w:p>
        </w:tc>
        <w:tc>
          <w:tcPr>
            <w:tcW w:w="4721" w:type="dxa"/>
            <w:noWrap/>
            <w:hideMark/>
          </w:tcPr>
          <w:p w14:paraId="62EBFECA" w14:textId="77777777" w:rsidR="00AC0FC2" w:rsidRPr="00AC0FC2" w:rsidRDefault="00AC0FC2" w:rsidP="00AC0FC2">
            <w:pPr>
              <w:spacing w:line="278" w:lineRule="auto"/>
              <w:ind w:left="0"/>
              <w:jc w:val="left"/>
              <w:rPr>
                <w:b/>
                <w:bCs/>
              </w:rPr>
            </w:pPr>
            <w:r w:rsidRPr="00AC0FC2">
              <w:rPr>
                <w:b/>
                <w:bCs/>
              </w:rPr>
              <w:t>Začasne ureditve in gradbišča</w:t>
            </w:r>
          </w:p>
        </w:tc>
        <w:tc>
          <w:tcPr>
            <w:tcW w:w="3415" w:type="dxa"/>
            <w:hideMark/>
          </w:tcPr>
          <w:p w14:paraId="129A6872" w14:textId="77777777" w:rsidR="00AC0FC2" w:rsidRPr="00AC0FC2" w:rsidRDefault="00AC0FC2" w:rsidP="00AC0FC2">
            <w:pPr>
              <w:spacing w:line="278" w:lineRule="auto"/>
              <w:ind w:left="0"/>
              <w:jc w:val="left"/>
            </w:pPr>
            <w:r w:rsidRPr="00AC0FC2">
              <w:t>Oddelek za godpodarstvo in gospodarske javne službe</w:t>
            </w:r>
            <w:r w:rsidRPr="00AC0FC2">
              <w:br/>
              <w:t>Služba za investicije</w:t>
            </w:r>
            <w:r w:rsidRPr="00AC0FC2">
              <w:br/>
              <w:t>Služba za okolje in prostor</w:t>
            </w:r>
            <w:r w:rsidRPr="00AC0FC2">
              <w:br/>
              <w:t>Služba za javno infrastrukturo</w:t>
            </w:r>
          </w:p>
        </w:tc>
      </w:tr>
      <w:tr w:rsidR="00AC0FC2" w:rsidRPr="00AC0FC2" w14:paraId="678CC3E6" w14:textId="77777777" w:rsidTr="00AC0FC2">
        <w:trPr>
          <w:trHeight w:val="287"/>
        </w:trPr>
        <w:tc>
          <w:tcPr>
            <w:tcW w:w="926" w:type="dxa"/>
            <w:noWrap/>
            <w:hideMark/>
          </w:tcPr>
          <w:p w14:paraId="1623E4EE" w14:textId="77777777" w:rsidR="00AC0FC2" w:rsidRPr="00AC0FC2" w:rsidRDefault="00AC0FC2" w:rsidP="00AC0FC2">
            <w:pPr>
              <w:spacing w:line="278" w:lineRule="auto"/>
              <w:ind w:left="0"/>
              <w:jc w:val="left"/>
            </w:pPr>
            <w:r w:rsidRPr="00AC0FC2">
              <w:t>8</w:t>
            </w:r>
          </w:p>
        </w:tc>
        <w:tc>
          <w:tcPr>
            <w:tcW w:w="4721" w:type="dxa"/>
            <w:noWrap/>
            <w:hideMark/>
          </w:tcPr>
          <w:p w14:paraId="7A12366E" w14:textId="77777777" w:rsidR="00AC0FC2" w:rsidRPr="00AC0FC2" w:rsidRDefault="00AC0FC2" w:rsidP="00AC0FC2">
            <w:pPr>
              <w:spacing w:line="278" w:lineRule="auto"/>
              <w:ind w:left="0"/>
              <w:jc w:val="left"/>
              <w:rPr>
                <w:b/>
                <w:bCs/>
              </w:rPr>
            </w:pPr>
            <w:r w:rsidRPr="00AC0FC2">
              <w:rPr>
                <w:b/>
                <w:bCs/>
              </w:rPr>
              <w:t xml:space="preserve">Selitev javnih storitev in opremljanje prostorov </w:t>
            </w:r>
          </w:p>
        </w:tc>
        <w:tc>
          <w:tcPr>
            <w:tcW w:w="3415" w:type="dxa"/>
            <w:noWrap/>
            <w:hideMark/>
          </w:tcPr>
          <w:p w14:paraId="27BF0E1A" w14:textId="77777777" w:rsidR="00AC0FC2" w:rsidRPr="00AC0FC2" w:rsidRDefault="00AC0FC2" w:rsidP="00AC0FC2">
            <w:pPr>
              <w:spacing w:line="278" w:lineRule="auto"/>
              <w:ind w:left="0"/>
              <w:jc w:val="left"/>
              <w:rPr>
                <w:b/>
                <w:bCs/>
              </w:rPr>
            </w:pPr>
          </w:p>
        </w:tc>
      </w:tr>
      <w:tr w:rsidR="00AC0FC2" w:rsidRPr="00AC0FC2" w14:paraId="77FBA0AF" w14:textId="77777777" w:rsidTr="00AC0FC2">
        <w:trPr>
          <w:trHeight w:val="860"/>
        </w:trPr>
        <w:tc>
          <w:tcPr>
            <w:tcW w:w="926" w:type="dxa"/>
            <w:noWrap/>
            <w:hideMark/>
          </w:tcPr>
          <w:p w14:paraId="1E444133" w14:textId="77777777" w:rsidR="00AC0FC2" w:rsidRPr="00AC0FC2" w:rsidRDefault="00AC0FC2" w:rsidP="00AC0FC2">
            <w:pPr>
              <w:spacing w:line="278" w:lineRule="auto"/>
              <w:ind w:left="0"/>
              <w:jc w:val="left"/>
            </w:pPr>
            <w:r w:rsidRPr="00AC0FC2">
              <w:t>8.1</w:t>
            </w:r>
          </w:p>
        </w:tc>
        <w:tc>
          <w:tcPr>
            <w:tcW w:w="4721" w:type="dxa"/>
            <w:noWrap/>
            <w:hideMark/>
          </w:tcPr>
          <w:p w14:paraId="3B85F18F" w14:textId="77777777" w:rsidR="00AC0FC2" w:rsidRPr="00AC0FC2" w:rsidRDefault="00AC0FC2" w:rsidP="00AC0FC2">
            <w:pPr>
              <w:spacing w:line="278" w:lineRule="auto"/>
              <w:ind w:left="0"/>
              <w:jc w:val="left"/>
            </w:pPr>
            <w:r w:rsidRPr="00AC0FC2">
              <w:t>Selitve na nove lokacije</w:t>
            </w:r>
          </w:p>
        </w:tc>
        <w:tc>
          <w:tcPr>
            <w:tcW w:w="3415" w:type="dxa"/>
            <w:hideMark/>
          </w:tcPr>
          <w:p w14:paraId="1C90BEFD" w14:textId="77777777" w:rsidR="00AC0FC2" w:rsidRPr="00AC0FC2" w:rsidRDefault="00AC0FC2" w:rsidP="00AC0FC2">
            <w:pPr>
              <w:spacing w:line="278" w:lineRule="auto"/>
              <w:ind w:left="0"/>
              <w:jc w:val="left"/>
            </w:pPr>
            <w:r w:rsidRPr="00AC0FC2">
              <w:t>Služba za nepremičnine</w:t>
            </w:r>
            <w:r w:rsidRPr="00AC0FC2">
              <w:br/>
              <w:t>Splošna služba</w:t>
            </w:r>
            <w:r w:rsidRPr="00AC0FC2">
              <w:br/>
              <w:t>Služba za investicije</w:t>
            </w:r>
          </w:p>
        </w:tc>
      </w:tr>
      <w:tr w:rsidR="00AC0FC2" w:rsidRPr="00AC0FC2" w14:paraId="27501205" w14:textId="77777777" w:rsidTr="00AC0FC2">
        <w:trPr>
          <w:trHeight w:val="860"/>
        </w:trPr>
        <w:tc>
          <w:tcPr>
            <w:tcW w:w="926" w:type="dxa"/>
            <w:noWrap/>
            <w:hideMark/>
          </w:tcPr>
          <w:p w14:paraId="0B50634C" w14:textId="77777777" w:rsidR="00AC0FC2" w:rsidRPr="00AC0FC2" w:rsidRDefault="00AC0FC2" w:rsidP="00AC0FC2">
            <w:pPr>
              <w:spacing w:line="278" w:lineRule="auto"/>
              <w:ind w:left="0"/>
              <w:jc w:val="left"/>
            </w:pPr>
            <w:r w:rsidRPr="00AC0FC2">
              <w:t>8.2</w:t>
            </w:r>
          </w:p>
        </w:tc>
        <w:tc>
          <w:tcPr>
            <w:tcW w:w="4721" w:type="dxa"/>
            <w:noWrap/>
            <w:hideMark/>
          </w:tcPr>
          <w:p w14:paraId="25FE08B1" w14:textId="77777777" w:rsidR="00AC0FC2" w:rsidRPr="00AC0FC2" w:rsidRDefault="00AC0FC2" w:rsidP="00AC0FC2">
            <w:pPr>
              <w:spacing w:line="278" w:lineRule="auto"/>
              <w:ind w:left="0"/>
              <w:jc w:val="left"/>
            </w:pPr>
            <w:r w:rsidRPr="00AC0FC2">
              <w:t>Opremljanje prostorov</w:t>
            </w:r>
          </w:p>
        </w:tc>
        <w:tc>
          <w:tcPr>
            <w:tcW w:w="3415" w:type="dxa"/>
            <w:hideMark/>
          </w:tcPr>
          <w:p w14:paraId="1DA03CFA" w14:textId="77777777" w:rsidR="00AC0FC2" w:rsidRPr="00AC0FC2" w:rsidRDefault="00AC0FC2" w:rsidP="00AC0FC2">
            <w:pPr>
              <w:spacing w:line="278" w:lineRule="auto"/>
              <w:ind w:left="0"/>
              <w:jc w:val="left"/>
            </w:pPr>
            <w:r w:rsidRPr="00AC0FC2">
              <w:t>Služba za nepremičnine</w:t>
            </w:r>
            <w:r w:rsidRPr="00AC0FC2">
              <w:br/>
              <w:t>Splošna služba</w:t>
            </w:r>
            <w:r w:rsidRPr="00AC0FC2">
              <w:br/>
              <w:t>Služba za investicije</w:t>
            </w:r>
          </w:p>
        </w:tc>
      </w:tr>
      <w:tr w:rsidR="00AC0FC2" w:rsidRPr="00AC0FC2" w14:paraId="08AC3D47" w14:textId="77777777" w:rsidTr="00AC0FC2">
        <w:trPr>
          <w:trHeight w:val="574"/>
        </w:trPr>
        <w:tc>
          <w:tcPr>
            <w:tcW w:w="926" w:type="dxa"/>
            <w:noWrap/>
            <w:hideMark/>
          </w:tcPr>
          <w:p w14:paraId="45D0236E" w14:textId="77777777" w:rsidR="00AC0FC2" w:rsidRPr="00AC0FC2" w:rsidRDefault="00AC0FC2" w:rsidP="00AC0FC2">
            <w:pPr>
              <w:spacing w:line="278" w:lineRule="auto"/>
              <w:ind w:left="0"/>
              <w:jc w:val="left"/>
            </w:pPr>
            <w:r w:rsidRPr="00AC0FC2">
              <w:t>9</w:t>
            </w:r>
          </w:p>
        </w:tc>
        <w:tc>
          <w:tcPr>
            <w:tcW w:w="4721" w:type="dxa"/>
            <w:noWrap/>
            <w:hideMark/>
          </w:tcPr>
          <w:p w14:paraId="5CEC1617" w14:textId="77777777" w:rsidR="00AC0FC2" w:rsidRPr="00AC0FC2" w:rsidRDefault="00AC0FC2" w:rsidP="00AC0FC2">
            <w:pPr>
              <w:spacing w:line="278" w:lineRule="auto"/>
              <w:ind w:left="0"/>
              <w:jc w:val="left"/>
              <w:rPr>
                <w:b/>
                <w:bCs/>
              </w:rPr>
            </w:pPr>
            <w:r w:rsidRPr="00AC0FC2">
              <w:rPr>
                <w:b/>
                <w:bCs/>
              </w:rPr>
              <w:t>Redarske in inšpekcijske službe</w:t>
            </w:r>
          </w:p>
        </w:tc>
        <w:tc>
          <w:tcPr>
            <w:tcW w:w="3415" w:type="dxa"/>
            <w:hideMark/>
          </w:tcPr>
          <w:p w14:paraId="6818561B" w14:textId="77777777" w:rsidR="00AC0FC2" w:rsidRPr="00AC0FC2" w:rsidRDefault="00AC0FC2" w:rsidP="00AC0FC2">
            <w:pPr>
              <w:spacing w:line="278" w:lineRule="auto"/>
              <w:ind w:left="0"/>
              <w:jc w:val="left"/>
            </w:pPr>
            <w:r w:rsidRPr="00AC0FC2">
              <w:t>Medobčinski inšpekcijski nadzor</w:t>
            </w:r>
            <w:r w:rsidRPr="00AC0FC2">
              <w:br/>
              <w:t>Medobčinska redarska služba</w:t>
            </w:r>
          </w:p>
        </w:tc>
      </w:tr>
      <w:tr w:rsidR="00AC0FC2" w:rsidRPr="00AC0FC2" w14:paraId="29D4EB6B" w14:textId="77777777" w:rsidTr="00AC0FC2">
        <w:trPr>
          <w:trHeight w:val="287"/>
        </w:trPr>
        <w:tc>
          <w:tcPr>
            <w:tcW w:w="926" w:type="dxa"/>
            <w:noWrap/>
            <w:hideMark/>
          </w:tcPr>
          <w:p w14:paraId="52B77CBF" w14:textId="77777777" w:rsidR="00AC0FC2" w:rsidRPr="00AC0FC2" w:rsidRDefault="00AC0FC2" w:rsidP="00AC0FC2">
            <w:pPr>
              <w:spacing w:line="278" w:lineRule="auto"/>
              <w:ind w:left="0"/>
              <w:jc w:val="left"/>
            </w:pPr>
            <w:r w:rsidRPr="00AC0FC2">
              <w:t xml:space="preserve">10 </w:t>
            </w:r>
          </w:p>
        </w:tc>
        <w:tc>
          <w:tcPr>
            <w:tcW w:w="4721" w:type="dxa"/>
            <w:noWrap/>
            <w:hideMark/>
          </w:tcPr>
          <w:p w14:paraId="64398ED1" w14:textId="77777777" w:rsidR="00AC0FC2" w:rsidRPr="00AC0FC2" w:rsidRDefault="00AC0FC2" w:rsidP="00AC0FC2">
            <w:pPr>
              <w:spacing w:line="278" w:lineRule="auto"/>
              <w:ind w:left="0"/>
              <w:jc w:val="left"/>
              <w:rPr>
                <w:b/>
                <w:bCs/>
              </w:rPr>
            </w:pPr>
            <w:r w:rsidRPr="00AC0FC2">
              <w:rPr>
                <w:b/>
                <w:bCs/>
              </w:rPr>
              <w:t>Zbiranje pobud  za višjo stopnjo dostopnosti</w:t>
            </w:r>
          </w:p>
        </w:tc>
        <w:tc>
          <w:tcPr>
            <w:tcW w:w="3415" w:type="dxa"/>
            <w:hideMark/>
          </w:tcPr>
          <w:p w14:paraId="0F28C331" w14:textId="77777777" w:rsidR="00AC0FC2" w:rsidRPr="00AC0FC2" w:rsidRDefault="00AC0FC2" w:rsidP="00AC0FC2">
            <w:pPr>
              <w:spacing w:line="278" w:lineRule="auto"/>
              <w:ind w:left="0"/>
              <w:jc w:val="left"/>
            </w:pPr>
            <w:r w:rsidRPr="00AC0FC2">
              <w:t>Služba za okolje in prostor</w:t>
            </w:r>
          </w:p>
        </w:tc>
      </w:tr>
    </w:tbl>
    <w:p w14:paraId="74962E1E" w14:textId="4EC4FC41" w:rsidR="00E64981" w:rsidRDefault="00E64981" w:rsidP="00023928">
      <w:pPr>
        <w:spacing w:line="278" w:lineRule="auto"/>
        <w:ind w:left="0"/>
        <w:jc w:val="left"/>
      </w:pPr>
    </w:p>
    <w:sectPr w:rsidR="00E6498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5945" w14:textId="77777777" w:rsidR="00901F21" w:rsidRDefault="00901F21" w:rsidP="00550202">
      <w:pPr>
        <w:spacing w:after="0" w:line="240" w:lineRule="auto"/>
      </w:pPr>
      <w:r>
        <w:separator/>
      </w:r>
    </w:p>
  </w:endnote>
  <w:endnote w:type="continuationSeparator" w:id="0">
    <w:p w14:paraId="15901ADB" w14:textId="77777777" w:rsidR="00901F21" w:rsidRDefault="00901F21" w:rsidP="0055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D8FA" w14:textId="77777777" w:rsidR="00DD142F" w:rsidRDefault="00DD1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843737"/>
      <w:docPartObj>
        <w:docPartGallery w:val="Page Numbers (Bottom of Page)"/>
        <w:docPartUnique/>
      </w:docPartObj>
    </w:sdtPr>
    <w:sdtEndPr/>
    <w:sdtContent>
      <w:p w14:paraId="23CDA20E" w14:textId="099EDF0D" w:rsidR="00E75315" w:rsidRDefault="00E75315">
        <w:pPr>
          <w:pStyle w:val="Footer"/>
          <w:jc w:val="center"/>
        </w:pPr>
        <w:r>
          <w:fldChar w:fldCharType="begin"/>
        </w:r>
        <w:r>
          <w:instrText>PAGE   \* MERGEFORMAT</w:instrText>
        </w:r>
        <w:r>
          <w:fldChar w:fldCharType="separate"/>
        </w:r>
        <w:r>
          <w:t>2</w:t>
        </w:r>
        <w:r>
          <w:fldChar w:fldCharType="end"/>
        </w:r>
      </w:p>
    </w:sdtContent>
  </w:sdt>
  <w:p w14:paraId="4B7A60ED" w14:textId="77777777" w:rsidR="00E75315" w:rsidRDefault="00E75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55D5" w14:textId="77777777" w:rsidR="00DD142F" w:rsidRDefault="00DD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3A05B" w14:textId="77777777" w:rsidR="00901F21" w:rsidRDefault="00901F21" w:rsidP="00550202">
      <w:pPr>
        <w:spacing w:after="0" w:line="240" w:lineRule="auto"/>
      </w:pPr>
      <w:r>
        <w:separator/>
      </w:r>
    </w:p>
  </w:footnote>
  <w:footnote w:type="continuationSeparator" w:id="0">
    <w:p w14:paraId="6039CCD2" w14:textId="77777777" w:rsidR="00901F21" w:rsidRDefault="00901F21" w:rsidP="00550202">
      <w:pPr>
        <w:spacing w:after="0" w:line="240" w:lineRule="auto"/>
      </w:pPr>
      <w:r>
        <w:continuationSeparator/>
      </w:r>
    </w:p>
  </w:footnote>
  <w:footnote w:id="1">
    <w:p w14:paraId="4A0C9A4B" w14:textId="4706DD16" w:rsidR="002E611C" w:rsidRDefault="002E611C" w:rsidP="002E611C">
      <w:pPr>
        <w:spacing w:after="120"/>
        <w:ind w:left="1276"/>
      </w:pPr>
      <w:r>
        <w:rPr>
          <w:rStyle w:val="FootnoteReference"/>
        </w:rPr>
        <w:footnoteRef/>
      </w:r>
      <w:r>
        <w:t xml:space="preserve"> Na območju Bevkovega trga veljajo dodatni pogoji - glej Prilogo 4. </w:t>
      </w:r>
    </w:p>
    <w:p w14:paraId="46CA0FB0" w14:textId="60880A95" w:rsidR="002E611C" w:rsidRDefault="002E611C">
      <w:pPr>
        <w:pStyle w:val="FootnoteText"/>
      </w:pPr>
    </w:p>
  </w:footnote>
  <w:footnote w:id="2">
    <w:p w14:paraId="4B20DEF6" w14:textId="77777777" w:rsidR="002E611C" w:rsidRDefault="002E611C" w:rsidP="002E611C">
      <w:pPr>
        <w:pStyle w:val="FootnoteText"/>
      </w:pPr>
    </w:p>
  </w:footnote>
  <w:footnote w:id="3">
    <w:p w14:paraId="317F883C" w14:textId="6A077DC9" w:rsidR="00086AFD" w:rsidRDefault="00086AFD" w:rsidP="00086AFD">
      <w:pPr>
        <w:spacing w:after="120"/>
        <w:ind w:left="993"/>
      </w:pPr>
      <w:r>
        <w:rPr>
          <w:rStyle w:val="FootnoteReference"/>
        </w:rPr>
        <w:footnoteRef/>
      </w:r>
      <w:r>
        <w:t xml:space="preserve">  Na območju Bevkovega trga, veljajo posebni pogoji (glej Prilogo 4). </w:t>
      </w:r>
    </w:p>
    <w:p w14:paraId="7766C29D" w14:textId="049A3826" w:rsidR="00086AFD" w:rsidRDefault="00086A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0AC4" w14:textId="77777777" w:rsidR="00DD142F" w:rsidRDefault="00DD1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F583" w14:textId="3E900ED2" w:rsidR="00550202" w:rsidRDefault="00550202" w:rsidP="00550202">
    <w:pPr>
      <w:pStyle w:val="Header"/>
      <w:jc w:val="center"/>
      <w:rPr>
        <w:sz w:val="20"/>
        <w:szCs w:val="20"/>
      </w:rPr>
    </w:pPr>
    <w:r w:rsidRPr="009B0BF3">
      <w:rPr>
        <w:sz w:val="20"/>
        <w:szCs w:val="20"/>
      </w:rPr>
      <w:t>Akcijski načrt dostopnosti MONG 202</w:t>
    </w:r>
    <w:r w:rsidR="00DD142F">
      <w:rPr>
        <w:sz w:val="20"/>
        <w:szCs w:val="20"/>
      </w:rPr>
      <w:t>6</w:t>
    </w:r>
    <w:r w:rsidRPr="009B0BF3">
      <w:rPr>
        <w:sz w:val="20"/>
        <w:szCs w:val="20"/>
      </w:rPr>
      <w:t>- 202</w:t>
    </w:r>
    <w:r w:rsidR="00DD142F">
      <w:rPr>
        <w:sz w:val="20"/>
        <w:szCs w:val="20"/>
      </w:rPr>
      <w:t>9</w:t>
    </w:r>
    <w:r w:rsidRPr="009B0BF3">
      <w:rPr>
        <w:sz w:val="20"/>
        <w:szCs w:val="20"/>
      </w:rPr>
      <w:t xml:space="preserve">/ Priloga </w:t>
    </w:r>
    <w:r>
      <w:rPr>
        <w:sz w:val="20"/>
        <w:szCs w:val="20"/>
      </w:rPr>
      <w:t>1</w:t>
    </w:r>
  </w:p>
  <w:p w14:paraId="7D74D59F" w14:textId="77777777" w:rsidR="00550202" w:rsidRDefault="00550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B43C" w14:textId="77777777" w:rsidR="00DD142F" w:rsidRDefault="00DD1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028"/>
    <w:multiLevelType w:val="hybridMultilevel"/>
    <w:tmpl w:val="EB222494"/>
    <w:lvl w:ilvl="0" w:tplc="04240001">
      <w:start w:val="1"/>
      <w:numFmt w:val="bullet"/>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 w15:restartNumberingAfterBreak="0">
    <w:nsid w:val="08AD7F52"/>
    <w:multiLevelType w:val="hybridMultilevel"/>
    <w:tmpl w:val="90B8775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8A3982"/>
    <w:multiLevelType w:val="hybridMultilevel"/>
    <w:tmpl w:val="112C16F6"/>
    <w:lvl w:ilvl="0" w:tplc="A2CAB91C">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3" w15:restartNumberingAfterBreak="0">
    <w:nsid w:val="21432D7A"/>
    <w:multiLevelType w:val="hybridMultilevel"/>
    <w:tmpl w:val="AC1C5416"/>
    <w:lvl w:ilvl="0" w:tplc="04240001">
      <w:start w:val="1"/>
      <w:numFmt w:val="bullet"/>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15:restartNumberingAfterBreak="0">
    <w:nsid w:val="2CB54548"/>
    <w:multiLevelType w:val="hybridMultilevel"/>
    <w:tmpl w:val="08DC345E"/>
    <w:lvl w:ilvl="0" w:tplc="FFFFFFFF">
      <w:start w:val="1"/>
      <w:numFmt w:val="bullet"/>
      <w:lvlText w:val=""/>
      <w:lvlJc w:val="left"/>
      <w:pPr>
        <w:ind w:left="720" w:hanging="360"/>
      </w:pPr>
      <w:rPr>
        <w:rFonts w:ascii="Symbol" w:hAnsi="Symbol" w:hint="default"/>
      </w:rPr>
    </w:lvl>
    <w:lvl w:ilvl="1" w:tplc="4822D156">
      <w:numFmt w:val="bullet"/>
      <w:lvlText w:val="-"/>
      <w:lvlJc w:val="left"/>
      <w:pPr>
        <w:ind w:left="1440" w:hanging="360"/>
      </w:pPr>
      <w:rPr>
        <w:rFonts w:ascii="Calibri" w:eastAsiaTheme="minorEastAsia"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4A3375"/>
    <w:multiLevelType w:val="hybridMultilevel"/>
    <w:tmpl w:val="7E60C254"/>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942A8B"/>
    <w:multiLevelType w:val="hybridMultilevel"/>
    <w:tmpl w:val="B036B218"/>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7" w15:restartNumberingAfterBreak="0">
    <w:nsid w:val="423B0D3B"/>
    <w:multiLevelType w:val="hybridMultilevel"/>
    <w:tmpl w:val="89C83320"/>
    <w:lvl w:ilvl="0" w:tplc="04240001">
      <w:start w:val="1"/>
      <w:numFmt w:val="bullet"/>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8" w15:restartNumberingAfterBreak="0">
    <w:nsid w:val="479D19C8"/>
    <w:multiLevelType w:val="hybridMultilevel"/>
    <w:tmpl w:val="DE9A74A6"/>
    <w:lvl w:ilvl="0" w:tplc="A5A67B0C">
      <w:start w:val="1"/>
      <w:numFmt w:val="bullet"/>
      <w:pStyle w:val="ListParagraph"/>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9" w15:restartNumberingAfterBreak="0">
    <w:nsid w:val="4B6D533B"/>
    <w:multiLevelType w:val="hybridMultilevel"/>
    <w:tmpl w:val="025601E6"/>
    <w:lvl w:ilvl="0" w:tplc="C556FCB4">
      <w:numFmt w:val="bullet"/>
      <w:pStyle w:val="ListParagraph2"/>
      <w:lvlText w:val="-"/>
      <w:lvlJc w:val="left"/>
      <w:pPr>
        <w:ind w:left="720" w:hanging="360"/>
      </w:pPr>
      <w:rPr>
        <w:rFonts w:ascii="Bahnschrift Light" w:eastAsiaTheme="minorEastAsia" w:hAnsi="Bahnschrift Light"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C86E5B"/>
    <w:multiLevelType w:val="hybridMultilevel"/>
    <w:tmpl w:val="643CD9C6"/>
    <w:lvl w:ilvl="0" w:tplc="57DABCF4">
      <w:start w:val="1"/>
      <w:numFmt w:val="bullet"/>
      <w:lvlText w:val="-"/>
      <w:lvlJc w:val="left"/>
      <w:pPr>
        <w:ind w:left="1211" w:hanging="360"/>
      </w:pPr>
      <w:rPr>
        <w:rFonts w:ascii="Calibri" w:eastAsia="SimSun"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1" w15:restartNumberingAfterBreak="0">
    <w:nsid w:val="565B1720"/>
    <w:multiLevelType w:val="hybridMultilevel"/>
    <w:tmpl w:val="BDECB4A2"/>
    <w:lvl w:ilvl="0" w:tplc="04240001">
      <w:start w:val="1"/>
      <w:numFmt w:val="bullet"/>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2" w15:restartNumberingAfterBreak="0">
    <w:nsid w:val="649749EA"/>
    <w:multiLevelType w:val="hybridMultilevel"/>
    <w:tmpl w:val="102E09C4"/>
    <w:lvl w:ilvl="0" w:tplc="0424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652C0E13"/>
    <w:multiLevelType w:val="hybridMultilevel"/>
    <w:tmpl w:val="0BFE5212"/>
    <w:lvl w:ilvl="0" w:tplc="4822D156">
      <w:numFmt w:val="bullet"/>
      <w:lvlText w:val="-"/>
      <w:lvlJc w:val="left"/>
      <w:pPr>
        <w:ind w:left="1211" w:hanging="360"/>
      </w:pPr>
      <w:rPr>
        <w:rFonts w:ascii="Calibri" w:eastAsiaTheme="minorEastAsia" w:hAnsi="Calibri" w:cs="Calibri"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4" w15:restartNumberingAfterBreak="0">
    <w:nsid w:val="70972112"/>
    <w:multiLevelType w:val="hybridMultilevel"/>
    <w:tmpl w:val="71426CD2"/>
    <w:lvl w:ilvl="0" w:tplc="93825E84">
      <w:start w:val="9"/>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5" w15:restartNumberingAfterBreak="0">
    <w:nsid w:val="75EC3B6F"/>
    <w:multiLevelType w:val="hybridMultilevel"/>
    <w:tmpl w:val="B1DAAD64"/>
    <w:lvl w:ilvl="0" w:tplc="04240001">
      <w:start w:val="1"/>
      <w:numFmt w:val="bullet"/>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num w:numId="1" w16cid:durableId="1982076749">
    <w:abstractNumId w:val="9"/>
  </w:num>
  <w:num w:numId="2" w16cid:durableId="1801262757">
    <w:abstractNumId w:val="4"/>
  </w:num>
  <w:num w:numId="3" w16cid:durableId="524486387">
    <w:abstractNumId w:val="2"/>
  </w:num>
  <w:num w:numId="4" w16cid:durableId="197937652">
    <w:abstractNumId w:val="8"/>
  </w:num>
  <w:num w:numId="5" w16cid:durableId="815535898">
    <w:abstractNumId w:val="1"/>
  </w:num>
  <w:num w:numId="6" w16cid:durableId="449203040">
    <w:abstractNumId w:val="15"/>
  </w:num>
  <w:num w:numId="7" w16cid:durableId="966817525">
    <w:abstractNumId w:val="11"/>
  </w:num>
  <w:num w:numId="8" w16cid:durableId="973943791">
    <w:abstractNumId w:val="3"/>
  </w:num>
  <w:num w:numId="9" w16cid:durableId="475756628">
    <w:abstractNumId w:val="0"/>
  </w:num>
  <w:num w:numId="10" w16cid:durableId="1370883905">
    <w:abstractNumId w:val="12"/>
  </w:num>
  <w:num w:numId="11" w16cid:durableId="1689984483">
    <w:abstractNumId w:val="7"/>
  </w:num>
  <w:num w:numId="12" w16cid:durableId="935207355">
    <w:abstractNumId w:val="14"/>
  </w:num>
  <w:num w:numId="13" w16cid:durableId="1407998547">
    <w:abstractNumId w:val="5"/>
  </w:num>
  <w:num w:numId="14" w16cid:durableId="1743066050">
    <w:abstractNumId w:val="6"/>
  </w:num>
  <w:num w:numId="15" w16cid:durableId="1345592318">
    <w:abstractNumId w:val="9"/>
  </w:num>
  <w:num w:numId="16" w16cid:durableId="1008286370">
    <w:abstractNumId w:val="9"/>
  </w:num>
  <w:num w:numId="17" w16cid:durableId="692534055">
    <w:abstractNumId w:val="9"/>
  </w:num>
  <w:num w:numId="18" w16cid:durableId="363947458">
    <w:abstractNumId w:val="13"/>
  </w:num>
  <w:num w:numId="19" w16cid:durableId="1006590923">
    <w:abstractNumId w:val="8"/>
  </w:num>
  <w:num w:numId="20" w16cid:durableId="1389455034">
    <w:abstractNumId w:val="8"/>
  </w:num>
  <w:num w:numId="21" w16cid:durableId="445587670">
    <w:abstractNumId w:val="8"/>
  </w:num>
  <w:num w:numId="22" w16cid:durableId="869420254">
    <w:abstractNumId w:val="8"/>
  </w:num>
  <w:num w:numId="23" w16cid:durableId="82772932">
    <w:abstractNumId w:val="10"/>
  </w:num>
  <w:num w:numId="24" w16cid:durableId="1659268842">
    <w:abstractNumId w:val="8"/>
  </w:num>
  <w:num w:numId="25" w16cid:durableId="1657568493">
    <w:abstractNumId w:val="8"/>
  </w:num>
  <w:num w:numId="26" w16cid:durableId="1165052586">
    <w:abstractNumId w:val="9"/>
  </w:num>
  <w:num w:numId="27" w16cid:durableId="1540312478">
    <w:abstractNumId w:val="9"/>
  </w:num>
  <w:num w:numId="28" w16cid:durableId="468473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17"/>
    <w:rsid w:val="00007967"/>
    <w:rsid w:val="00023928"/>
    <w:rsid w:val="00026F1E"/>
    <w:rsid w:val="0003740C"/>
    <w:rsid w:val="00045FBE"/>
    <w:rsid w:val="000707A9"/>
    <w:rsid w:val="00084A47"/>
    <w:rsid w:val="00086AFD"/>
    <w:rsid w:val="0009043E"/>
    <w:rsid w:val="000C1127"/>
    <w:rsid w:val="000C3854"/>
    <w:rsid w:val="000C7EDB"/>
    <w:rsid w:val="000D64AE"/>
    <w:rsid w:val="000F010B"/>
    <w:rsid w:val="00127A88"/>
    <w:rsid w:val="0014524C"/>
    <w:rsid w:val="0014774A"/>
    <w:rsid w:val="00161E50"/>
    <w:rsid w:val="00171150"/>
    <w:rsid w:val="00172F3C"/>
    <w:rsid w:val="00175CDF"/>
    <w:rsid w:val="00177EB0"/>
    <w:rsid w:val="001A0540"/>
    <w:rsid w:val="001E063E"/>
    <w:rsid w:val="001F2191"/>
    <w:rsid w:val="001F6D5C"/>
    <w:rsid w:val="001F70BD"/>
    <w:rsid w:val="002003A8"/>
    <w:rsid w:val="00213140"/>
    <w:rsid w:val="0022151D"/>
    <w:rsid w:val="002419FA"/>
    <w:rsid w:val="00246B5D"/>
    <w:rsid w:val="00255BC2"/>
    <w:rsid w:val="00257B1D"/>
    <w:rsid w:val="002703C5"/>
    <w:rsid w:val="002829DB"/>
    <w:rsid w:val="00291A99"/>
    <w:rsid w:val="0029788B"/>
    <w:rsid w:val="002A5D9F"/>
    <w:rsid w:val="002D7E09"/>
    <w:rsid w:val="002E2F58"/>
    <w:rsid w:val="002E611C"/>
    <w:rsid w:val="0030036A"/>
    <w:rsid w:val="00310809"/>
    <w:rsid w:val="003227C9"/>
    <w:rsid w:val="003304AA"/>
    <w:rsid w:val="00350EF3"/>
    <w:rsid w:val="00356BF0"/>
    <w:rsid w:val="00364905"/>
    <w:rsid w:val="00396A8D"/>
    <w:rsid w:val="003A0E17"/>
    <w:rsid w:val="003B420A"/>
    <w:rsid w:val="003C4B86"/>
    <w:rsid w:val="003D333D"/>
    <w:rsid w:val="003E4B6E"/>
    <w:rsid w:val="004001B3"/>
    <w:rsid w:val="00407CFA"/>
    <w:rsid w:val="0042745B"/>
    <w:rsid w:val="00431DE9"/>
    <w:rsid w:val="004655D4"/>
    <w:rsid w:val="00490749"/>
    <w:rsid w:val="004C7CA5"/>
    <w:rsid w:val="004E6F1B"/>
    <w:rsid w:val="004F20AB"/>
    <w:rsid w:val="004F4D21"/>
    <w:rsid w:val="0051460C"/>
    <w:rsid w:val="00516881"/>
    <w:rsid w:val="0053560A"/>
    <w:rsid w:val="0054775C"/>
    <w:rsid w:val="00550202"/>
    <w:rsid w:val="00584E65"/>
    <w:rsid w:val="005952BF"/>
    <w:rsid w:val="005A70E7"/>
    <w:rsid w:val="005B7B0A"/>
    <w:rsid w:val="005C6224"/>
    <w:rsid w:val="005D3F9F"/>
    <w:rsid w:val="005E7C35"/>
    <w:rsid w:val="00602B5E"/>
    <w:rsid w:val="00613363"/>
    <w:rsid w:val="006410CE"/>
    <w:rsid w:val="00643D96"/>
    <w:rsid w:val="00650217"/>
    <w:rsid w:val="00651AED"/>
    <w:rsid w:val="00673474"/>
    <w:rsid w:val="00674C7F"/>
    <w:rsid w:val="006879E9"/>
    <w:rsid w:val="00697637"/>
    <w:rsid w:val="006C49CC"/>
    <w:rsid w:val="006C4A86"/>
    <w:rsid w:val="006F0126"/>
    <w:rsid w:val="006F4140"/>
    <w:rsid w:val="0070718B"/>
    <w:rsid w:val="0071341F"/>
    <w:rsid w:val="00714E7B"/>
    <w:rsid w:val="007411E0"/>
    <w:rsid w:val="007412F5"/>
    <w:rsid w:val="0077736D"/>
    <w:rsid w:val="00792167"/>
    <w:rsid w:val="00810AF7"/>
    <w:rsid w:val="00814E58"/>
    <w:rsid w:val="008276A3"/>
    <w:rsid w:val="00830417"/>
    <w:rsid w:val="008924EE"/>
    <w:rsid w:val="008A15B7"/>
    <w:rsid w:val="008D2B02"/>
    <w:rsid w:val="00900407"/>
    <w:rsid w:val="00901F21"/>
    <w:rsid w:val="00905219"/>
    <w:rsid w:val="00905838"/>
    <w:rsid w:val="00921DF7"/>
    <w:rsid w:val="00934E5F"/>
    <w:rsid w:val="009538F8"/>
    <w:rsid w:val="00954F65"/>
    <w:rsid w:val="00970067"/>
    <w:rsid w:val="00981EF5"/>
    <w:rsid w:val="0098582B"/>
    <w:rsid w:val="009C3476"/>
    <w:rsid w:val="009C676E"/>
    <w:rsid w:val="00A04211"/>
    <w:rsid w:val="00A116C3"/>
    <w:rsid w:val="00A2576F"/>
    <w:rsid w:val="00A31757"/>
    <w:rsid w:val="00A37E1B"/>
    <w:rsid w:val="00A43908"/>
    <w:rsid w:val="00A53453"/>
    <w:rsid w:val="00A62C18"/>
    <w:rsid w:val="00A65C99"/>
    <w:rsid w:val="00A70F52"/>
    <w:rsid w:val="00A9208B"/>
    <w:rsid w:val="00AC0FC2"/>
    <w:rsid w:val="00AC6D6D"/>
    <w:rsid w:val="00AF07C1"/>
    <w:rsid w:val="00B14929"/>
    <w:rsid w:val="00B51C13"/>
    <w:rsid w:val="00B605F9"/>
    <w:rsid w:val="00B60885"/>
    <w:rsid w:val="00B75605"/>
    <w:rsid w:val="00B87B42"/>
    <w:rsid w:val="00B900D3"/>
    <w:rsid w:val="00BA15EE"/>
    <w:rsid w:val="00BA6C0A"/>
    <w:rsid w:val="00BB0379"/>
    <w:rsid w:val="00BB2164"/>
    <w:rsid w:val="00BB3656"/>
    <w:rsid w:val="00BC15BC"/>
    <w:rsid w:val="00BF73F6"/>
    <w:rsid w:val="00C11E2C"/>
    <w:rsid w:val="00C16CD0"/>
    <w:rsid w:val="00C2738D"/>
    <w:rsid w:val="00C4555F"/>
    <w:rsid w:val="00C5188D"/>
    <w:rsid w:val="00C523D1"/>
    <w:rsid w:val="00C8668E"/>
    <w:rsid w:val="00C9212A"/>
    <w:rsid w:val="00C94652"/>
    <w:rsid w:val="00C9498B"/>
    <w:rsid w:val="00C95E6A"/>
    <w:rsid w:val="00CA56F5"/>
    <w:rsid w:val="00CA6261"/>
    <w:rsid w:val="00CB209E"/>
    <w:rsid w:val="00CD7D4C"/>
    <w:rsid w:val="00CF033D"/>
    <w:rsid w:val="00D12D3C"/>
    <w:rsid w:val="00D2750F"/>
    <w:rsid w:val="00D70FD9"/>
    <w:rsid w:val="00DB0191"/>
    <w:rsid w:val="00DC1FFC"/>
    <w:rsid w:val="00DC2436"/>
    <w:rsid w:val="00DC6BB9"/>
    <w:rsid w:val="00DD142F"/>
    <w:rsid w:val="00E01921"/>
    <w:rsid w:val="00E161AE"/>
    <w:rsid w:val="00E22A4B"/>
    <w:rsid w:val="00E22D66"/>
    <w:rsid w:val="00E40222"/>
    <w:rsid w:val="00E468CB"/>
    <w:rsid w:val="00E56EB1"/>
    <w:rsid w:val="00E60840"/>
    <w:rsid w:val="00E64981"/>
    <w:rsid w:val="00E75315"/>
    <w:rsid w:val="00E85582"/>
    <w:rsid w:val="00E8748E"/>
    <w:rsid w:val="00EF1CD6"/>
    <w:rsid w:val="00F453C8"/>
    <w:rsid w:val="00F605AE"/>
    <w:rsid w:val="00F61DEA"/>
    <w:rsid w:val="00F752FA"/>
    <w:rsid w:val="00F7665A"/>
    <w:rsid w:val="00F77277"/>
    <w:rsid w:val="00F84293"/>
    <w:rsid w:val="00FB4A27"/>
    <w:rsid w:val="00FE0F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2229"/>
  <w15:chartTrackingRefBased/>
  <w15:docId w15:val="{CA6F9934-CE3A-4F61-B33B-4707F982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17"/>
    <w:pPr>
      <w:spacing w:line="276" w:lineRule="auto"/>
      <w:ind w:left="851"/>
      <w:jc w:val="both"/>
    </w:pPr>
    <w:rPr>
      <w:rFonts w:ascii="Calibri" w:eastAsiaTheme="minorEastAsia" w:hAnsi="Calibri"/>
      <w:color w:val="000000" w:themeColor="text1"/>
      <w:kern w:val="0"/>
      <w:sz w:val="22"/>
      <w:szCs w:val="21"/>
      <w:lang w:eastAsia="zh-CN"/>
      <w14:ligatures w14:val="none"/>
    </w:rPr>
  </w:style>
  <w:style w:type="paragraph" w:styleId="Heading1">
    <w:name w:val="heading 1"/>
    <w:basedOn w:val="Normal"/>
    <w:next w:val="Normal"/>
    <w:link w:val="Heading1Char"/>
    <w:uiPriority w:val="9"/>
    <w:qFormat/>
    <w:rsid w:val="00830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0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0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0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0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0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417"/>
    <w:rPr>
      <w:rFonts w:eastAsiaTheme="majorEastAsia" w:cstheme="majorBidi"/>
      <w:color w:val="272727" w:themeColor="text1" w:themeTint="D8"/>
    </w:rPr>
  </w:style>
  <w:style w:type="paragraph" w:styleId="Title">
    <w:name w:val="Title"/>
    <w:basedOn w:val="Normal"/>
    <w:next w:val="Normal"/>
    <w:link w:val="TitleChar"/>
    <w:uiPriority w:val="10"/>
    <w:qFormat/>
    <w:rsid w:val="00830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417"/>
    <w:pPr>
      <w:numPr>
        <w:ilvl w:val="1"/>
      </w:numPr>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417"/>
    <w:pPr>
      <w:spacing w:before="160"/>
      <w:jc w:val="center"/>
    </w:pPr>
    <w:rPr>
      <w:i/>
      <w:iCs/>
      <w:color w:val="404040" w:themeColor="text1" w:themeTint="BF"/>
    </w:rPr>
  </w:style>
  <w:style w:type="character" w:customStyle="1" w:styleId="QuoteChar">
    <w:name w:val="Quote Char"/>
    <w:basedOn w:val="DefaultParagraphFont"/>
    <w:link w:val="Quote"/>
    <w:uiPriority w:val="29"/>
    <w:rsid w:val="00830417"/>
    <w:rPr>
      <w:i/>
      <w:iCs/>
      <w:color w:val="404040" w:themeColor="text1" w:themeTint="BF"/>
    </w:rPr>
  </w:style>
  <w:style w:type="paragraph" w:styleId="ListParagraph">
    <w:name w:val="List Paragraph"/>
    <w:basedOn w:val="Normal"/>
    <w:link w:val="ListParagraphChar"/>
    <w:uiPriority w:val="34"/>
    <w:qFormat/>
    <w:rsid w:val="00DC1FFC"/>
    <w:pPr>
      <w:numPr>
        <w:numId w:val="4"/>
      </w:numPr>
      <w:spacing w:after="120"/>
    </w:pPr>
    <w:rPr>
      <w:sz w:val="24"/>
      <w:szCs w:val="24"/>
    </w:rPr>
  </w:style>
  <w:style w:type="character" w:styleId="IntenseEmphasis">
    <w:name w:val="Intense Emphasis"/>
    <w:basedOn w:val="DefaultParagraphFont"/>
    <w:uiPriority w:val="21"/>
    <w:qFormat/>
    <w:rsid w:val="00830417"/>
    <w:rPr>
      <w:i/>
      <w:iCs/>
      <w:color w:val="0F4761" w:themeColor="accent1" w:themeShade="BF"/>
    </w:rPr>
  </w:style>
  <w:style w:type="paragraph" w:styleId="IntenseQuote">
    <w:name w:val="Intense Quote"/>
    <w:basedOn w:val="Normal"/>
    <w:next w:val="Normal"/>
    <w:link w:val="IntenseQuoteChar"/>
    <w:uiPriority w:val="30"/>
    <w:qFormat/>
    <w:rsid w:val="00830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417"/>
    <w:rPr>
      <w:i/>
      <w:iCs/>
      <w:color w:val="0F4761" w:themeColor="accent1" w:themeShade="BF"/>
    </w:rPr>
  </w:style>
  <w:style w:type="character" w:styleId="IntenseReference">
    <w:name w:val="Intense Reference"/>
    <w:basedOn w:val="DefaultParagraphFont"/>
    <w:uiPriority w:val="32"/>
    <w:qFormat/>
    <w:rsid w:val="00830417"/>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DC1FFC"/>
    <w:rPr>
      <w:rFonts w:ascii="Calibri" w:eastAsiaTheme="minorEastAsia" w:hAnsi="Calibri"/>
      <w:color w:val="000000" w:themeColor="text1"/>
      <w:kern w:val="0"/>
      <w:lang w:eastAsia="zh-CN"/>
      <w14:ligatures w14:val="none"/>
    </w:rPr>
  </w:style>
  <w:style w:type="paragraph" w:customStyle="1" w:styleId="ListParagraph2">
    <w:name w:val="List Paragraph 2"/>
    <w:basedOn w:val="ListParagraph"/>
    <w:link w:val="ListParagraph2Char"/>
    <w:qFormat/>
    <w:rsid w:val="00830417"/>
    <w:pPr>
      <w:numPr>
        <w:numId w:val="1"/>
      </w:numPr>
    </w:pPr>
  </w:style>
  <w:style w:type="character" w:customStyle="1" w:styleId="ListParagraph2Char">
    <w:name w:val="List Paragraph 2 Char"/>
    <w:basedOn w:val="ListParagraphChar"/>
    <w:link w:val="ListParagraph2"/>
    <w:rsid w:val="00830417"/>
    <w:rPr>
      <w:rFonts w:ascii="Calibri" w:eastAsiaTheme="minorEastAsia" w:hAnsi="Calibri"/>
      <w:color w:val="000000" w:themeColor="text1"/>
      <w:kern w:val="0"/>
      <w:sz w:val="22"/>
      <w:szCs w:val="21"/>
      <w:lang w:eastAsia="zh-CN"/>
      <w14:ligatures w14:val="none"/>
    </w:rPr>
  </w:style>
  <w:style w:type="character" w:styleId="CommentReference">
    <w:name w:val="annotation reference"/>
    <w:basedOn w:val="DefaultParagraphFont"/>
    <w:uiPriority w:val="99"/>
    <w:semiHidden/>
    <w:unhideWhenUsed/>
    <w:rsid w:val="00B900D3"/>
    <w:rPr>
      <w:sz w:val="16"/>
      <w:szCs w:val="16"/>
    </w:rPr>
  </w:style>
  <w:style w:type="paragraph" w:styleId="CommentText">
    <w:name w:val="annotation text"/>
    <w:basedOn w:val="Normal"/>
    <w:link w:val="CommentTextChar"/>
    <w:uiPriority w:val="99"/>
    <w:unhideWhenUsed/>
    <w:rsid w:val="00B900D3"/>
    <w:pPr>
      <w:spacing w:line="240" w:lineRule="auto"/>
    </w:pPr>
    <w:rPr>
      <w:sz w:val="20"/>
      <w:szCs w:val="20"/>
    </w:rPr>
  </w:style>
  <w:style w:type="character" w:customStyle="1" w:styleId="CommentTextChar">
    <w:name w:val="Comment Text Char"/>
    <w:basedOn w:val="DefaultParagraphFont"/>
    <w:link w:val="CommentText"/>
    <w:uiPriority w:val="99"/>
    <w:rsid w:val="00B900D3"/>
    <w:rPr>
      <w:rFonts w:ascii="Calibri" w:eastAsiaTheme="minorEastAsia" w:hAnsi="Calibri"/>
      <w:color w:val="000000" w:themeColor="text1"/>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B900D3"/>
    <w:rPr>
      <w:b/>
      <w:bCs/>
    </w:rPr>
  </w:style>
  <w:style w:type="character" w:customStyle="1" w:styleId="CommentSubjectChar">
    <w:name w:val="Comment Subject Char"/>
    <w:basedOn w:val="CommentTextChar"/>
    <w:link w:val="CommentSubject"/>
    <w:uiPriority w:val="99"/>
    <w:semiHidden/>
    <w:rsid w:val="00B900D3"/>
    <w:rPr>
      <w:rFonts w:ascii="Calibri" w:eastAsiaTheme="minorEastAsia" w:hAnsi="Calibri"/>
      <w:b/>
      <w:bCs/>
      <w:color w:val="000000" w:themeColor="text1"/>
      <w:kern w:val="0"/>
      <w:sz w:val="20"/>
      <w:szCs w:val="20"/>
      <w:lang w:eastAsia="zh-CN"/>
      <w14:ligatures w14:val="none"/>
    </w:rPr>
  </w:style>
  <w:style w:type="table" w:styleId="TableGrid">
    <w:name w:val="Table Grid"/>
    <w:basedOn w:val="TableNormal"/>
    <w:uiPriority w:val="39"/>
    <w:rsid w:val="0074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2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0202"/>
    <w:rPr>
      <w:rFonts w:ascii="Calibri" w:eastAsiaTheme="minorEastAsia" w:hAnsi="Calibri"/>
      <w:color w:val="000000" w:themeColor="text1"/>
      <w:kern w:val="0"/>
      <w:sz w:val="22"/>
      <w:szCs w:val="21"/>
      <w:lang w:eastAsia="zh-CN"/>
      <w14:ligatures w14:val="none"/>
    </w:rPr>
  </w:style>
  <w:style w:type="paragraph" w:styleId="Footer">
    <w:name w:val="footer"/>
    <w:basedOn w:val="Normal"/>
    <w:link w:val="FooterChar"/>
    <w:uiPriority w:val="99"/>
    <w:unhideWhenUsed/>
    <w:rsid w:val="005502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0202"/>
    <w:rPr>
      <w:rFonts w:ascii="Calibri" w:eastAsiaTheme="minorEastAsia" w:hAnsi="Calibri"/>
      <w:color w:val="000000" w:themeColor="text1"/>
      <w:kern w:val="0"/>
      <w:sz w:val="22"/>
      <w:szCs w:val="21"/>
      <w:lang w:eastAsia="zh-CN"/>
      <w14:ligatures w14:val="none"/>
    </w:rPr>
  </w:style>
  <w:style w:type="paragraph" w:styleId="Revision">
    <w:name w:val="Revision"/>
    <w:hidden/>
    <w:uiPriority w:val="99"/>
    <w:semiHidden/>
    <w:rsid w:val="00814E58"/>
    <w:pPr>
      <w:spacing w:after="0" w:line="240" w:lineRule="auto"/>
    </w:pPr>
    <w:rPr>
      <w:rFonts w:ascii="Calibri" w:eastAsiaTheme="minorEastAsia" w:hAnsi="Calibri"/>
      <w:color w:val="000000" w:themeColor="text1"/>
      <w:kern w:val="0"/>
      <w:sz w:val="22"/>
      <w:szCs w:val="21"/>
      <w:lang w:eastAsia="zh-CN"/>
      <w14:ligatures w14:val="none"/>
    </w:rPr>
  </w:style>
  <w:style w:type="paragraph" w:styleId="FootnoteText">
    <w:name w:val="footnote text"/>
    <w:basedOn w:val="Normal"/>
    <w:link w:val="FootnoteTextChar"/>
    <w:uiPriority w:val="99"/>
    <w:semiHidden/>
    <w:unhideWhenUsed/>
    <w:rsid w:val="002E6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11C"/>
    <w:rPr>
      <w:rFonts w:ascii="Calibri" w:eastAsiaTheme="minorEastAsia" w:hAnsi="Calibri"/>
      <w:color w:val="000000" w:themeColor="text1"/>
      <w:kern w:val="0"/>
      <w:sz w:val="20"/>
      <w:szCs w:val="20"/>
      <w:lang w:eastAsia="zh-CN"/>
      <w14:ligatures w14:val="none"/>
    </w:rPr>
  </w:style>
  <w:style w:type="character" w:styleId="FootnoteReference">
    <w:name w:val="footnote reference"/>
    <w:basedOn w:val="DefaultParagraphFont"/>
    <w:uiPriority w:val="99"/>
    <w:semiHidden/>
    <w:unhideWhenUsed/>
    <w:rsid w:val="002E6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33930">
      <w:bodyDiv w:val="1"/>
      <w:marLeft w:val="0"/>
      <w:marRight w:val="0"/>
      <w:marTop w:val="0"/>
      <w:marBottom w:val="0"/>
      <w:divBdr>
        <w:top w:val="none" w:sz="0" w:space="0" w:color="auto"/>
        <w:left w:val="none" w:sz="0" w:space="0" w:color="auto"/>
        <w:bottom w:val="none" w:sz="0" w:space="0" w:color="auto"/>
        <w:right w:val="none" w:sz="0" w:space="0" w:color="auto"/>
      </w:divBdr>
      <w:divsChild>
        <w:div w:id="307705429">
          <w:marLeft w:val="0"/>
          <w:marRight w:val="0"/>
          <w:marTop w:val="0"/>
          <w:marBottom w:val="0"/>
          <w:divBdr>
            <w:top w:val="none" w:sz="0" w:space="0" w:color="auto"/>
            <w:left w:val="none" w:sz="0" w:space="0" w:color="auto"/>
            <w:bottom w:val="none" w:sz="0" w:space="0" w:color="auto"/>
            <w:right w:val="none" w:sz="0" w:space="0" w:color="auto"/>
          </w:divBdr>
        </w:div>
        <w:div w:id="937740">
          <w:marLeft w:val="0"/>
          <w:marRight w:val="0"/>
          <w:marTop w:val="0"/>
          <w:marBottom w:val="0"/>
          <w:divBdr>
            <w:top w:val="none" w:sz="0" w:space="0" w:color="auto"/>
            <w:left w:val="none" w:sz="0" w:space="0" w:color="auto"/>
            <w:bottom w:val="none" w:sz="0" w:space="0" w:color="auto"/>
            <w:right w:val="none" w:sz="0" w:space="0" w:color="auto"/>
          </w:divBdr>
        </w:div>
      </w:divsChild>
    </w:div>
    <w:div w:id="719206086">
      <w:bodyDiv w:val="1"/>
      <w:marLeft w:val="0"/>
      <w:marRight w:val="0"/>
      <w:marTop w:val="0"/>
      <w:marBottom w:val="0"/>
      <w:divBdr>
        <w:top w:val="none" w:sz="0" w:space="0" w:color="auto"/>
        <w:left w:val="none" w:sz="0" w:space="0" w:color="auto"/>
        <w:bottom w:val="none" w:sz="0" w:space="0" w:color="auto"/>
        <w:right w:val="none" w:sz="0" w:space="0" w:color="auto"/>
      </w:divBdr>
    </w:div>
    <w:div w:id="1296716575">
      <w:bodyDiv w:val="1"/>
      <w:marLeft w:val="0"/>
      <w:marRight w:val="0"/>
      <w:marTop w:val="0"/>
      <w:marBottom w:val="0"/>
      <w:divBdr>
        <w:top w:val="none" w:sz="0" w:space="0" w:color="auto"/>
        <w:left w:val="none" w:sz="0" w:space="0" w:color="auto"/>
        <w:bottom w:val="none" w:sz="0" w:space="0" w:color="auto"/>
        <w:right w:val="none" w:sz="0" w:space="0" w:color="auto"/>
      </w:divBdr>
    </w:div>
    <w:div w:id="1477721778">
      <w:bodyDiv w:val="1"/>
      <w:marLeft w:val="0"/>
      <w:marRight w:val="0"/>
      <w:marTop w:val="0"/>
      <w:marBottom w:val="0"/>
      <w:divBdr>
        <w:top w:val="none" w:sz="0" w:space="0" w:color="auto"/>
        <w:left w:val="none" w:sz="0" w:space="0" w:color="auto"/>
        <w:bottom w:val="none" w:sz="0" w:space="0" w:color="auto"/>
        <w:right w:val="none" w:sz="0" w:space="0" w:color="auto"/>
      </w:divBdr>
    </w:div>
    <w:div w:id="1568686094">
      <w:bodyDiv w:val="1"/>
      <w:marLeft w:val="0"/>
      <w:marRight w:val="0"/>
      <w:marTop w:val="0"/>
      <w:marBottom w:val="0"/>
      <w:divBdr>
        <w:top w:val="none" w:sz="0" w:space="0" w:color="auto"/>
        <w:left w:val="none" w:sz="0" w:space="0" w:color="auto"/>
        <w:bottom w:val="none" w:sz="0" w:space="0" w:color="auto"/>
        <w:right w:val="none" w:sz="0" w:space="0" w:color="auto"/>
      </w:divBdr>
    </w:div>
    <w:div w:id="1670719337">
      <w:bodyDiv w:val="1"/>
      <w:marLeft w:val="0"/>
      <w:marRight w:val="0"/>
      <w:marTop w:val="0"/>
      <w:marBottom w:val="0"/>
      <w:divBdr>
        <w:top w:val="none" w:sz="0" w:space="0" w:color="auto"/>
        <w:left w:val="none" w:sz="0" w:space="0" w:color="auto"/>
        <w:bottom w:val="none" w:sz="0" w:space="0" w:color="auto"/>
        <w:right w:val="none" w:sz="0" w:space="0" w:color="auto"/>
      </w:divBdr>
    </w:div>
    <w:div w:id="20802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ba09af-8ace-48d9-94a3-08c807bc2c6f" xsi:nil="true"/>
    <lcf76f155ced4ddcb4097134ff3c332f xmlns="c4ddcc4e-2de7-419a-9f85-f4ee355501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5B0759CF23B0408CF9558A2E0BA1DF" ma:contentTypeVersion="12" ma:contentTypeDescription="Ustvari nov dokument." ma:contentTypeScope="" ma:versionID="d871048bb49518ce8fade06bc0073308">
  <xsd:schema xmlns:xsd="http://www.w3.org/2001/XMLSchema" xmlns:xs="http://www.w3.org/2001/XMLSchema" xmlns:p="http://schemas.microsoft.com/office/2006/metadata/properties" xmlns:ns2="c4ddcc4e-2de7-419a-9f85-f4ee355501e3" xmlns:ns3="b4ba09af-8ace-48d9-94a3-08c807bc2c6f" targetNamespace="http://schemas.microsoft.com/office/2006/metadata/properties" ma:root="true" ma:fieldsID="03931499649c05ec71ff08233eb55b70" ns2:_="" ns3:_="">
    <xsd:import namespace="c4ddcc4e-2de7-419a-9f85-f4ee355501e3"/>
    <xsd:import namespace="b4ba09af-8ace-48d9-94a3-08c807bc2c6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dcc4e-2de7-419a-9f85-f4ee355501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8c71cb4f-9ecc-4f5e-860b-374e70b459d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a09af-8ace-48d9-94a3-08c807bc2c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427333-e810-4520-a0f1-09020a7e9a6f}" ma:internalName="TaxCatchAll" ma:showField="CatchAllData" ma:web="b4ba09af-8ace-48d9-94a3-08c807bc2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F8DFA-6B96-4271-9B81-B5A60BE80950}">
  <ds:schemaRefs>
    <ds:schemaRef ds:uri="http://schemas.openxmlformats.org/officeDocument/2006/bibliography"/>
  </ds:schemaRefs>
</ds:datastoreItem>
</file>

<file path=customXml/itemProps2.xml><?xml version="1.0" encoding="utf-8"?>
<ds:datastoreItem xmlns:ds="http://schemas.openxmlformats.org/officeDocument/2006/customXml" ds:itemID="{01DA40E7-B1FF-42F9-8E54-6A1F1440E4F6}">
  <ds:schemaRefs>
    <ds:schemaRef ds:uri="http://schemas.microsoft.com/office/2006/metadata/properties"/>
    <ds:schemaRef ds:uri="http://schemas.microsoft.com/office/infopath/2007/PartnerControls"/>
    <ds:schemaRef ds:uri="b4ba09af-8ace-48d9-94a3-08c807bc2c6f"/>
    <ds:schemaRef ds:uri="ee8431f1-d27a-4194-a419-f978e9a922a5"/>
  </ds:schemaRefs>
</ds:datastoreItem>
</file>

<file path=customXml/itemProps3.xml><?xml version="1.0" encoding="utf-8"?>
<ds:datastoreItem xmlns:ds="http://schemas.openxmlformats.org/officeDocument/2006/customXml" ds:itemID="{DD295BDF-F484-4736-8910-922CECE6DC66}"/>
</file>

<file path=customXml/itemProps4.xml><?xml version="1.0" encoding="utf-8"?>
<ds:datastoreItem xmlns:ds="http://schemas.openxmlformats.org/officeDocument/2006/customXml" ds:itemID="{03312EB0-E197-4AEB-8AC8-FDCFE8D55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2614</Words>
  <Characters>14903</Characters>
  <Application>Microsoft Office Word</Application>
  <DocSecurity>0</DocSecurity>
  <Lines>124</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Albreht</dc:creator>
  <cp:keywords/>
  <dc:description/>
  <cp:lastModifiedBy>Andreja Albreht</cp:lastModifiedBy>
  <cp:revision>13</cp:revision>
  <dcterms:created xsi:type="dcterms:W3CDTF">2025-09-24T08:52:00Z</dcterms:created>
  <dcterms:modified xsi:type="dcterms:W3CDTF">2026-01-06T10:43:00Z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0x010100D95B0759CF23B0408CF9558A2E0BA1DF</vt:lpwstr>
  </property>
  <property fmtid="{D5CDD505-2E9C-101B-9397-08002B2CF9AE}" pid="3" name="MediaServiceImageTags">
    <vt:lpwstr/>
  </property>
</Properties>
</file>