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727313A" w:rsidR="0066085E" w:rsidRDefault="00BA4540"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64D59460">
                <wp:simplePos x="0" y="0"/>
                <wp:positionH relativeFrom="column">
                  <wp:posOffset>4867910</wp:posOffset>
                </wp:positionH>
                <wp:positionV relativeFrom="paragraph">
                  <wp:posOffset>15240</wp:posOffset>
                </wp:positionV>
                <wp:extent cx="914400" cy="622300"/>
                <wp:effectExtent l="0" t="0" r="0" b="6350"/>
                <wp:wrapTight wrapText="bothSides">
                  <wp:wrapPolygon edited="0">
                    <wp:start x="0" y="0"/>
                    <wp:lineTo x="0" y="21159"/>
                    <wp:lineTo x="21150" y="21159"/>
                    <wp:lineTo x="2115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solidFill>
                          <a:srgbClr val="FFFFFF"/>
                        </a:solidFill>
                        <a:ln w="9525">
                          <a:noFill/>
                          <a:miter lim="800000"/>
                          <a:headEnd/>
                          <a:tailEnd/>
                        </a:ln>
                      </wps:spPr>
                      <wps:txbx>
                        <w:txbxContent>
                          <w:p w14:paraId="79C32D9A" w14:textId="59AD4304" w:rsidR="00445A64" w:rsidRPr="000E5815" w:rsidRDefault="006B67F8" w:rsidP="00445A64">
                            <w:pPr>
                              <w:pStyle w:val="tevilka"/>
                              <w:rPr>
                                <w:sz w:val="80"/>
                                <w:szCs w:val="80"/>
                              </w:rPr>
                            </w:pPr>
                            <w:r>
                              <w:rPr>
                                <w:sz w:val="80"/>
                                <w:szCs w:val="8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83.3pt;margin-top:1.2pt;width:1in;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" stroked="f">
                <v:textbox>
                  <w:txbxContent>
                    <w:p w14:paraId="79C32D9A" w14:textId="59AD4304" w:rsidR="00445A64" w:rsidRPr="000E5815" w:rsidRDefault="006B67F8" w:rsidP="00445A64">
                      <w:pPr>
                        <w:pStyle w:val="tevilka"/>
                        <w:rPr>
                          <w:sz w:val="80"/>
                          <w:szCs w:val="80"/>
                        </w:rPr>
                      </w:pPr>
                      <w:r>
                        <w:rPr>
                          <w:sz w:val="80"/>
                          <w:szCs w:val="80"/>
                        </w:rPr>
                        <w:t>6</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1BF141E9">
                <wp:simplePos x="0" y="0"/>
                <wp:positionH relativeFrom="page">
                  <wp:posOffset>5715000</wp:posOffset>
                </wp:positionH>
                <wp:positionV relativeFrom="page">
                  <wp:posOffset>1082040</wp:posOffset>
                </wp:positionV>
                <wp:extent cx="10287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9FB12" id="Pravokotnik 18" o:spid="_x0000_s1026" alt="&quot;&quot;" style="position:absolute;margin-left:450pt;margin-top:85.2pt;width:81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B18EC16" w:rsidR="0066085E" w:rsidRDefault="0066085E" w:rsidP="00BE5B70">
      <w:pPr>
        <w:pStyle w:val="stevilkadokumenta"/>
      </w:pPr>
      <w:r w:rsidRPr="00BE5B70">
        <w:rPr>
          <w:rStyle w:val="ZvezaZnak"/>
          <w:bCs/>
          <w:sz w:val="20"/>
          <w:u w:val="none"/>
        </w:rPr>
        <w:t xml:space="preserve">Številka: </w:t>
      </w:r>
      <w:r w:rsidR="004E6E87" w:rsidRPr="004E6E87">
        <w:rPr>
          <w:rStyle w:val="ZvezaZnak"/>
          <w:bCs/>
          <w:sz w:val="20"/>
          <w:u w:val="none"/>
        </w:rPr>
        <w:t>3</w:t>
      </w:r>
      <w:r w:rsidR="00BB53A6">
        <w:rPr>
          <w:rStyle w:val="ZvezaZnak"/>
          <w:bCs/>
          <w:sz w:val="20"/>
          <w:u w:val="none"/>
        </w:rPr>
        <w:t>7</w:t>
      </w:r>
      <w:r w:rsidR="004E6E87" w:rsidRPr="004E6E87">
        <w:rPr>
          <w:rStyle w:val="ZvezaZnak"/>
          <w:bCs/>
          <w:sz w:val="20"/>
          <w:u w:val="none"/>
        </w:rPr>
        <w:t>0-000</w:t>
      </w:r>
      <w:r w:rsidR="00BB53A6">
        <w:rPr>
          <w:rStyle w:val="ZvezaZnak"/>
          <w:bCs/>
          <w:sz w:val="20"/>
          <w:u w:val="none"/>
        </w:rPr>
        <w:t>4</w:t>
      </w:r>
      <w:r w:rsidR="004E6E87" w:rsidRPr="004E6E87">
        <w:rPr>
          <w:rStyle w:val="ZvezaZnak"/>
          <w:bCs/>
          <w:sz w:val="20"/>
          <w:u w:val="none"/>
        </w:rPr>
        <w:t>/2025-</w:t>
      </w:r>
      <w:r w:rsidR="00281AD5">
        <w:rPr>
          <w:rStyle w:val="ZvezaZnak"/>
          <w:bCs/>
          <w:sz w:val="20"/>
          <w:u w:val="none"/>
        </w:rPr>
        <w:t>1</w:t>
      </w:r>
      <w:r w:rsidR="003F25A7">
        <w:rPr>
          <w:rStyle w:val="ZvezaZnak"/>
          <w:bCs/>
          <w:sz w:val="20"/>
          <w:u w:val="none"/>
        </w:rPr>
        <w:t>3</w:t>
      </w:r>
      <w:r w:rsidR="00352A82" w:rsidRPr="00BE5B70">
        <w:rPr>
          <w:rStyle w:val="ZvezaZnak"/>
          <w:bCs/>
          <w:sz w:val="20"/>
          <w:u w:val="none"/>
        </w:rPr>
        <w:br/>
      </w:r>
      <w:r w:rsidRPr="00BE5B70">
        <w:t>Nova Gorica</w:t>
      </w:r>
      <w:r w:rsidRPr="00BA4540">
        <w:t xml:space="preserve">, dne </w:t>
      </w:r>
      <w:r w:rsidR="00D14C9D">
        <w:t>22</w:t>
      </w:r>
      <w:r w:rsidRPr="00BA4540">
        <w:t xml:space="preserve">. </w:t>
      </w:r>
      <w:r w:rsidR="00D14C9D">
        <w:t>januar</w:t>
      </w:r>
      <w:r w:rsidRPr="00BA4540">
        <w:t xml:space="preserve"> 202</w:t>
      </w:r>
      <w:r w:rsidR="00D14C9D">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5DC42807" w:rsidR="0066085E" w:rsidRDefault="0066085E" w:rsidP="009B227A">
      <w:pPr>
        <w:pStyle w:val="Naslov1"/>
        <w:spacing w:before="240" w:after="240"/>
        <w:ind w:left="4395" w:hanging="3686"/>
      </w:pPr>
      <w:r w:rsidRPr="00A9136F">
        <w:rPr>
          <w:sz w:val="20"/>
          <w:szCs w:val="20"/>
        </w:rPr>
        <w:t>NASLOV:</w:t>
      </w:r>
      <w:r>
        <w:tab/>
      </w:r>
      <w:r w:rsidR="00905FF8" w:rsidRPr="00981E48">
        <w:rPr>
          <w:sz w:val="20"/>
          <w:szCs w:val="20"/>
        </w:rPr>
        <w:t>Predlog</w:t>
      </w:r>
      <w:r w:rsidR="00905FF8">
        <w:t xml:space="preserve"> </w:t>
      </w:r>
      <w:r w:rsidR="008A260E">
        <w:rPr>
          <w:rStyle w:val="gradivoZnak"/>
          <w:rFonts w:eastAsiaTheme="majorEastAsia"/>
        </w:rPr>
        <w:t>Sklep</w:t>
      </w:r>
      <w:r w:rsidR="00905FF8">
        <w:rPr>
          <w:rStyle w:val="gradivoZnak"/>
          <w:rFonts w:eastAsiaTheme="majorEastAsia"/>
        </w:rPr>
        <w:t>a</w:t>
      </w:r>
      <w:r w:rsidR="008A260E">
        <w:rPr>
          <w:rStyle w:val="gradivoZnak"/>
          <w:rFonts w:eastAsiaTheme="majorEastAsia"/>
        </w:rPr>
        <w:t xml:space="preserve"> o </w:t>
      </w:r>
      <w:r w:rsidR="003654C6" w:rsidRPr="003654C6">
        <w:rPr>
          <w:rStyle w:val="gradivoZnak"/>
          <w:rFonts w:eastAsiaTheme="majorEastAsia"/>
        </w:rPr>
        <w:t>potrdi</w:t>
      </w:r>
      <w:r w:rsidR="003654C6">
        <w:rPr>
          <w:rStyle w:val="gradivoZnak"/>
          <w:rFonts w:eastAsiaTheme="majorEastAsia"/>
        </w:rPr>
        <w:t>tvi</w:t>
      </w:r>
      <w:r w:rsidR="003654C6" w:rsidRPr="003654C6">
        <w:rPr>
          <w:rStyle w:val="gradivoZnak"/>
          <w:rFonts w:eastAsiaTheme="majorEastAsia"/>
        </w:rPr>
        <w:t xml:space="preserve"> Dokument</w:t>
      </w:r>
      <w:r w:rsidR="00927DDB">
        <w:rPr>
          <w:rStyle w:val="gradivoZnak"/>
          <w:rFonts w:eastAsiaTheme="majorEastAsia"/>
        </w:rPr>
        <w:t>a</w:t>
      </w:r>
      <w:r w:rsidR="003654C6" w:rsidRPr="003654C6">
        <w:rPr>
          <w:rStyle w:val="gradivoZnak"/>
          <w:rFonts w:eastAsiaTheme="majorEastAsia"/>
        </w:rPr>
        <w:t xml:space="preserve"> identifikacije investicijskega projekta z naslovom »Peš povezava ob Kolodvorski poti«</w:t>
      </w:r>
    </w:p>
    <w:p w14:paraId="4EB48263" w14:textId="11E8F648"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621BC7">
        <w:rPr>
          <w:rStyle w:val="gradivoZnak"/>
        </w:rPr>
        <w:t xml:space="preserve">Urad direktorja, </w:t>
      </w:r>
      <w:r w:rsidR="00927DDB">
        <w:rPr>
          <w:rStyle w:val="gradivoZnak"/>
        </w:rPr>
        <w:t>Razvojna pisarna</w:t>
      </w:r>
    </w:p>
    <w:p w14:paraId="2589E91B" w14:textId="231A4277" w:rsidR="0066085E" w:rsidRDefault="0066085E" w:rsidP="00FB7287">
      <w:pPr>
        <w:ind w:left="4395" w:hanging="3686"/>
      </w:pPr>
      <w:r w:rsidRPr="00FB7287">
        <w:rPr>
          <w:b/>
          <w:bCs w:val="0"/>
        </w:rPr>
        <w:t>IZDELOVALEC GRADIVA:</w:t>
      </w:r>
      <w:r w:rsidR="00FB7287">
        <w:tab/>
      </w:r>
      <w:r w:rsidR="00CC7B54" w:rsidRPr="00CC7B54">
        <w:t>ProSVET, Martina Magajna s.p.</w:t>
      </w:r>
    </w:p>
    <w:p w14:paraId="11F58982" w14:textId="1C3D8403"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927DDB">
        <w:t>Marko Mikulin, Vodja razvojne pisarne</w:t>
      </w:r>
    </w:p>
    <w:p w14:paraId="75A8D632" w14:textId="7863AA3F" w:rsidR="0066085E" w:rsidRDefault="0066085E" w:rsidP="00FB7287">
      <w:pPr>
        <w:ind w:left="4395" w:hanging="3686"/>
      </w:pPr>
      <w:r w:rsidRPr="00FB7287">
        <w:rPr>
          <w:b/>
          <w:bCs w:val="0"/>
        </w:rPr>
        <w:t xml:space="preserve">PRISTOJNO DELOVNO </w:t>
      </w:r>
      <w:r w:rsidR="00500E47">
        <w:rPr>
          <w:b/>
          <w:bCs w:val="0"/>
        </w:rPr>
        <w:t>TELO</w:t>
      </w:r>
      <w:r>
        <w:t xml:space="preserve">: </w:t>
      </w:r>
      <w:r>
        <w:tab/>
      </w:r>
      <w:r w:rsidR="001048DD">
        <w:t xml:space="preserve">Odbor za </w:t>
      </w:r>
      <w:r w:rsidR="006F76C7">
        <w:t>prostor</w:t>
      </w:r>
      <w:r w:rsidR="001048DD">
        <w:t xml:space="preserve"> </w:t>
      </w:r>
    </w:p>
    <w:p w14:paraId="4C9319DA" w14:textId="7B5A35DC" w:rsidR="0066085E" w:rsidRPr="00FB7287" w:rsidRDefault="0066085E" w:rsidP="00352A82">
      <w:pPr>
        <w:rPr>
          <w:b/>
          <w:bCs w:val="0"/>
        </w:rPr>
      </w:pPr>
      <w:r w:rsidRPr="00FB7287">
        <w:rPr>
          <w:b/>
          <w:bCs w:val="0"/>
        </w:rPr>
        <w:t xml:space="preserve">PREDLOG SKLEPA: </w:t>
      </w:r>
    </w:p>
    <w:p w14:paraId="7498FDF2" w14:textId="3026C5C2" w:rsidR="000B0305" w:rsidRDefault="00FB7287" w:rsidP="00500E47">
      <w:pPr>
        <w:jc w:val="left"/>
      </w:pPr>
      <w:r w:rsidRPr="0008026B">
        <w:t xml:space="preserve">Mestni svet Mestne občine Nova Gorica sprejme </w:t>
      </w:r>
      <w:r w:rsidR="00BA2DD2" w:rsidRPr="00BA2DD2">
        <w:t>Sklepa o potrditvi Dokumenta identifikacije investicijskega projekta z naslovom »Peš povezava ob Kolodvorski poti«</w:t>
      </w:r>
      <w:r w:rsidR="00641183">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bookmarkStart w:id="0" w:name="_Hlk195615944"/>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3F71DA73" w:rsidR="00FB7287" w:rsidRPr="00E639CC" w:rsidRDefault="00500E47" w:rsidP="00C818D4">
            <w:pPr>
              <w:pStyle w:val="Podpisoseba"/>
              <w:spacing w:before="0" w:after="0"/>
              <w:rPr>
                <w:bCs w:val="0"/>
              </w:rPr>
            </w:pPr>
            <w:r>
              <w:t>Ž</w:t>
            </w:r>
            <w:r w:rsidR="00FB7287" w:rsidRPr="00E639CC">
              <w:t>upan</w:t>
            </w:r>
          </w:p>
        </w:tc>
      </w:tr>
      <w:bookmarkEnd w:id="0"/>
    </w:tbl>
    <w:p w14:paraId="1C622A9D" w14:textId="77777777" w:rsidR="00EF71F7" w:rsidRDefault="00EF71F7" w:rsidP="00774DD1">
      <w:pPr>
        <w:pStyle w:val="gradivo"/>
      </w:pPr>
    </w:p>
    <w:p w14:paraId="466F58E3" w14:textId="77777777" w:rsidR="003F25A7" w:rsidRDefault="003F25A7" w:rsidP="00774DD1">
      <w:pPr>
        <w:pStyle w:val="gradivo"/>
      </w:pPr>
    </w:p>
    <w:p w14:paraId="1996DE96" w14:textId="77777777" w:rsidR="003F25A7" w:rsidRDefault="003F25A7" w:rsidP="00774DD1">
      <w:pPr>
        <w:pStyle w:val="gradivo"/>
      </w:pPr>
    </w:p>
    <w:p w14:paraId="4FA4CD5A" w14:textId="77777777" w:rsidR="003F25A7" w:rsidRDefault="003F25A7" w:rsidP="00774DD1">
      <w:pPr>
        <w:pStyle w:val="gradivo"/>
      </w:pPr>
    </w:p>
    <w:p w14:paraId="06C98331" w14:textId="77777777" w:rsidR="003F25A7" w:rsidRDefault="003F25A7" w:rsidP="00774DD1">
      <w:pPr>
        <w:pStyle w:val="gradivo"/>
      </w:pPr>
    </w:p>
    <w:p w14:paraId="40555056" w14:textId="77777777" w:rsidR="003F25A7" w:rsidRDefault="003F25A7" w:rsidP="00774DD1">
      <w:pPr>
        <w:pStyle w:val="gradivo"/>
      </w:pPr>
    </w:p>
    <w:p w14:paraId="1C6841A1" w14:textId="3400C3BE" w:rsidR="0005678C" w:rsidRPr="00774DD1" w:rsidRDefault="0066085E" w:rsidP="00774DD1">
      <w:pPr>
        <w:pStyle w:val="gradivo"/>
      </w:pPr>
      <w:r w:rsidRPr="00774DD1">
        <w:t>Gradivo</w:t>
      </w:r>
      <w:r w:rsidR="00F12361" w:rsidRPr="00774DD1">
        <w:t>:</w:t>
      </w:r>
    </w:p>
    <w:p w14:paraId="08ABD712" w14:textId="6010AFF9" w:rsidR="00774DD1" w:rsidRDefault="0031431D" w:rsidP="00774DD1">
      <w:pPr>
        <w:pStyle w:val="gradivo"/>
        <w:numPr>
          <w:ilvl w:val="0"/>
          <w:numId w:val="10"/>
        </w:numPr>
      </w:pPr>
      <w:r>
        <w:t>P</w:t>
      </w:r>
      <w:r w:rsidR="0066085E" w:rsidRPr="00774DD1">
        <w:t>redlog sklepa</w:t>
      </w:r>
      <w:r w:rsidR="00386692">
        <w:t xml:space="preserve"> z obrazložitvijo</w:t>
      </w:r>
    </w:p>
    <w:p w14:paraId="04F52CE1" w14:textId="2F4BF306" w:rsidR="00CC7B54" w:rsidRDefault="00CC7B54" w:rsidP="00774DD1">
      <w:pPr>
        <w:pStyle w:val="gradivo"/>
        <w:numPr>
          <w:ilvl w:val="0"/>
          <w:numId w:val="10"/>
        </w:numPr>
      </w:pPr>
      <w:r w:rsidRPr="00CC7B54">
        <w:t>Dokument identifikacije investicijskega projekta »PEŠ POVEZAVA OB KOLODVORSKI POTI«, dec. 2025.</w:t>
      </w: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6413CD89">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54048"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73D90EF3" w14:textId="77777777" w:rsidR="006E4CCD" w:rsidRDefault="006E4CCD" w:rsidP="006E4CCD">
      <w:pPr>
        <w:pStyle w:val="Default"/>
      </w:pPr>
    </w:p>
    <w:p w14:paraId="66A73987" w14:textId="0CA1DE4C" w:rsidR="006E4CCD" w:rsidRDefault="006E4CCD" w:rsidP="00776009">
      <w:pPr>
        <w:jc w:val="left"/>
      </w:pPr>
      <w:r w:rsidRPr="006E4CCD">
        <w:t xml:space="preserve">Na podlagi 141. in 142. člena Zakona o urejanju prostora (Uradni list RS, št. 199/21, 18/23 – ZDU-1O, 78/23 – ZUNPEOVE, 95/23 – ZIUOPZP, 23/24, 109/24, 25/25 – odl. US in 75/25) ter 19. člena Statuta Mestne občine Nova Gorica (Uradni list Republike Slovenije, št. 13/12, 18/17, 18/19) je mestni svet Mestne občine Nova Gorica na </w:t>
      </w:r>
      <w:r w:rsidRPr="00090D2C">
        <w:t>seji</w:t>
      </w:r>
      <w:r w:rsidR="00090D2C" w:rsidRPr="00090D2C">
        <w:t xml:space="preserve"> </w:t>
      </w:r>
      <w:r w:rsidRPr="00090D2C">
        <w:t xml:space="preserve">dne </w:t>
      </w:r>
      <w:r w:rsidR="00321519">
        <w:t>_____________________</w:t>
      </w:r>
      <w:r w:rsidRPr="006E4CCD">
        <w:t xml:space="preserve"> sprejel naslednji</w:t>
      </w:r>
    </w:p>
    <w:p w14:paraId="2E81D1B7" w14:textId="77777777" w:rsidR="00AE720F" w:rsidRPr="00AE720F" w:rsidRDefault="00AE720F" w:rsidP="00396C37">
      <w:pPr>
        <w:pStyle w:val="Naslov1"/>
        <w:spacing w:after="0"/>
        <w:jc w:val="center"/>
      </w:pPr>
      <w:r>
        <w:t xml:space="preserve"> </w:t>
      </w:r>
      <w:r w:rsidRPr="00AE720F">
        <w:t xml:space="preserve">S K L E P </w:t>
      </w:r>
    </w:p>
    <w:p w14:paraId="4344814E" w14:textId="52FF9607" w:rsidR="00AE720F" w:rsidRPr="00AE720F" w:rsidRDefault="00CF6A8D" w:rsidP="00396C37">
      <w:pPr>
        <w:pStyle w:val="Naslov1"/>
        <w:spacing w:before="0"/>
        <w:jc w:val="center"/>
      </w:pPr>
      <w:r>
        <w:t>o p</w:t>
      </w:r>
      <w:r w:rsidRPr="00CF6A8D">
        <w:t>otrdi</w:t>
      </w:r>
      <w:r w:rsidR="00D23609">
        <w:t xml:space="preserve">tvi </w:t>
      </w:r>
      <w:r w:rsidRPr="00CF6A8D">
        <w:t>Dokument</w:t>
      </w:r>
      <w:r w:rsidR="00D23609">
        <w:t>a</w:t>
      </w:r>
      <w:r w:rsidRPr="00CF6A8D">
        <w:t xml:space="preserve"> identifikacije investicijskega projekta z naslovom »Peš povezava ob Kolodvorski poti«</w:t>
      </w:r>
    </w:p>
    <w:p w14:paraId="3FC35327" w14:textId="77777777" w:rsidR="00CF6A8D" w:rsidRPr="00CF6A8D" w:rsidRDefault="00CF6A8D" w:rsidP="00CF6A8D">
      <w:pPr>
        <w:spacing w:after="0" w:line="240" w:lineRule="auto"/>
        <w:ind w:left="284" w:right="0"/>
        <w:jc w:val="center"/>
        <w:rPr>
          <w:rFonts w:eastAsia="Calibri"/>
          <w:bCs w:val="0"/>
          <w:noProof w:val="0"/>
          <w:lang w:eastAsia="en-US"/>
        </w:rPr>
      </w:pPr>
      <w:r w:rsidRPr="00CF6A8D">
        <w:rPr>
          <w:rFonts w:eastAsia="Calibri"/>
          <w:bCs w:val="0"/>
          <w:noProof w:val="0"/>
          <w:lang w:eastAsia="en-US"/>
        </w:rPr>
        <w:t>1.</w:t>
      </w:r>
    </w:p>
    <w:p w14:paraId="4359DF60" w14:textId="77777777" w:rsidR="00CF6A8D" w:rsidRDefault="00CF6A8D" w:rsidP="00CF6A8D">
      <w:pPr>
        <w:spacing w:after="0" w:line="240" w:lineRule="auto"/>
        <w:ind w:left="284" w:right="0"/>
        <w:rPr>
          <w:rFonts w:eastAsia="Calibri"/>
          <w:noProof w:val="0"/>
          <w:lang w:eastAsia="en-US"/>
        </w:rPr>
      </w:pPr>
    </w:p>
    <w:p w14:paraId="69DB4867" w14:textId="77777777" w:rsidR="00CF6A8D" w:rsidRDefault="00CF6A8D" w:rsidP="0023060D">
      <w:pPr>
        <w:spacing w:after="0" w:line="264" w:lineRule="auto"/>
        <w:ind w:left="708" w:right="0"/>
        <w:jc w:val="left"/>
        <w:rPr>
          <w:rFonts w:eastAsia="Calibri"/>
          <w:noProof w:val="0"/>
          <w:lang w:eastAsia="en-US"/>
        </w:rPr>
      </w:pPr>
      <w:r>
        <w:rPr>
          <w:rFonts w:eastAsia="Calibri"/>
          <w:noProof w:val="0"/>
          <w:lang w:eastAsia="en-US"/>
        </w:rPr>
        <w:t xml:space="preserve">Potrdi se Dokument identifikacije investicijskega projekta z naslovom »Peš povezava ob Kolodvorski poti«, ki ga je izdelala </w:t>
      </w:r>
      <w:proofErr w:type="spellStart"/>
      <w:r>
        <w:rPr>
          <w:rFonts w:eastAsia="Calibri"/>
          <w:noProof w:val="0"/>
          <w:lang w:eastAsia="en-US"/>
        </w:rPr>
        <w:t>ProSVET</w:t>
      </w:r>
      <w:proofErr w:type="spellEnd"/>
      <w:r>
        <w:rPr>
          <w:rFonts w:eastAsia="Calibri"/>
          <w:noProof w:val="0"/>
          <w:lang w:eastAsia="en-US"/>
        </w:rPr>
        <w:t xml:space="preserve">, Martina Magajna </w:t>
      </w:r>
      <w:proofErr w:type="spellStart"/>
      <w:r>
        <w:rPr>
          <w:rFonts w:eastAsia="Calibri"/>
          <w:noProof w:val="0"/>
          <w:lang w:eastAsia="en-US"/>
        </w:rPr>
        <w:t>s.p</w:t>
      </w:r>
      <w:proofErr w:type="spellEnd"/>
      <w:r>
        <w:rPr>
          <w:rFonts w:eastAsia="Calibri"/>
          <w:noProof w:val="0"/>
          <w:lang w:eastAsia="en-US"/>
        </w:rPr>
        <w:t>.</w:t>
      </w:r>
      <w:r>
        <w:rPr>
          <w:bCs w:val="0"/>
          <w:noProof w:val="0"/>
        </w:rPr>
        <w:t xml:space="preserve">, Dilce 40, 6230 Postojna, </w:t>
      </w:r>
      <w:r>
        <w:rPr>
          <w:rFonts w:eastAsia="Calibri"/>
          <w:noProof w:val="0"/>
          <w:lang w:eastAsia="en-US"/>
        </w:rPr>
        <w:t>december 2025.</w:t>
      </w:r>
    </w:p>
    <w:p w14:paraId="1C759227" w14:textId="77777777" w:rsidR="00CF6A8D" w:rsidRDefault="00CF6A8D" w:rsidP="00CF6A8D">
      <w:pPr>
        <w:spacing w:after="0" w:line="240" w:lineRule="auto"/>
        <w:ind w:left="284" w:right="0"/>
        <w:rPr>
          <w:rFonts w:eastAsia="Calibri"/>
          <w:noProof w:val="0"/>
          <w:lang w:eastAsia="en-US"/>
        </w:rPr>
      </w:pPr>
    </w:p>
    <w:p w14:paraId="6574A9DF" w14:textId="77777777" w:rsidR="00CF6A8D" w:rsidRPr="00CF6A8D" w:rsidRDefault="00CF6A8D" w:rsidP="00CF6A8D">
      <w:pPr>
        <w:tabs>
          <w:tab w:val="left" w:pos="3780"/>
          <w:tab w:val="left" w:pos="3960"/>
        </w:tabs>
        <w:spacing w:after="0" w:line="240" w:lineRule="auto"/>
        <w:ind w:left="284" w:right="0"/>
        <w:jc w:val="center"/>
        <w:rPr>
          <w:rFonts w:eastAsia="Calibri"/>
          <w:bCs w:val="0"/>
          <w:noProof w:val="0"/>
          <w:lang w:eastAsia="en-US"/>
        </w:rPr>
      </w:pPr>
      <w:r w:rsidRPr="00CF6A8D">
        <w:rPr>
          <w:rFonts w:eastAsia="Calibri"/>
          <w:bCs w:val="0"/>
          <w:noProof w:val="0"/>
          <w:lang w:eastAsia="en-US"/>
        </w:rPr>
        <w:t>2.</w:t>
      </w:r>
    </w:p>
    <w:p w14:paraId="47A5C9B2" w14:textId="77777777" w:rsidR="00CF6A8D" w:rsidRDefault="00CF6A8D" w:rsidP="00CF6A8D">
      <w:pPr>
        <w:tabs>
          <w:tab w:val="left" w:pos="3780"/>
          <w:tab w:val="left" w:pos="3960"/>
        </w:tabs>
        <w:spacing w:after="0" w:line="240" w:lineRule="auto"/>
        <w:ind w:left="284" w:right="0"/>
        <w:jc w:val="center"/>
        <w:rPr>
          <w:rFonts w:eastAsia="Calibri"/>
          <w:b/>
          <w:noProof w:val="0"/>
          <w:lang w:eastAsia="en-US"/>
        </w:rPr>
      </w:pPr>
    </w:p>
    <w:p w14:paraId="3E378AE7" w14:textId="77777777" w:rsidR="00CF6A8D" w:rsidRDefault="00CF6A8D" w:rsidP="0023060D">
      <w:pPr>
        <w:spacing w:after="0" w:line="240" w:lineRule="auto"/>
        <w:ind w:left="708" w:right="0"/>
        <w:jc w:val="left"/>
        <w:rPr>
          <w:rFonts w:eastAsia="Calibri"/>
          <w:noProof w:val="0"/>
          <w:lang w:eastAsia="en-US"/>
        </w:rPr>
      </w:pPr>
      <w:r>
        <w:rPr>
          <w:rFonts w:eastAsia="Calibri"/>
          <w:noProof w:val="0"/>
        </w:rPr>
        <w:t xml:space="preserve">Vrednost projekta znaša </w:t>
      </w:r>
      <w:r>
        <w:rPr>
          <w:rFonts w:cstheme="majorHAnsi"/>
          <w:color w:val="000000"/>
        </w:rPr>
        <w:t xml:space="preserve">1.295.094,99 </w:t>
      </w:r>
      <w:r>
        <w:rPr>
          <w:rFonts w:eastAsia="Calibri"/>
          <w:noProof w:val="0"/>
        </w:rPr>
        <w:t>EUR z DDV in se bo izvajal, skladno s časovnim načrtom, od sprejema tega sklepa do 31.12.2028.</w:t>
      </w:r>
    </w:p>
    <w:p w14:paraId="73D8A691" w14:textId="77777777" w:rsidR="00CF6A8D" w:rsidRDefault="00CF6A8D" w:rsidP="00CF6A8D">
      <w:pPr>
        <w:tabs>
          <w:tab w:val="left" w:pos="1950"/>
        </w:tabs>
        <w:spacing w:after="0" w:line="240" w:lineRule="auto"/>
        <w:ind w:left="284" w:right="0"/>
        <w:rPr>
          <w:rFonts w:eastAsia="Calibri"/>
          <w:noProof w:val="0"/>
        </w:rPr>
      </w:pPr>
    </w:p>
    <w:p w14:paraId="597B0308" w14:textId="77777777" w:rsidR="00CF6A8D" w:rsidRPr="00CF6A8D" w:rsidRDefault="00CF6A8D" w:rsidP="00CF6A8D">
      <w:pPr>
        <w:spacing w:after="0" w:line="240" w:lineRule="auto"/>
        <w:ind w:left="284" w:right="0"/>
        <w:jc w:val="center"/>
        <w:rPr>
          <w:rFonts w:eastAsia="Calibri"/>
          <w:noProof w:val="0"/>
          <w:lang w:eastAsia="en-US"/>
        </w:rPr>
      </w:pPr>
      <w:r w:rsidRPr="00CF6A8D">
        <w:rPr>
          <w:rFonts w:eastAsia="Calibri"/>
          <w:noProof w:val="0"/>
          <w:lang w:eastAsia="en-US"/>
        </w:rPr>
        <w:t>3.</w:t>
      </w:r>
    </w:p>
    <w:p w14:paraId="5F303B92" w14:textId="77777777" w:rsidR="00CF6A8D" w:rsidRDefault="00CF6A8D" w:rsidP="00CF6A8D">
      <w:pPr>
        <w:spacing w:after="0" w:line="240" w:lineRule="auto"/>
        <w:ind w:left="284" w:right="0"/>
        <w:rPr>
          <w:rFonts w:eastAsia="Calibri"/>
          <w:bCs w:val="0"/>
          <w:noProof w:val="0"/>
          <w:lang w:eastAsia="en-US"/>
        </w:rPr>
      </w:pPr>
    </w:p>
    <w:p w14:paraId="586A3EEF" w14:textId="77777777" w:rsidR="00CF6A8D" w:rsidRDefault="00CF6A8D" w:rsidP="0023060D">
      <w:pPr>
        <w:spacing w:after="0" w:line="240" w:lineRule="auto"/>
        <w:ind w:left="708" w:right="0"/>
        <w:jc w:val="left"/>
        <w:rPr>
          <w:rFonts w:eastAsia="Calibri"/>
          <w:noProof w:val="0"/>
          <w:lang w:eastAsia="en-US"/>
        </w:rPr>
      </w:pPr>
      <w:r>
        <w:rPr>
          <w:rFonts w:eastAsia="Calibri"/>
          <w:noProof w:val="0"/>
          <w:lang w:eastAsia="en-US"/>
        </w:rPr>
        <w:t>S sprejemom tega sklepa se projekt »Ukrepi TM – Peš povezava ob Kolodvorski poti« , uvrsti v Načrt razvojnih programov Mestne občine Nova Gorica za obdobje od 2026 do 2028.</w:t>
      </w:r>
    </w:p>
    <w:p w14:paraId="7EFD2A11" w14:textId="77777777" w:rsidR="00CF6A8D" w:rsidRDefault="00CF6A8D" w:rsidP="00CF6A8D">
      <w:pPr>
        <w:spacing w:after="0" w:line="240" w:lineRule="auto"/>
        <w:ind w:left="284" w:right="0"/>
        <w:rPr>
          <w:rFonts w:eastAsia="Calibri"/>
          <w:noProof w:val="0"/>
          <w:lang w:eastAsia="en-US"/>
        </w:rPr>
      </w:pPr>
    </w:p>
    <w:p w14:paraId="5143C6CF" w14:textId="77777777" w:rsidR="00CF6A8D" w:rsidRPr="00CF6A8D" w:rsidRDefault="00CF6A8D" w:rsidP="00CF6A8D">
      <w:pPr>
        <w:spacing w:after="0" w:line="240" w:lineRule="auto"/>
        <w:ind w:left="284" w:right="0"/>
        <w:jc w:val="center"/>
        <w:rPr>
          <w:rFonts w:eastAsia="Calibri"/>
          <w:noProof w:val="0"/>
          <w:lang w:eastAsia="en-US"/>
        </w:rPr>
      </w:pPr>
      <w:r w:rsidRPr="00CF6A8D">
        <w:rPr>
          <w:rFonts w:eastAsia="Calibri"/>
          <w:noProof w:val="0"/>
          <w:lang w:eastAsia="en-US"/>
        </w:rPr>
        <w:t xml:space="preserve">4. </w:t>
      </w:r>
    </w:p>
    <w:p w14:paraId="302EDE20" w14:textId="5B020198" w:rsidR="00CF6A8D" w:rsidRDefault="00CF6A8D" w:rsidP="00CF6A8D">
      <w:pPr>
        <w:spacing w:after="0" w:line="240" w:lineRule="auto"/>
        <w:ind w:left="284" w:right="0"/>
        <w:jc w:val="center"/>
        <w:rPr>
          <w:rFonts w:eastAsia="Calibri"/>
          <w:bCs w:val="0"/>
          <w:noProof w:val="0"/>
          <w:lang w:eastAsia="en-US"/>
        </w:rPr>
      </w:pPr>
      <w:r>
        <w:rPr>
          <w:rFonts w:eastAsia="Calibri"/>
          <w:bCs w:val="0"/>
          <w:noProof w:val="0"/>
          <w:lang w:eastAsia="en-US"/>
        </w:rPr>
        <w:tab/>
      </w:r>
    </w:p>
    <w:p w14:paraId="110C2CD2" w14:textId="77777777" w:rsidR="00CF6A8D" w:rsidRDefault="00CF6A8D" w:rsidP="0023060D">
      <w:pPr>
        <w:spacing w:after="0" w:line="240" w:lineRule="auto"/>
        <w:ind w:left="284" w:right="0" w:firstLine="424"/>
        <w:jc w:val="left"/>
        <w:rPr>
          <w:rFonts w:eastAsia="Calibri"/>
          <w:noProof w:val="0"/>
          <w:lang w:eastAsia="en-US"/>
        </w:rPr>
      </w:pPr>
      <w:r>
        <w:rPr>
          <w:rFonts w:eastAsia="Calibri"/>
          <w:noProof w:val="0"/>
          <w:lang w:eastAsia="en-US"/>
        </w:rPr>
        <w:t>Ta sklep velja takoj.</w:t>
      </w:r>
    </w:p>
    <w:p w14:paraId="5B8E484A" w14:textId="07DD974C" w:rsidR="00CF6A8D" w:rsidRDefault="00CF6A8D" w:rsidP="00CF6A8D">
      <w:pPr>
        <w:spacing w:after="0" w:line="240" w:lineRule="auto"/>
        <w:ind w:left="0" w:right="0"/>
        <w:rPr>
          <w:rFonts w:ascii="Arial" w:eastAsia="Calibri" w:hAnsi="Arial"/>
          <w:noProof w:val="0"/>
          <w:sz w:val="22"/>
          <w:szCs w:val="22"/>
          <w:lang w:eastAsia="en-US"/>
        </w:rPr>
      </w:pPr>
      <w:r>
        <w:rPr>
          <w:rFonts w:ascii="Arial" w:eastAsia="Calibri" w:hAnsi="Arial"/>
          <w:noProof w:val="0"/>
          <w:sz w:val="22"/>
          <w:szCs w:val="22"/>
          <w:lang w:eastAsia="en-US"/>
        </w:rPr>
        <w:tab/>
      </w:r>
    </w:p>
    <w:p w14:paraId="7C782169" w14:textId="77777777" w:rsidR="00CF6A8D" w:rsidRDefault="00CF6A8D" w:rsidP="00CF6A8D">
      <w:pPr>
        <w:spacing w:after="0" w:line="240" w:lineRule="auto"/>
        <w:ind w:left="284" w:right="0"/>
        <w:rPr>
          <w:rFonts w:ascii="Arial" w:eastAsia="Calibri" w:hAnsi="Arial"/>
          <w:noProof w:val="0"/>
          <w:sz w:val="22"/>
          <w:szCs w:val="22"/>
          <w:lang w:eastAsia="en-US"/>
        </w:rPr>
      </w:pPr>
    </w:p>
    <w:p w14:paraId="4549E1F2" w14:textId="3BD6F4CB" w:rsidR="00714788" w:rsidRPr="00CF6A8D" w:rsidRDefault="00352A82" w:rsidP="00CF6A8D">
      <w:pPr>
        <w:spacing w:after="0" w:line="240" w:lineRule="auto"/>
        <w:ind w:left="708" w:right="0"/>
        <w:rPr>
          <w:rFonts w:ascii="Arial" w:eastAsia="Calibri" w:hAnsi="Arial"/>
          <w:noProof w:val="0"/>
          <w:sz w:val="22"/>
          <w:szCs w:val="22"/>
          <w:lang w:eastAsia="en-US"/>
        </w:rPr>
      </w:pPr>
      <w:r w:rsidRPr="0005678C">
        <w:rPr>
          <w:rStyle w:val="ZvezaZnak"/>
          <w:sz w:val="20"/>
          <w:u w:val="none"/>
        </w:rPr>
        <w:t>Številka:</w:t>
      </w:r>
      <w:r w:rsidR="006B67F8" w:rsidRPr="004E6E87">
        <w:rPr>
          <w:rStyle w:val="ZvezaZnak"/>
          <w:bCs/>
          <w:sz w:val="20"/>
          <w:u w:val="none"/>
        </w:rPr>
        <w:t>3</w:t>
      </w:r>
      <w:r w:rsidR="006B67F8">
        <w:rPr>
          <w:rStyle w:val="ZvezaZnak"/>
          <w:bCs/>
          <w:sz w:val="20"/>
          <w:u w:val="none"/>
        </w:rPr>
        <w:t>7</w:t>
      </w:r>
      <w:r w:rsidR="006B67F8" w:rsidRPr="004E6E87">
        <w:rPr>
          <w:rStyle w:val="ZvezaZnak"/>
          <w:bCs/>
          <w:sz w:val="20"/>
          <w:u w:val="none"/>
        </w:rPr>
        <w:t>0-000</w:t>
      </w:r>
      <w:r w:rsidR="006B67F8">
        <w:rPr>
          <w:rStyle w:val="ZvezaZnak"/>
          <w:bCs/>
          <w:sz w:val="20"/>
          <w:u w:val="none"/>
        </w:rPr>
        <w:t>4</w:t>
      </w:r>
      <w:r w:rsidR="006B67F8" w:rsidRPr="004E6E87">
        <w:rPr>
          <w:rStyle w:val="ZvezaZnak"/>
          <w:bCs/>
          <w:sz w:val="20"/>
          <w:u w:val="none"/>
        </w:rPr>
        <w:t>/2025</w:t>
      </w:r>
      <w:r>
        <w:rPr>
          <w:rStyle w:val="ZvezaZnak"/>
          <w:sz w:val="20"/>
          <w:u w:val="none"/>
        </w:rPr>
        <w:br/>
      </w:r>
      <w:r>
        <w:t xml:space="preserve">Nova Gorica, </w:t>
      </w:r>
      <w:r w:rsidRPr="00776009">
        <w:t xml:space="preserve">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4F7BCD85" w14:textId="77777777" w:rsidR="008160DC" w:rsidRDefault="008160DC" w:rsidP="009060A3">
            <w:pPr>
              <w:pStyle w:val="Podpisoseba"/>
              <w:spacing w:before="0" w:after="0"/>
              <w:rPr>
                <w:b/>
              </w:rPr>
            </w:pPr>
          </w:p>
          <w:p w14:paraId="1532AD77" w14:textId="77777777" w:rsidR="008160DC" w:rsidRDefault="008160DC" w:rsidP="009060A3">
            <w:pPr>
              <w:pStyle w:val="Podpisoseba"/>
              <w:spacing w:before="0" w:after="0"/>
              <w:rPr>
                <w:b/>
              </w:rPr>
            </w:pPr>
          </w:p>
          <w:p w14:paraId="36F5CAF7" w14:textId="5B884101"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506249A6" w:rsidR="009060A3" w:rsidRPr="00E639CC" w:rsidRDefault="00776009" w:rsidP="009060A3">
            <w:pPr>
              <w:pStyle w:val="Podpisoseba"/>
              <w:spacing w:before="0" w:after="0"/>
              <w:rPr>
                <w:bCs w:val="0"/>
              </w:rPr>
            </w:pPr>
            <w:r>
              <w:t>Ž</w:t>
            </w:r>
            <w:r w:rsidR="009060A3" w:rsidRPr="00E639CC">
              <w:t>upan</w:t>
            </w:r>
          </w:p>
        </w:tc>
      </w:tr>
    </w:tbl>
    <w:p w14:paraId="1600E036" w14:textId="3AA6434C" w:rsidR="00714788" w:rsidRDefault="00714788" w:rsidP="00352A82"/>
    <w:p w14:paraId="16E735A8" w14:textId="77777777" w:rsidR="008160DC" w:rsidRDefault="008160DC" w:rsidP="00352A82"/>
    <w:p w14:paraId="021587B6" w14:textId="77777777" w:rsidR="00714788" w:rsidRDefault="00714788" w:rsidP="007D48AB"/>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699818C0" w:rsidR="00731380" w:rsidRDefault="009060A3" w:rsidP="00731380">
      <w:pPr>
        <w:pStyle w:val="Nazivenote"/>
        <w:rPr>
          <w:b w:val="0"/>
          <w:bCs/>
        </w:rPr>
      </w:pPr>
      <w:r w:rsidRPr="009060A3">
        <w:lastRenderedPageBreak/>
        <mc:AlternateContent>
          <mc:Choice Requires="wps">
            <w:drawing>
              <wp:anchor distT="45720" distB="45720" distL="114300" distR="114300" simplePos="0" relativeHeight="251667456" behindDoc="1" locked="0" layoutInCell="1" allowOverlap="1" wp14:anchorId="2C6093ED" wp14:editId="3D27F0C8">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65B0391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65B03913" w:rsidR="009060A3" w:rsidRPr="000E5815" w:rsidRDefault="009060A3" w:rsidP="009060A3">
                      <w:pPr>
                        <w:pStyle w:val="tevilka"/>
                        <w:rPr>
                          <w:sz w:val="80"/>
                          <w:szCs w:val="80"/>
                        </w:rPr>
                      </w:pPr>
                    </w:p>
                  </w:txbxContent>
                </v:textbox>
                <w10:wrap type="tight"/>
              </v:shape>
            </w:pict>
          </mc:Fallback>
        </mc:AlternateContent>
      </w:r>
      <w:r w:rsidR="00657769">
        <w:t>Urad direktorja</w:t>
      </w:r>
      <w:r w:rsidR="00731380">
        <w:br/>
      </w:r>
      <w:r w:rsidR="00731380" w:rsidRPr="008802E3">
        <w:rPr>
          <w:b w:val="0"/>
          <w:bCs/>
        </w:rPr>
        <w:t>Trg Edvarda Kardelja 1, 5000 Nova Gorica</w:t>
      </w:r>
    </w:p>
    <w:p w14:paraId="31D67305" w14:textId="73DAE826" w:rsidR="00731380" w:rsidRPr="0066085E" w:rsidRDefault="00196994" w:rsidP="00731380">
      <w:pPr>
        <w:pStyle w:val="Naslov1"/>
      </w:pPr>
      <w:r>
        <w:t xml:space="preserve">Obrazložitev </w:t>
      </w:r>
    </w:p>
    <w:p w14:paraId="5BA103F7" w14:textId="77777777" w:rsidR="00CF6A8D" w:rsidRDefault="00CF6A8D" w:rsidP="0023060D">
      <w:pPr>
        <w:spacing w:after="120" w:line="276" w:lineRule="auto"/>
        <w:ind w:right="0"/>
        <w:jc w:val="left"/>
        <w:rPr>
          <w:rFonts w:eastAsia="Calibri"/>
          <w:bCs w:val="0"/>
          <w:noProof w:val="0"/>
          <w:lang w:eastAsia="en-US"/>
        </w:rPr>
      </w:pPr>
      <w:r>
        <w:rPr>
          <w:rFonts w:eastAsia="Calibri"/>
          <w:noProof w:val="0"/>
          <w:lang w:eastAsia="en-US"/>
        </w:rPr>
        <w:t>MONG nadaljuje z urejanjem območja EPK distrikta. Ureditev, ki jo obravnava projekt  vključuje ureditev varne peš povezave, ureditev kolesarske signalizacije in ureditev zelenih površin v liniji ob načrtovani pešpoti ter tudi prenovo dotrajanega cestišča Kolodvorske poti.</w:t>
      </w:r>
      <w:r>
        <w:rPr>
          <w:rFonts w:eastAsia="Calibri"/>
          <w:bCs w:val="0"/>
          <w:noProof w:val="0"/>
          <w:lang w:eastAsia="en-US"/>
        </w:rPr>
        <w:t xml:space="preserve"> Projekt je zasnovan kot </w:t>
      </w:r>
      <w:r>
        <w:rPr>
          <w:rFonts w:eastAsia="Calibri"/>
          <w:noProof w:val="0"/>
          <w:lang w:eastAsia="en-US"/>
        </w:rPr>
        <w:t xml:space="preserve">funkcionalno zaključena enota, ki združuje prometne, prostorske in </w:t>
      </w:r>
      <w:proofErr w:type="spellStart"/>
      <w:r>
        <w:rPr>
          <w:rFonts w:eastAsia="Calibri"/>
          <w:noProof w:val="0"/>
          <w:lang w:eastAsia="en-US"/>
        </w:rPr>
        <w:t>okoljske</w:t>
      </w:r>
      <w:proofErr w:type="spellEnd"/>
      <w:r>
        <w:rPr>
          <w:rFonts w:eastAsia="Calibri"/>
          <w:noProof w:val="0"/>
          <w:lang w:eastAsia="en-US"/>
        </w:rPr>
        <w:t xml:space="preserve"> vidike ter pomembno prispeva k ciljem javnega razpisa, zlasti Ukrepa 3 – trajnostna mobilnost.</w:t>
      </w:r>
    </w:p>
    <w:p w14:paraId="4B2211F1" w14:textId="77777777" w:rsidR="00CF6A8D" w:rsidRDefault="00CF6A8D" w:rsidP="0023060D">
      <w:pPr>
        <w:spacing w:after="120" w:line="276" w:lineRule="auto"/>
        <w:ind w:right="0"/>
        <w:jc w:val="left"/>
        <w:rPr>
          <w:rFonts w:eastAsia="Calibri"/>
          <w:noProof w:val="0"/>
          <w:lang w:eastAsia="zh-TW"/>
        </w:rPr>
      </w:pPr>
      <w:r>
        <w:rPr>
          <w:rFonts w:eastAsia="Calibri"/>
          <w:bCs w:val="0"/>
          <w:noProof w:val="0"/>
          <w:lang w:eastAsia="zh-TW"/>
        </w:rPr>
        <w:t>Namen projekta je zagotoviti varne prometne  pogoje na severni delu za vse udeležence v prometu z upoštevanjem načel trajnostne mobilnosti, izboljšati pogoje za hojo v južnem delu ter zagotoviti povezanost peš povezav, izboljšati pogoje za kolesarjenje in uporabo javnega potniškega prometa ter s tem zmanjšati odvisnost od osebnih vozil v Mestni občini Nova Gorica. Z izvedbo ukrepov trajnostne mobilnosti se bo zagotovila varnejša in bolj vključujoča raba javnih površin, povečala prometna varnost ranljivih skupin (otroci, starejši, gibalno ovirani) ter zmanjšali negativni vplivi motornega prometa na okolje.</w:t>
      </w:r>
    </w:p>
    <w:p w14:paraId="75172403" w14:textId="77777777" w:rsidR="00CF6A8D" w:rsidRDefault="00CF6A8D" w:rsidP="0023060D">
      <w:pPr>
        <w:spacing w:after="120" w:line="276" w:lineRule="auto"/>
        <w:ind w:right="0"/>
        <w:jc w:val="left"/>
        <w:rPr>
          <w:rFonts w:eastAsia="Calibri"/>
          <w:bCs w:val="0"/>
          <w:noProof w:val="0"/>
          <w:lang w:eastAsia="zh-TW"/>
        </w:rPr>
      </w:pPr>
      <w:r>
        <w:rPr>
          <w:rFonts w:eastAsia="Calibri"/>
          <w:bCs w:val="0"/>
          <w:noProof w:val="0"/>
          <w:lang w:eastAsia="zh-TW"/>
        </w:rPr>
        <w:t>Projekt neposredno zasleduje namen javnega razpisa JR EKP UTM 2025, ki je spodbujanje trajnostne mobilnosti, zmanjšanje emisij toplogrednih plinov, izboljšanje kakovosti zraka in bivanja ter razvoj zelene infrastrukture kot podpornega elementa trajnostnega prometa. S tem bo občina prispevala k uresničevanju nacionalnih in evropskih podnebno-</w:t>
      </w:r>
      <w:proofErr w:type="spellStart"/>
      <w:r>
        <w:rPr>
          <w:rFonts w:eastAsia="Calibri"/>
          <w:bCs w:val="0"/>
          <w:noProof w:val="0"/>
          <w:lang w:eastAsia="zh-TW"/>
        </w:rPr>
        <w:t>okoljskih</w:t>
      </w:r>
      <w:proofErr w:type="spellEnd"/>
      <w:r>
        <w:rPr>
          <w:rFonts w:eastAsia="Calibri"/>
          <w:bCs w:val="0"/>
          <w:noProof w:val="0"/>
          <w:lang w:eastAsia="zh-TW"/>
        </w:rPr>
        <w:t xml:space="preserve"> ciljev, hkrati pa zagotovila višjo kakovost življenja svojih prebivalcev in obiskovalcev.</w:t>
      </w:r>
    </w:p>
    <w:p w14:paraId="13CD82A6" w14:textId="77777777" w:rsidR="00CF6A8D" w:rsidRDefault="00CF6A8D" w:rsidP="0023060D">
      <w:pPr>
        <w:spacing w:after="160" w:line="276" w:lineRule="auto"/>
        <w:ind w:right="0"/>
        <w:jc w:val="left"/>
        <w:rPr>
          <w:rFonts w:eastAsia="Calibri"/>
          <w:bCs w:val="0"/>
          <w:noProof w:val="0"/>
          <w:lang w:eastAsia="zh-TW"/>
        </w:rPr>
      </w:pPr>
      <w:r>
        <w:rPr>
          <w:rFonts w:eastAsia="Calibri"/>
          <w:bCs w:val="0"/>
          <w:noProof w:val="0"/>
          <w:lang w:eastAsia="zh-TW"/>
        </w:rPr>
        <w:t>Prav tako je namen z inovativnostjo zagotoviti površine v kraju z namenom:</w:t>
      </w:r>
    </w:p>
    <w:p w14:paraId="4E19E203" w14:textId="77777777" w:rsidR="00CF6A8D" w:rsidRDefault="00CF6A8D" w:rsidP="0023060D">
      <w:pPr>
        <w:numPr>
          <w:ilvl w:val="0"/>
          <w:numId w:val="14"/>
        </w:numPr>
        <w:spacing w:after="0" w:line="276" w:lineRule="auto"/>
        <w:ind w:left="1134" w:right="0"/>
        <w:jc w:val="left"/>
        <w:rPr>
          <w:rFonts w:eastAsia="Calibri"/>
          <w:bCs w:val="0"/>
          <w:noProof w:val="0"/>
          <w:lang w:eastAsia="zh-TW"/>
        </w:rPr>
      </w:pPr>
      <w:r>
        <w:rPr>
          <w:rFonts w:eastAsia="Calibri"/>
          <w:bCs w:val="0"/>
          <w:noProof w:val="0"/>
          <w:lang w:eastAsia="zh-TW"/>
        </w:rPr>
        <w:t>celovite ureditve cestnega in obcestnega prostora Kolodvorske poti (južni in severni odsek) ter izboljšanja funkcionalnosti in varnosti javnega prostora</w:t>
      </w:r>
    </w:p>
    <w:p w14:paraId="52006069" w14:textId="77777777" w:rsidR="00CF6A8D" w:rsidRDefault="00CF6A8D" w:rsidP="0023060D">
      <w:pPr>
        <w:numPr>
          <w:ilvl w:val="0"/>
          <w:numId w:val="14"/>
        </w:numPr>
        <w:spacing w:after="0" w:line="276" w:lineRule="auto"/>
        <w:ind w:left="1134" w:right="0"/>
        <w:jc w:val="left"/>
        <w:rPr>
          <w:rFonts w:eastAsia="Calibri"/>
          <w:bCs w:val="0"/>
          <w:noProof w:val="0"/>
          <w:lang w:eastAsia="zh-TW"/>
        </w:rPr>
      </w:pPr>
      <w:r>
        <w:rPr>
          <w:rFonts w:eastAsia="Calibri"/>
          <w:bCs w:val="0"/>
          <w:noProof w:val="0"/>
          <w:lang w:eastAsia="zh-TW"/>
        </w:rPr>
        <w:t>vzpostavitve neprekinjene in varne peš povezave vzdolž Kolodvorske poti, ki se na jugu navezuje na obstoječe peš površine ob Erjavčevi ulici ter na peš površine preko nekdanjega maloobmejnega prehoda na peš površine v Italiji ter na severu peš navezavo na obstoječe peš površine ob ulici IX. Korpusa proti Solkanu ter na obstoječe peš površine na območje v Italiji,</w:t>
      </w:r>
    </w:p>
    <w:p w14:paraId="737F7562" w14:textId="77777777" w:rsidR="00CF6A8D" w:rsidRDefault="00CF6A8D" w:rsidP="0023060D">
      <w:pPr>
        <w:numPr>
          <w:ilvl w:val="0"/>
          <w:numId w:val="14"/>
        </w:numPr>
        <w:spacing w:after="0" w:line="276" w:lineRule="auto"/>
        <w:ind w:left="1134" w:right="0" w:hanging="357"/>
        <w:jc w:val="left"/>
        <w:rPr>
          <w:rFonts w:eastAsia="Calibri"/>
          <w:bCs w:val="0"/>
          <w:noProof w:val="0"/>
          <w:lang w:eastAsia="zh-TW"/>
        </w:rPr>
      </w:pPr>
      <w:r>
        <w:rPr>
          <w:rFonts w:eastAsia="Calibri"/>
          <w:bCs w:val="0"/>
          <w:noProof w:val="0"/>
          <w:lang w:eastAsia="zh-TW"/>
        </w:rPr>
        <w:t>ureditve infrastrukture za pešce, ki vključuje pešpot, prehode za pešce, izboljšano orientacijo in berljivost prostora,</w:t>
      </w:r>
    </w:p>
    <w:p w14:paraId="7BC71740" w14:textId="77777777" w:rsidR="00CF6A8D" w:rsidRDefault="00CF6A8D" w:rsidP="0023060D">
      <w:pPr>
        <w:numPr>
          <w:ilvl w:val="0"/>
          <w:numId w:val="14"/>
        </w:numPr>
        <w:spacing w:after="0" w:line="276" w:lineRule="auto"/>
        <w:ind w:left="1134" w:right="0" w:hanging="357"/>
        <w:jc w:val="left"/>
        <w:rPr>
          <w:rFonts w:eastAsia="Calibri"/>
          <w:bCs w:val="0"/>
          <w:noProof w:val="0"/>
          <w:lang w:eastAsia="zh-TW"/>
        </w:rPr>
      </w:pPr>
      <w:r>
        <w:rPr>
          <w:rFonts w:eastAsia="Calibri"/>
          <w:bCs w:val="0"/>
          <w:noProof w:val="0"/>
          <w:lang w:eastAsia="zh-TW"/>
        </w:rPr>
        <w:t>izboljšanja vodenja kolesarjev z dopolnitvijo manjkajoče kolesarske signalizacije ter navezavami na obstoječe kolesarske povezave,</w:t>
      </w:r>
    </w:p>
    <w:p w14:paraId="1FD3ECC3" w14:textId="77777777" w:rsidR="00CF6A8D" w:rsidRDefault="00CF6A8D" w:rsidP="0023060D">
      <w:pPr>
        <w:numPr>
          <w:ilvl w:val="0"/>
          <w:numId w:val="14"/>
        </w:numPr>
        <w:spacing w:after="0" w:line="276" w:lineRule="auto"/>
        <w:ind w:left="1134" w:right="0" w:hanging="357"/>
        <w:jc w:val="left"/>
        <w:rPr>
          <w:rFonts w:eastAsia="Calibri"/>
          <w:bCs w:val="0"/>
          <w:noProof w:val="0"/>
          <w:lang w:eastAsia="zh-TW"/>
        </w:rPr>
      </w:pPr>
      <w:r>
        <w:rPr>
          <w:rFonts w:eastAsia="Calibri"/>
          <w:bCs w:val="0"/>
          <w:noProof w:val="0"/>
          <w:lang w:eastAsia="zh-TW"/>
        </w:rPr>
        <w:t>povečanja prometne varnosti z novimi in jasno zaznavnimi prečkanji ter ukrepi umirjanja prometa (kontrastni materiali/teksture, vertikalna in horizontalna signalizacija),</w:t>
      </w:r>
    </w:p>
    <w:p w14:paraId="202EA7B8" w14:textId="77777777" w:rsidR="00CF6A8D" w:rsidRDefault="00CF6A8D" w:rsidP="0023060D">
      <w:pPr>
        <w:numPr>
          <w:ilvl w:val="0"/>
          <w:numId w:val="14"/>
        </w:numPr>
        <w:spacing w:after="0" w:line="276" w:lineRule="auto"/>
        <w:ind w:left="1134" w:right="0" w:hanging="357"/>
        <w:jc w:val="left"/>
        <w:rPr>
          <w:rFonts w:eastAsia="Calibri"/>
          <w:bCs w:val="0"/>
          <w:noProof w:val="0"/>
          <w:lang w:eastAsia="zh-TW"/>
        </w:rPr>
      </w:pPr>
      <w:r>
        <w:rPr>
          <w:rFonts w:eastAsia="Calibri"/>
          <w:bCs w:val="0"/>
          <w:noProof w:val="0"/>
          <w:lang w:eastAsia="zh-TW"/>
        </w:rPr>
        <w:t>izboljšanja mikroklime, linijskega senčenja in bivalnega ugodja ter prispevka k biotski raznovrstnosti z urejanjem in nadgradnjo zelenih površin (tudi medonosne zasaditve) ter umestitvijo počivališč z urbano opremo,</w:t>
      </w:r>
    </w:p>
    <w:p w14:paraId="38E4FE22" w14:textId="77777777" w:rsidR="00CF6A8D" w:rsidRDefault="00CF6A8D" w:rsidP="0023060D">
      <w:pPr>
        <w:numPr>
          <w:ilvl w:val="0"/>
          <w:numId w:val="14"/>
        </w:numPr>
        <w:spacing w:after="0" w:line="276" w:lineRule="auto"/>
        <w:ind w:left="1134" w:right="0"/>
        <w:jc w:val="left"/>
        <w:rPr>
          <w:rFonts w:eastAsia="Calibri"/>
          <w:bCs w:val="0"/>
          <w:noProof w:val="0"/>
          <w:lang w:eastAsia="zh-TW"/>
        </w:rPr>
      </w:pPr>
      <w:r>
        <w:rPr>
          <w:rFonts w:eastAsia="Calibri"/>
          <w:bCs w:val="0"/>
          <w:noProof w:val="0"/>
          <w:lang w:eastAsia="zh-TW"/>
        </w:rPr>
        <w:t>nova ulična razsvetljava za osvetlitev nove pešpoti,</w:t>
      </w:r>
    </w:p>
    <w:p w14:paraId="43F63259" w14:textId="77777777" w:rsidR="00CF6A8D" w:rsidRDefault="00CF6A8D" w:rsidP="0023060D">
      <w:pPr>
        <w:numPr>
          <w:ilvl w:val="0"/>
          <w:numId w:val="14"/>
        </w:numPr>
        <w:spacing w:after="0" w:line="276" w:lineRule="auto"/>
        <w:ind w:left="1134" w:right="0" w:hanging="357"/>
        <w:jc w:val="left"/>
        <w:rPr>
          <w:rFonts w:eastAsia="Calibri"/>
          <w:bCs w:val="0"/>
          <w:noProof w:val="0"/>
          <w:lang w:eastAsia="zh-TW"/>
        </w:rPr>
      </w:pPr>
      <w:r>
        <w:rPr>
          <w:rFonts w:eastAsia="Calibri"/>
          <w:bCs w:val="0"/>
          <w:noProof w:val="0"/>
          <w:lang w:eastAsia="zh-TW"/>
        </w:rPr>
        <w:lastRenderedPageBreak/>
        <w:t xml:space="preserve">zagotavljanja usklajenosti z izvedenimi in načrtovanimi ureditvami širšega območja (Trg Evrope, železniška postaja, </w:t>
      </w:r>
      <w:proofErr w:type="spellStart"/>
      <w:r>
        <w:rPr>
          <w:rFonts w:eastAsia="Calibri"/>
          <w:bCs w:val="0"/>
          <w:noProof w:val="0"/>
          <w:lang w:eastAsia="zh-TW"/>
        </w:rPr>
        <w:t>Epic</w:t>
      </w:r>
      <w:proofErr w:type="spellEnd"/>
      <w:r>
        <w:rPr>
          <w:rFonts w:eastAsia="Calibri"/>
          <w:bCs w:val="0"/>
          <w:noProof w:val="0"/>
          <w:lang w:eastAsia="zh-TW"/>
        </w:rPr>
        <w:t xml:space="preserve"> Center, Super 8) ter načeli evropskega novega Bauhausa in DNSH in Podnebne odpornosti.</w:t>
      </w:r>
    </w:p>
    <w:p w14:paraId="56F64B8F" w14:textId="77777777" w:rsidR="00CF6A8D" w:rsidRDefault="00CF6A8D" w:rsidP="0023060D">
      <w:pPr>
        <w:spacing w:after="0" w:line="276" w:lineRule="auto"/>
        <w:ind w:left="1134" w:right="0"/>
        <w:jc w:val="left"/>
        <w:rPr>
          <w:rFonts w:eastAsia="Calibri"/>
          <w:bCs w:val="0"/>
          <w:noProof w:val="0"/>
          <w:lang w:eastAsia="zh-TW"/>
        </w:rPr>
      </w:pPr>
    </w:p>
    <w:p w14:paraId="41BD94E0" w14:textId="77777777" w:rsidR="00CF6A8D" w:rsidRDefault="00CF6A8D" w:rsidP="0023060D">
      <w:pPr>
        <w:spacing w:after="120" w:line="276" w:lineRule="auto"/>
        <w:ind w:right="0"/>
        <w:jc w:val="left"/>
        <w:rPr>
          <w:rFonts w:eastAsia="Calibri"/>
          <w:bCs w:val="0"/>
          <w:noProof w:val="0"/>
          <w:lang w:eastAsia="zh-TW"/>
        </w:rPr>
      </w:pPr>
      <w:r>
        <w:rPr>
          <w:rFonts w:eastAsia="Calibri"/>
          <w:b/>
          <w:bCs w:val="0"/>
          <w:noProof w:val="0"/>
          <w:lang w:eastAsia="zh-TW"/>
        </w:rPr>
        <w:t xml:space="preserve">Splošni cilj </w:t>
      </w:r>
      <w:r>
        <w:rPr>
          <w:rFonts w:eastAsia="Calibri"/>
          <w:noProof w:val="0"/>
          <w:lang w:eastAsia="zh-TW"/>
        </w:rPr>
        <w:t>projekta je prispevati k razvoju trajnostne mobilnosti v Mestni občini Nova Gorica z zmanjšanjem obsega motoriziranega prometa in emisij toplogrednih plinov, izboljšanjem kakovosti zraka in bivanja ter zagotavljanjem varnega, vključujočega in privlačnega javnega prostora skladno z načeli trajnostnega razvoja.</w:t>
      </w:r>
    </w:p>
    <w:p w14:paraId="21052CBE" w14:textId="77777777" w:rsidR="00CF6A8D" w:rsidRDefault="00CF6A8D" w:rsidP="0023060D">
      <w:pPr>
        <w:spacing w:after="120" w:line="276" w:lineRule="auto"/>
        <w:ind w:right="0"/>
        <w:jc w:val="left"/>
        <w:rPr>
          <w:rFonts w:eastAsia="Calibri"/>
          <w:b/>
          <w:noProof w:val="0"/>
          <w:lang w:eastAsia="zh-TW"/>
        </w:rPr>
      </w:pPr>
      <w:r>
        <w:rPr>
          <w:rFonts w:eastAsia="Calibri"/>
          <w:b/>
          <w:bCs w:val="0"/>
          <w:noProof w:val="0"/>
          <w:lang w:eastAsia="zh-TW"/>
        </w:rPr>
        <w:t>Specifični cilji projekta so:</w:t>
      </w:r>
    </w:p>
    <w:p w14:paraId="5E9246EB" w14:textId="77777777" w:rsidR="00CF6A8D" w:rsidRDefault="00CF6A8D" w:rsidP="0023060D">
      <w:pPr>
        <w:numPr>
          <w:ilvl w:val="0"/>
          <w:numId w:val="15"/>
        </w:numPr>
        <w:spacing w:after="0" w:line="276" w:lineRule="auto"/>
        <w:ind w:left="993" w:right="0"/>
        <w:contextualSpacing/>
        <w:jc w:val="left"/>
        <w:rPr>
          <w:rFonts w:eastAsia="Aptos"/>
          <w:b/>
          <w:bCs w:val="0"/>
          <w:noProof w:val="0"/>
          <w:kern w:val="2"/>
          <w:lang w:eastAsia="zh-TW"/>
        </w:rPr>
      </w:pPr>
      <w:r>
        <w:rPr>
          <w:rFonts w:eastAsia="Aptos"/>
          <w:b/>
          <w:bCs w:val="0"/>
          <w:noProof w:val="0"/>
          <w:kern w:val="2"/>
          <w:lang w:eastAsia="zh-TW"/>
        </w:rPr>
        <w:t>Izboljšati pogoje za trajnostno mobilnost (peš in kolesarsko)</w:t>
      </w:r>
    </w:p>
    <w:p w14:paraId="2CB793AB" w14:textId="77777777" w:rsidR="00CF6A8D" w:rsidRDefault="00CF6A8D" w:rsidP="0023060D">
      <w:pPr>
        <w:numPr>
          <w:ilvl w:val="0"/>
          <w:numId w:val="16"/>
        </w:numPr>
        <w:spacing w:after="0" w:line="276" w:lineRule="auto"/>
        <w:ind w:left="1276" w:right="0" w:hanging="284"/>
        <w:jc w:val="left"/>
        <w:rPr>
          <w:rFonts w:eastAsia="Calibri"/>
          <w:bCs w:val="0"/>
          <w:noProof w:val="0"/>
          <w:sz w:val="18"/>
          <w:szCs w:val="18"/>
          <w:lang w:eastAsia="zh-TW"/>
        </w:rPr>
      </w:pPr>
      <w:r>
        <w:rPr>
          <w:rFonts w:eastAsia="Calibri"/>
          <w:noProof w:val="0"/>
          <w:sz w:val="18"/>
          <w:szCs w:val="18"/>
          <w:lang w:eastAsia="zh-TW"/>
        </w:rPr>
        <w:t xml:space="preserve">Vzpostaviti neprekinjeno, varno in berljivo peš povezavo vzdolž obravnavanega odseka z obnovo hodnikov/pešpoti in ureditvijo navezav (južni del: obnova obstoječega hodnika; severni del: nova pešpot širine 2,0 m z vmesnimi zelenimi pasovi, kjer prostorski pogoji to dopuščajo). </w:t>
      </w:r>
    </w:p>
    <w:p w14:paraId="19A8C8FC" w14:textId="77777777" w:rsidR="00CF6A8D" w:rsidRDefault="00CF6A8D" w:rsidP="0023060D">
      <w:pPr>
        <w:numPr>
          <w:ilvl w:val="0"/>
          <w:numId w:val="16"/>
        </w:numPr>
        <w:spacing w:after="0" w:line="276" w:lineRule="auto"/>
        <w:ind w:left="1276" w:right="0" w:hanging="284"/>
        <w:jc w:val="left"/>
        <w:rPr>
          <w:rFonts w:eastAsia="Calibri"/>
          <w:noProof w:val="0"/>
          <w:sz w:val="18"/>
          <w:szCs w:val="18"/>
          <w:lang w:eastAsia="zh-TW"/>
        </w:rPr>
      </w:pPr>
      <w:r>
        <w:rPr>
          <w:rFonts w:eastAsia="Calibri"/>
          <w:noProof w:val="0"/>
          <w:sz w:val="18"/>
          <w:szCs w:val="18"/>
          <w:lang w:eastAsia="zh-TW"/>
        </w:rPr>
        <w:t>Izboljšati orientacijo in dostopnost z jasno razporeditvijo peš površin, urejenimi robniki ter ustrezno prometno (vertikalno in horizontalno) signalizacijo za vodenje udeležencev.</w:t>
      </w:r>
    </w:p>
    <w:p w14:paraId="7B33386C" w14:textId="77777777" w:rsidR="00CF6A8D" w:rsidRDefault="00CF6A8D" w:rsidP="0023060D">
      <w:pPr>
        <w:spacing w:after="0" w:line="276" w:lineRule="auto"/>
        <w:ind w:left="1276" w:right="0"/>
        <w:jc w:val="left"/>
        <w:rPr>
          <w:rFonts w:eastAsia="Calibri"/>
          <w:noProof w:val="0"/>
          <w:sz w:val="18"/>
          <w:szCs w:val="18"/>
          <w:lang w:eastAsia="zh-TW"/>
        </w:rPr>
      </w:pPr>
    </w:p>
    <w:p w14:paraId="77086F02" w14:textId="77777777" w:rsidR="00CF6A8D" w:rsidRDefault="00CF6A8D" w:rsidP="0023060D">
      <w:pPr>
        <w:numPr>
          <w:ilvl w:val="0"/>
          <w:numId w:val="15"/>
        </w:numPr>
        <w:spacing w:after="0" w:line="276" w:lineRule="auto"/>
        <w:ind w:left="993" w:right="0"/>
        <w:contextualSpacing/>
        <w:jc w:val="left"/>
        <w:rPr>
          <w:rFonts w:eastAsia="Aptos"/>
          <w:b/>
          <w:noProof w:val="0"/>
          <w:kern w:val="2"/>
          <w:lang w:eastAsia="zh-TW"/>
        </w:rPr>
      </w:pPr>
      <w:r>
        <w:rPr>
          <w:rFonts w:eastAsia="Aptos"/>
          <w:b/>
          <w:bCs w:val="0"/>
          <w:noProof w:val="0"/>
          <w:kern w:val="2"/>
          <w:lang w:eastAsia="zh-TW"/>
        </w:rPr>
        <w:t>Zmanjšati negativne vplive motornega prometa z umirjanjem prometa</w:t>
      </w:r>
    </w:p>
    <w:p w14:paraId="19978F99" w14:textId="77777777" w:rsidR="00CF6A8D" w:rsidRDefault="00CF6A8D" w:rsidP="0023060D">
      <w:pPr>
        <w:numPr>
          <w:ilvl w:val="0"/>
          <w:numId w:val="17"/>
        </w:numPr>
        <w:spacing w:after="0" w:line="276" w:lineRule="auto"/>
        <w:ind w:left="1276" w:right="0" w:hanging="357"/>
        <w:jc w:val="left"/>
        <w:rPr>
          <w:rFonts w:eastAsia="Calibri"/>
          <w:bCs w:val="0"/>
          <w:noProof w:val="0"/>
          <w:sz w:val="18"/>
          <w:szCs w:val="18"/>
          <w:lang w:eastAsia="zh-TW"/>
        </w:rPr>
      </w:pPr>
      <w:r>
        <w:rPr>
          <w:rFonts w:eastAsia="Calibri"/>
          <w:noProof w:val="0"/>
          <w:sz w:val="18"/>
          <w:szCs w:val="18"/>
          <w:lang w:eastAsia="zh-TW"/>
        </w:rPr>
        <w:t xml:space="preserve">Vzpostaviti/utrditi režim umirjenega prometa z uvedbo in označitvijo omejitev (cona 30) ter ureditvijo območij skupnega prometnega prostora na navezavi preko Trga Evropa, skladno s projektno prometno ureditvijo. </w:t>
      </w:r>
    </w:p>
    <w:p w14:paraId="666C9B66" w14:textId="77777777" w:rsidR="00CF6A8D" w:rsidRDefault="00CF6A8D" w:rsidP="0023060D">
      <w:pPr>
        <w:numPr>
          <w:ilvl w:val="0"/>
          <w:numId w:val="17"/>
        </w:numPr>
        <w:spacing w:after="0" w:line="276" w:lineRule="auto"/>
        <w:ind w:left="1276" w:right="0" w:hanging="357"/>
        <w:jc w:val="left"/>
        <w:rPr>
          <w:rFonts w:eastAsia="Calibri"/>
          <w:noProof w:val="0"/>
          <w:sz w:val="18"/>
          <w:szCs w:val="18"/>
          <w:lang w:eastAsia="zh-TW"/>
        </w:rPr>
      </w:pPr>
      <w:r>
        <w:rPr>
          <w:rFonts w:eastAsia="Calibri"/>
          <w:noProof w:val="0"/>
          <w:sz w:val="18"/>
          <w:szCs w:val="18"/>
          <w:lang w:eastAsia="zh-TW"/>
        </w:rPr>
        <w:t>Zmanjšati hitrosti in izboljšati prometno disciplino z izvedbo oblikovnih/tehničnih ukrepov (npr. hitrostne ovire v kombinaciji s prehodi) ter celovito dopolnitvijo vertikalne in horizontalne signalizacije.</w:t>
      </w:r>
    </w:p>
    <w:p w14:paraId="6F928872" w14:textId="77777777" w:rsidR="00CF6A8D" w:rsidRDefault="00CF6A8D" w:rsidP="0023060D">
      <w:pPr>
        <w:spacing w:after="0" w:line="276" w:lineRule="auto"/>
        <w:ind w:left="1276" w:right="0"/>
        <w:jc w:val="left"/>
        <w:rPr>
          <w:rFonts w:eastAsia="Calibri"/>
          <w:noProof w:val="0"/>
          <w:sz w:val="18"/>
          <w:szCs w:val="18"/>
          <w:lang w:eastAsia="zh-TW"/>
        </w:rPr>
      </w:pPr>
    </w:p>
    <w:p w14:paraId="638968EF" w14:textId="77777777" w:rsidR="00CF6A8D" w:rsidRDefault="00CF6A8D" w:rsidP="0023060D">
      <w:pPr>
        <w:numPr>
          <w:ilvl w:val="0"/>
          <w:numId w:val="15"/>
        </w:numPr>
        <w:spacing w:after="0" w:line="276" w:lineRule="auto"/>
        <w:ind w:left="993" w:right="0"/>
        <w:contextualSpacing/>
        <w:jc w:val="left"/>
        <w:rPr>
          <w:rFonts w:eastAsia="Aptos"/>
          <w:b/>
          <w:noProof w:val="0"/>
          <w:kern w:val="2"/>
          <w:lang w:eastAsia="zh-TW"/>
        </w:rPr>
      </w:pPr>
      <w:r>
        <w:rPr>
          <w:rFonts w:eastAsia="Aptos"/>
          <w:b/>
          <w:bCs w:val="0"/>
          <w:noProof w:val="0"/>
          <w:kern w:val="2"/>
          <w:lang w:eastAsia="zh-TW"/>
        </w:rPr>
        <w:t>Povečati prometno varnost ranljivih skupin (pešci, osebe z oviranostmi)</w:t>
      </w:r>
    </w:p>
    <w:p w14:paraId="298B8BD7" w14:textId="77777777" w:rsidR="00CF6A8D" w:rsidRDefault="00CF6A8D" w:rsidP="0023060D">
      <w:pPr>
        <w:numPr>
          <w:ilvl w:val="0"/>
          <w:numId w:val="18"/>
        </w:numPr>
        <w:spacing w:after="0" w:line="276" w:lineRule="auto"/>
        <w:ind w:left="1276" w:right="0" w:hanging="357"/>
        <w:jc w:val="left"/>
        <w:rPr>
          <w:rFonts w:eastAsia="Calibri"/>
          <w:bCs w:val="0"/>
          <w:noProof w:val="0"/>
          <w:sz w:val="18"/>
          <w:szCs w:val="18"/>
          <w:lang w:eastAsia="zh-TW"/>
        </w:rPr>
      </w:pPr>
      <w:r>
        <w:rPr>
          <w:rFonts w:eastAsia="Calibri"/>
          <w:noProof w:val="0"/>
          <w:sz w:val="18"/>
          <w:szCs w:val="18"/>
          <w:lang w:eastAsia="zh-TW"/>
        </w:rPr>
        <w:t xml:space="preserve">Povečati varnost prečkanj z izvedbo/rekonstrukcijo prehodov za pešce in izboljšano zaznavnostjo (talne označbe, dodatna signalizacija, tlakovanje pasov na izbranih prehodih). </w:t>
      </w:r>
    </w:p>
    <w:p w14:paraId="698089F9" w14:textId="77777777" w:rsidR="00CF6A8D" w:rsidRDefault="00CF6A8D" w:rsidP="0023060D">
      <w:pPr>
        <w:numPr>
          <w:ilvl w:val="0"/>
          <w:numId w:val="18"/>
        </w:numPr>
        <w:spacing w:after="0" w:line="276" w:lineRule="auto"/>
        <w:ind w:left="1276" w:right="0" w:hanging="357"/>
        <w:jc w:val="left"/>
        <w:rPr>
          <w:rFonts w:eastAsia="Calibri"/>
          <w:noProof w:val="0"/>
          <w:sz w:val="18"/>
          <w:szCs w:val="18"/>
          <w:lang w:eastAsia="zh-TW"/>
        </w:rPr>
      </w:pPr>
      <w:r>
        <w:rPr>
          <w:rFonts w:eastAsia="Calibri"/>
          <w:noProof w:val="0"/>
          <w:sz w:val="18"/>
          <w:szCs w:val="18"/>
          <w:lang w:eastAsia="zh-TW"/>
        </w:rPr>
        <w:t>Zagotoviti dostopnost za slepe in slabovidne z vgradnjo taktilnih vodilnih linij ter opozorilnih taktilnih polj na ključnih točkah in pred prehodi (predvideno na severnem odseku).</w:t>
      </w:r>
    </w:p>
    <w:p w14:paraId="033A119E" w14:textId="77777777" w:rsidR="00CF6A8D" w:rsidRDefault="00CF6A8D" w:rsidP="0023060D">
      <w:pPr>
        <w:spacing w:after="0" w:line="276" w:lineRule="auto"/>
        <w:ind w:left="1276" w:right="0"/>
        <w:jc w:val="left"/>
        <w:rPr>
          <w:rFonts w:eastAsia="Calibri"/>
          <w:noProof w:val="0"/>
          <w:sz w:val="18"/>
          <w:szCs w:val="18"/>
          <w:lang w:eastAsia="zh-TW"/>
        </w:rPr>
      </w:pPr>
    </w:p>
    <w:p w14:paraId="65C28D0C" w14:textId="77777777" w:rsidR="00CF6A8D" w:rsidRDefault="00CF6A8D" w:rsidP="0023060D">
      <w:pPr>
        <w:numPr>
          <w:ilvl w:val="0"/>
          <w:numId w:val="15"/>
        </w:numPr>
        <w:spacing w:after="0" w:line="276" w:lineRule="auto"/>
        <w:ind w:left="993" w:right="0"/>
        <w:contextualSpacing/>
        <w:jc w:val="left"/>
        <w:rPr>
          <w:rFonts w:eastAsia="Aptos"/>
          <w:b/>
          <w:noProof w:val="0"/>
          <w:kern w:val="2"/>
          <w:lang w:eastAsia="zh-TW"/>
        </w:rPr>
      </w:pPr>
      <w:r>
        <w:rPr>
          <w:rFonts w:eastAsia="Aptos"/>
          <w:b/>
          <w:bCs w:val="0"/>
          <w:noProof w:val="0"/>
          <w:kern w:val="2"/>
          <w:lang w:eastAsia="zh-TW"/>
        </w:rPr>
        <w:t>Urediti in povezati zeleno (ter po potrebi modro) infrastrukturo ob trasi</w:t>
      </w:r>
    </w:p>
    <w:p w14:paraId="73A9FD78" w14:textId="77777777" w:rsidR="00CF6A8D" w:rsidRDefault="00CF6A8D" w:rsidP="0023060D">
      <w:pPr>
        <w:numPr>
          <w:ilvl w:val="0"/>
          <w:numId w:val="19"/>
        </w:numPr>
        <w:spacing w:after="0" w:line="276" w:lineRule="auto"/>
        <w:ind w:left="1276" w:right="0" w:hanging="357"/>
        <w:jc w:val="left"/>
        <w:rPr>
          <w:rFonts w:eastAsia="Calibri"/>
          <w:bCs w:val="0"/>
          <w:noProof w:val="0"/>
          <w:sz w:val="18"/>
          <w:szCs w:val="18"/>
          <w:lang w:eastAsia="zh-TW"/>
        </w:rPr>
      </w:pPr>
      <w:r>
        <w:rPr>
          <w:rFonts w:eastAsia="Calibri"/>
          <w:noProof w:val="0"/>
          <w:sz w:val="18"/>
          <w:szCs w:val="18"/>
          <w:lang w:eastAsia="zh-TW"/>
        </w:rPr>
        <w:t>Sanirati degradirane in prizadete površine ter urediti zelene pasove ob pešpoti in vozišču v skladu z načrtom krajinske arhitekture (</w:t>
      </w:r>
      <w:proofErr w:type="spellStart"/>
      <w:r>
        <w:rPr>
          <w:rFonts w:eastAsia="Calibri"/>
          <w:noProof w:val="0"/>
          <w:sz w:val="18"/>
          <w:szCs w:val="18"/>
          <w:lang w:eastAsia="zh-TW"/>
        </w:rPr>
        <w:t>humuziranje</w:t>
      </w:r>
      <w:proofErr w:type="spellEnd"/>
      <w:r>
        <w:rPr>
          <w:rFonts w:eastAsia="Calibri"/>
          <w:noProof w:val="0"/>
          <w:sz w:val="18"/>
          <w:szCs w:val="18"/>
          <w:lang w:eastAsia="zh-TW"/>
        </w:rPr>
        <w:t xml:space="preserve">, </w:t>
      </w:r>
      <w:proofErr w:type="spellStart"/>
      <w:r>
        <w:rPr>
          <w:rFonts w:eastAsia="Calibri"/>
          <w:noProof w:val="0"/>
          <w:sz w:val="18"/>
          <w:szCs w:val="18"/>
          <w:lang w:eastAsia="zh-TW"/>
        </w:rPr>
        <w:t>zatravitev</w:t>
      </w:r>
      <w:proofErr w:type="spellEnd"/>
      <w:r>
        <w:rPr>
          <w:rFonts w:eastAsia="Calibri"/>
          <w:noProof w:val="0"/>
          <w:sz w:val="18"/>
          <w:szCs w:val="18"/>
          <w:lang w:eastAsia="zh-TW"/>
        </w:rPr>
        <w:t xml:space="preserve">, zasaditve). </w:t>
      </w:r>
    </w:p>
    <w:p w14:paraId="5B6DDBF4" w14:textId="77777777" w:rsidR="00CF6A8D" w:rsidRDefault="00CF6A8D" w:rsidP="0023060D">
      <w:pPr>
        <w:numPr>
          <w:ilvl w:val="0"/>
          <w:numId w:val="19"/>
        </w:numPr>
        <w:spacing w:after="0" w:line="276" w:lineRule="auto"/>
        <w:ind w:left="1276" w:right="0" w:hanging="357"/>
        <w:jc w:val="left"/>
        <w:rPr>
          <w:rFonts w:eastAsia="Calibri"/>
          <w:noProof w:val="0"/>
          <w:sz w:val="18"/>
          <w:szCs w:val="18"/>
          <w:lang w:eastAsia="zh-TW"/>
        </w:rPr>
      </w:pPr>
      <w:r>
        <w:rPr>
          <w:rFonts w:eastAsia="Calibri"/>
          <w:noProof w:val="0"/>
          <w:sz w:val="18"/>
          <w:szCs w:val="18"/>
          <w:lang w:eastAsia="zh-TW"/>
        </w:rPr>
        <w:t xml:space="preserve">Vzpostaviti senčenje in </w:t>
      </w:r>
      <w:proofErr w:type="spellStart"/>
      <w:r>
        <w:rPr>
          <w:rFonts w:eastAsia="Calibri"/>
          <w:noProof w:val="0"/>
          <w:sz w:val="18"/>
          <w:szCs w:val="18"/>
          <w:lang w:eastAsia="zh-TW"/>
        </w:rPr>
        <w:t>mikroklimatsko</w:t>
      </w:r>
      <w:proofErr w:type="spellEnd"/>
      <w:r>
        <w:rPr>
          <w:rFonts w:eastAsia="Calibri"/>
          <w:noProof w:val="0"/>
          <w:sz w:val="18"/>
          <w:szCs w:val="18"/>
          <w:lang w:eastAsia="zh-TW"/>
        </w:rPr>
        <w:t xml:space="preserve"> blaženje z zasaditvami dreves, grmovnic in trajnic, izbranih za lokacijske razmere (nabor rastlin je definiran v popisu/Prilogi).</w:t>
      </w:r>
    </w:p>
    <w:p w14:paraId="209C071E" w14:textId="77777777" w:rsidR="00CF6A8D" w:rsidRDefault="00CF6A8D" w:rsidP="0023060D">
      <w:pPr>
        <w:spacing w:after="0" w:line="276" w:lineRule="auto"/>
        <w:ind w:left="1276" w:right="0"/>
        <w:jc w:val="left"/>
        <w:rPr>
          <w:rFonts w:eastAsia="Calibri"/>
          <w:noProof w:val="0"/>
          <w:sz w:val="18"/>
          <w:szCs w:val="18"/>
          <w:lang w:eastAsia="zh-TW"/>
        </w:rPr>
      </w:pPr>
    </w:p>
    <w:p w14:paraId="1CC9DDD2" w14:textId="77777777" w:rsidR="00CF6A8D" w:rsidRDefault="00CF6A8D" w:rsidP="0023060D">
      <w:pPr>
        <w:numPr>
          <w:ilvl w:val="0"/>
          <w:numId w:val="15"/>
        </w:numPr>
        <w:spacing w:after="0" w:line="276" w:lineRule="auto"/>
        <w:ind w:left="993" w:right="0"/>
        <w:contextualSpacing/>
        <w:jc w:val="left"/>
        <w:rPr>
          <w:rFonts w:eastAsia="Aptos"/>
          <w:b/>
          <w:noProof w:val="0"/>
          <w:kern w:val="2"/>
          <w:lang w:eastAsia="zh-TW"/>
        </w:rPr>
      </w:pPr>
      <w:r>
        <w:rPr>
          <w:rFonts w:eastAsia="Aptos"/>
          <w:b/>
          <w:bCs w:val="0"/>
          <w:noProof w:val="0"/>
          <w:kern w:val="2"/>
          <w:lang w:eastAsia="zh-TW"/>
        </w:rPr>
        <w:t>Dvigniti kakovost javnega prostora z enotno urbano opremo in počivališči</w:t>
      </w:r>
    </w:p>
    <w:p w14:paraId="074F858D" w14:textId="77777777" w:rsidR="00CF6A8D" w:rsidRDefault="00CF6A8D" w:rsidP="0023060D">
      <w:pPr>
        <w:numPr>
          <w:ilvl w:val="0"/>
          <w:numId w:val="20"/>
        </w:numPr>
        <w:spacing w:after="0" w:line="276" w:lineRule="auto"/>
        <w:ind w:left="1417" w:right="0" w:hanging="357"/>
        <w:jc w:val="left"/>
        <w:rPr>
          <w:rFonts w:eastAsia="Calibri"/>
          <w:bCs w:val="0"/>
          <w:noProof w:val="0"/>
          <w:sz w:val="18"/>
          <w:szCs w:val="18"/>
          <w:lang w:eastAsia="zh-TW"/>
        </w:rPr>
      </w:pPr>
      <w:r>
        <w:rPr>
          <w:rFonts w:eastAsia="Calibri"/>
          <w:noProof w:val="0"/>
          <w:sz w:val="18"/>
          <w:szCs w:val="18"/>
          <w:lang w:eastAsia="zh-TW"/>
        </w:rPr>
        <w:t xml:space="preserve">Umestiti počivališča in urbano opremo (npr. klopi, koši) na predvidenih lokacijah ter zagotoviti enoten oblikovalski jezik in berljivost prostora vzdolž celotne trase. </w:t>
      </w:r>
    </w:p>
    <w:p w14:paraId="10C337E9" w14:textId="77777777" w:rsidR="00CF6A8D" w:rsidRDefault="00CF6A8D" w:rsidP="0023060D">
      <w:pPr>
        <w:numPr>
          <w:ilvl w:val="0"/>
          <w:numId w:val="20"/>
        </w:numPr>
        <w:spacing w:after="0" w:line="276" w:lineRule="auto"/>
        <w:ind w:left="1417" w:right="0" w:hanging="357"/>
        <w:jc w:val="left"/>
        <w:rPr>
          <w:rFonts w:eastAsia="Calibri"/>
          <w:noProof w:val="0"/>
          <w:sz w:val="18"/>
          <w:szCs w:val="18"/>
          <w:lang w:eastAsia="zh-TW"/>
        </w:rPr>
      </w:pPr>
      <w:r>
        <w:rPr>
          <w:rFonts w:eastAsia="Calibri"/>
          <w:noProof w:val="0"/>
          <w:sz w:val="18"/>
          <w:szCs w:val="18"/>
          <w:lang w:eastAsia="zh-TW"/>
        </w:rPr>
        <w:t>Cilj je oblikovati prijeten, pregleden in vključujoč ulični prostor, skladen z načeli kakovostnega oblikovanja (po potrebi lahko omenjate “evropski novi Bauhaus” kot oblikovalsko-usmeritveni okvir, brez obljub o rešitvah, ki niso v projektu).</w:t>
      </w:r>
    </w:p>
    <w:p w14:paraId="2C449646" w14:textId="77777777" w:rsidR="00CF6A8D" w:rsidRDefault="00CF6A8D" w:rsidP="0023060D">
      <w:pPr>
        <w:spacing w:after="0" w:line="276" w:lineRule="auto"/>
        <w:ind w:left="1417" w:right="0"/>
        <w:jc w:val="left"/>
        <w:rPr>
          <w:rFonts w:eastAsia="Calibri"/>
          <w:noProof w:val="0"/>
          <w:sz w:val="18"/>
          <w:szCs w:val="18"/>
          <w:lang w:eastAsia="zh-TW"/>
        </w:rPr>
      </w:pPr>
    </w:p>
    <w:p w14:paraId="5E45D0D9" w14:textId="77777777" w:rsidR="00CF6A8D" w:rsidRDefault="00CF6A8D" w:rsidP="0023060D">
      <w:pPr>
        <w:numPr>
          <w:ilvl w:val="0"/>
          <w:numId w:val="15"/>
        </w:numPr>
        <w:spacing w:after="0" w:line="276" w:lineRule="auto"/>
        <w:ind w:left="993" w:right="0"/>
        <w:contextualSpacing/>
        <w:jc w:val="left"/>
        <w:rPr>
          <w:rFonts w:eastAsia="Aptos"/>
          <w:b/>
          <w:noProof w:val="0"/>
          <w:kern w:val="2"/>
          <w:lang w:eastAsia="zh-TW"/>
        </w:rPr>
      </w:pPr>
      <w:r>
        <w:rPr>
          <w:rFonts w:eastAsia="Aptos"/>
          <w:b/>
          <w:bCs w:val="0"/>
          <w:noProof w:val="0"/>
          <w:kern w:val="2"/>
          <w:lang w:eastAsia="zh-TW"/>
        </w:rPr>
        <w:t>Prispevati k nacionalnim in EU ciljem ter zagotavljati skladnost (CTN/RSO 2.8, DNSH)</w:t>
      </w:r>
    </w:p>
    <w:p w14:paraId="3769F15F" w14:textId="77777777" w:rsidR="00CF6A8D" w:rsidRDefault="00CF6A8D" w:rsidP="0023060D">
      <w:pPr>
        <w:numPr>
          <w:ilvl w:val="0"/>
          <w:numId w:val="21"/>
        </w:numPr>
        <w:spacing w:after="0" w:line="276" w:lineRule="auto"/>
        <w:ind w:left="1417" w:right="0" w:hanging="357"/>
        <w:jc w:val="left"/>
        <w:rPr>
          <w:rFonts w:eastAsia="Calibri"/>
          <w:bCs w:val="0"/>
          <w:noProof w:val="0"/>
          <w:sz w:val="18"/>
          <w:szCs w:val="18"/>
          <w:lang w:eastAsia="zh-TW"/>
        </w:rPr>
      </w:pPr>
      <w:r>
        <w:rPr>
          <w:rFonts w:eastAsia="Calibri"/>
          <w:noProof w:val="0"/>
          <w:sz w:val="18"/>
          <w:szCs w:val="18"/>
          <w:lang w:eastAsia="zh-TW"/>
        </w:rPr>
        <w:t>Izvesti ukrepe, ki spodbujajo varno aktivno mobilnost in izboljšujejo kakovost prostora, ter so pripravljeni kot strokovna podlaga za uveljavljanje sofinanciranja v programskem obdobju 2023–2029 (CTN; RSO 2.8).</w:t>
      </w:r>
    </w:p>
    <w:p w14:paraId="765D897F" w14:textId="77777777" w:rsidR="00CF6A8D" w:rsidRDefault="00CF6A8D" w:rsidP="0023060D">
      <w:pPr>
        <w:numPr>
          <w:ilvl w:val="0"/>
          <w:numId w:val="21"/>
        </w:numPr>
        <w:spacing w:after="0" w:line="276" w:lineRule="auto"/>
        <w:ind w:left="1417" w:right="0" w:hanging="357"/>
        <w:jc w:val="left"/>
        <w:rPr>
          <w:rFonts w:eastAsia="Calibri"/>
          <w:b/>
          <w:noProof w:val="0"/>
          <w:sz w:val="18"/>
          <w:szCs w:val="18"/>
          <w:lang w:eastAsia="zh-TW"/>
        </w:rPr>
      </w:pPr>
      <w:r>
        <w:rPr>
          <w:rFonts w:eastAsia="Calibri"/>
          <w:noProof w:val="0"/>
          <w:sz w:val="18"/>
          <w:szCs w:val="18"/>
          <w:lang w:eastAsia="zh-TW"/>
        </w:rPr>
        <w:t>Upoštevati načelo DNSH (zmanjševanje negativnih vplivov gradnje, ravnanje z odpadki, varovanje tal/voda, ipd.), skladno z določili projektne dokumentacije in izvedbenimi zahtevami.</w:t>
      </w:r>
    </w:p>
    <w:p w14:paraId="7D70D1FB" w14:textId="77777777" w:rsidR="00CF6A8D" w:rsidRDefault="00CF6A8D" w:rsidP="0023060D">
      <w:pPr>
        <w:spacing w:after="0" w:line="276" w:lineRule="auto"/>
        <w:ind w:left="1417" w:right="0"/>
        <w:jc w:val="left"/>
        <w:rPr>
          <w:rFonts w:eastAsia="Calibri"/>
          <w:b/>
          <w:bCs w:val="0"/>
          <w:noProof w:val="0"/>
          <w:sz w:val="18"/>
          <w:szCs w:val="18"/>
          <w:lang w:eastAsia="zh-TW"/>
        </w:rPr>
      </w:pPr>
    </w:p>
    <w:p w14:paraId="6C348C55" w14:textId="77777777" w:rsidR="00CF6A8D" w:rsidRDefault="00CF6A8D" w:rsidP="0023060D">
      <w:pPr>
        <w:spacing w:after="0" w:line="240" w:lineRule="auto"/>
        <w:ind w:right="0"/>
        <w:jc w:val="left"/>
        <w:rPr>
          <w:rFonts w:eastAsia="Calibri"/>
          <w:bCs w:val="0"/>
          <w:noProof w:val="0"/>
          <w:lang w:eastAsia="en-US"/>
        </w:rPr>
      </w:pPr>
      <w:r>
        <w:rPr>
          <w:rFonts w:eastAsia="Calibri"/>
          <w:noProof w:val="0"/>
          <w:lang w:eastAsia="en-US"/>
        </w:rPr>
        <w:t>Skupna vrednost projekta znaša po tekočih cenah 1.295.094,99 EUR z DDV. Celoten projekt je 60% sofinanciran iz Proračuna EU (ESRR) in Proračuna Republike Slovenije.</w:t>
      </w:r>
    </w:p>
    <w:p w14:paraId="36F8865A" w14:textId="77777777" w:rsidR="00CF6A8D" w:rsidRDefault="00CF6A8D" w:rsidP="0023060D">
      <w:pPr>
        <w:spacing w:after="0" w:line="240" w:lineRule="auto"/>
        <w:ind w:right="0"/>
        <w:jc w:val="left"/>
        <w:rPr>
          <w:rFonts w:eastAsia="Calibri"/>
          <w:noProof w:val="0"/>
          <w:lang w:eastAsia="en-US"/>
        </w:rPr>
      </w:pPr>
      <w:r>
        <w:rPr>
          <w:rFonts w:eastAsia="Calibri"/>
          <w:bCs w:val="0"/>
          <w:noProof w:val="0"/>
          <w:lang w:eastAsia="en-US"/>
        </w:rPr>
        <w:tab/>
      </w:r>
      <w:r>
        <w:rPr>
          <w:rFonts w:eastAsia="Calibri"/>
          <w:bCs w:val="0"/>
          <w:noProof w:val="0"/>
          <w:lang w:eastAsia="en-US"/>
        </w:rPr>
        <w:tab/>
      </w:r>
    </w:p>
    <w:p w14:paraId="7746ECB4" w14:textId="77777777" w:rsidR="00CF6A8D" w:rsidRDefault="00CF6A8D" w:rsidP="0023060D">
      <w:pPr>
        <w:spacing w:after="0" w:line="240" w:lineRule="auto"/>
        <w:ind w:right="0"/>
        <w:jc w:val="left"/>
        <w:rPr>
          <w:bCs w:val="0"/>
          <w:noProof w:val="0"/>
        </w:rPr>
      </w:pPr>
      <w:bookmarkStart w:id="1" w:name="_Toc55981663"/>
      <w:bookmarkStart w:id="2" w:name="_Toc101100365"/>
      <w:bookmarkStart w:id="3" w:name="_Toc166078459"/>
      <w:r>
        <w:rPr>
          <w:bCs w:val="0"/>
          <w:noProof w:val="0"/>
        </w:rPr>
        <w:t>Predvidena dinamika in viri financiranja celotnega projekta, v EUR z DDV</w:t>
      </w:r>
      <w:bookmarkEnd w:id="1"/>
      <w:bookmarkEnd w:id="2"/>
      <w:bookmarkEnd w:id="3"/>
      <w:r>
        <w:rPr>
          <w:bCs w:val="0"/>
          <w:noProof w:val="0"/>
        </w:rPr>
        <w:t>, so sledeči:</w:t>
      </w:r>
    </w:p>
    <w:p w14:paraId="7BF9E433" w14:textId="77777777" w:rsidR="0029006F" w:rsidRDefault="0029006F" w:rsidP="00CF6A8D">
      <w:pPr>
        <w:spacing w:after="0" w:line="240" w:lineRule="auto"/>
        <w:ind w:right="0"/>
        <w:rPr>
          <w:bCs w:val="0"/>
          <w:noProof w:val="0"/>
        </w:rPr>
      </w:pPr>
    </w:p>
    <w:tbl>
      <w:tblPr>
        <w:tblW w:w="8505" w:type="dxa"/>
        <w:tblInd w:w="704" w:type="dxa"/>
        <w:tblLook w:val="04A0" w:firstRow="1" w:lastRow="0" w:firstColumn="1" w:lastColumn="0" w:noHBand="0" w:noVBand="1"/>
      </w:tblPr>
      <w:tblGrid>
        <w:gridCol w:w="1985"/>
        <w:gridCol w:w="1511"/>
        <w:gridCol w:w="1182"/>
        <w:gridCol w:w="1134"/>
        <w:gridCol w:w="1498"/>
        <w:gridCol w:w="1195"/>
      </w:tblGrid>
      <w:tr w:rsidR="00CF6A8D" w14:paraId="0F1E2DAC" w14:textId="77777777" w:rsidTr="00CF6A8D">
        <w:trPr>
          <w:trHeight w:hRule="exact" w:val="583"/>
        </w:trPr>
        <w:tc>
          <w:tcPr>
            <w:tcW w:w="198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6F3B690" w14:textId="77777777" w:rsidR="00CF6A8D" w:rsidRDefault="00CF6A8D">
            <w:pPr>
              <w:ind w:left="-107"/>
              <w:jc w:val="center"/>
              <w:rPr>
                <w:rFonts w:cstheme="majorHAnsi"/>
                <w:b/>
                <w:bCs w:val="0"/>
                <w:color w:val="FFFFFF"/>
                <w:sz w:val="18"/>
                <w:szCs w:val="18"/>
                <w:lang w:eastAsia="en-US"/>
              </w:rPr>
            </w:pPr>
            <w:r>
              <w:rPr>
                <w:rFonts w:cstheme="majorHAnsi"/>
                <w:b/>
                <w:bCs w:val="0"/>
                <w:color w:val="FFFFFF"/>
                <w:sz w:val="18"/>
                <w:szCs w:val="18"/>
                <w:lang w:eastAsia="en-US"/>
              </w:rPr>
              <w:t>VIRI FINANCIRANJA</w:t>
            </w:r>
          </w:p>
        </w:tc>
        <w:tc>
          <w:tcPr>
            <w:tcW w:w="1511" w:type="dxa"/>
            <w:tcBorders>
              <w:top w:val="single" w:sz="4" w:space="0" w:color="auto"/>
              <w:left w:val="nil"/>
              <w:bottom w:val="single" w:sz="4" w:space="0" w:color="auto"/>
              <w:right w:val="single" w:sz="4" w:space="0" w:color="auto"/>
            </w:tcBorders>
            <w:shd w:val="clear" w:color="auto" w:fill="203764"/>
            <w:noWrap/>
            <w:vAlign w:val="bottom"/>
            <w:hideMark/>
          </w:tcPr>
          <w:p w14:paraId="7EAFB835" w14:textId="77777777" w:rsidR="00CF6A8D" w:rsidRDefault="00CF6A8D">
            <w:pPr>
              <w:ind w:left="-52" w:right="-21"/>
              <w:jc w:val="center"/>
              <w:rPr>
                <w:rFonts w:cstheme="majorHAnsi"/>
                <w:b/>
                <w:bCs w:val="0"/>
                <w:color w:val="FFFFFF"/>
                <w:sz w:val="18"/>
                <w:szCs w:val="18"/>
                <w:lang w:eastAsia="en-US"/>
              </w:rPr>
            </w:pPr>
            <w:r>
              <w:rPr>
                <w:rFonts w:cstheme="majorHAnsi"/>
                <w:b/>
                <w:bCs w:val="0"/>
                <w:color w:val="FFFFFF"/>
                <w:sz w:val="18"/>
                <w:szCs w:val="18"/>
                <w:lang w:eastAsia="en-US"/>
              </w:rPr>
              <w:t>SKUPAJ</w:t>
            </w:r>
          </w:p>
        </w:tc>
        <w:tc>
          <w:tcPr>
            <w:tcW w:w="1182" w:type="dxa"/>
            <w:tcBorders>
              <w:top w:val="single" w:sz="4" w:space="0" w:color="auto"/>
              <w:left w:val="nil"/>
              <w:bottom w:val="single" w:sz="4" w:space="0" w:color="auto"/>
              <w:right w:val="single" w:sz="4" w:space="0" w:color="auto"/>
            </w:tcBorders>
            <w:shd w:val="clear" w:color="auto" w:fill="203764"/>
            <w:noWrap/>
            <w:vAlign w:val="bottom"/>
            <w:hideMark/>
          </w:tcPr>
          <w:p w14:paraId="363AB9DF" w14:textId="77777777" w:rsidR="00CF6A8D" w:rsidRDefault="00CF6A8D">
            <w:pPr>
              <w:ind w:left="-65" w:right="0"/>
              <w:jc w:val="center"/>
              <w:rPr>
                <w:rFonts w:cstheme="majorHAnsi"/>
                <w:b/>
                <w:bCs w:val="0"/>
                <w:color w:val="FFFFFF"/>
                <w:sz w:val="18"/>
                <w:szCs w:val="18"/>
                <w:lang w:eastAsia="en-US"/>
              </w:rPr>
            </w:pPr>
            <w:r>
              <w:rPr>
                <w:rFonts w:cstheme="majorHAnsi"/>
                <w:b/>
                <w:bCs w:val="0"/>
                <w:color w:val="FFFFFF"/>
                <w:sz w:val="18"/>
                <w:szCs w:val="18"/>
                <w:lang w:eastAsia="en-US"/>
              </w:rPr>
              <w:t>DELEŽ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03764"/>
            <w:noWrap/>
            <w:vAlign w:val="bottom"/>
            <w:hideMark/>
          </w:tcPr>
          <w:p w14:paraId="05F97A28" w14:textId="77777777" w:rsidR="00CF6A8D" w:rsidRDefault="00CF6A8D">
            <w:pPr>
              <w:ind w:left="-65" w:right="0"/>
              <w:jc w:val="center"/>
              <w:rPr>
                <w:rFonts w:cstheme="majorHAnsi"/>
                <w:b/>
                <w:bCs w:val="0"/>
                <w:color w:val="FFFFFF"/>
                <w:sz w:val="18"/>
                <w:szCs w:val="18"/>
                <w:lang w:eastAsia="en-US"/>
              </w:rPr>
            </w:pPr>
            <w:r>
              <w:rPr>
                <w:rFonts w:cstheme="majorHAnsi"/>
                <w:b/>
                <w:bCs w:val="0"/>
                <w:color w:val="FFFFFF"/>
                <w:sz w:val="18"/>
                <w:szCs w:val="18"/>
                <w:lang w:eastAsia="en-US"/>
              </w:rPr>
              <w:t>2026</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03764"/>
            <w:noWrap/>
            <w:vAlign w:val="bottom"/>
            <w:hideMark/>
          </w:tcPr>
          <w:p w14:paraId="4ECFF159" w14:textId="77777777" w:rsidR="00CF6A8D" w:rsidRDefault="00CF6A8D">
            <w:pPr>
              <w:ind w:left="-65" w:right="-22"/>
              <w:jc w:val="center"/>
              <w:rPr>
                <w:rFonts w:cstheme="majorHAnsi"/>
                <w:b/>
                <w:bCs w:val="0"/>
                <w:color w:val="FFFFFF"/>
                <w:sz w:val="18"/>
                <w:szCs w:val="18"/>
                <w:lang w:eastAsia="en-US"/>
              </w:rPr>
            </w:pPr>
            <w:r>
              <w:rPr>
                <w:rFonts w:cstheme="majorHAnsi"/>
                <w:b/>
                <w:bCs w:val="0"/>
                <w:color w:val="FFFFFF"/>
                <w:sz w:val="18"/>
                <w:szCs w:val="18"/>
                <w:lang w:eastAsia="en-US"/>
              </w:rPr>
              <w:t>2027</w:t>
            </w:r>
          </w:p>
        </w:tc>
        <w:tc>
          <w:tcPr>
            <w:tcW w:w="1195" w:type="dxa"/>
            <w:tcBorders>
              <w:top w:val="single" w:sz="4" w:space="0" w:color="auto"/>
              <w:left w:val="single" w:sz="4" w:space="0" w:color="000000" w:themeColor="text1"/>
              <w:bottom w:val="single" w:sz="4" w:space="0" w:color="auto"/>
              <w:right w:val="single" w:sz="4" w:space="0" w:color="auto"/>
            </w:tcBorders>
            <w:shd w:val="clear" w:color="auto" w:fill="203764"/>
            <w:noWrap/>
            <w:vAlign w:val="bottom"/>
            <w:hideMark/>
          </w:tcPr>
          <w:p w14:paraId="1A6AD29A" w14:textId="77777777" w:rsidR="00CF6A8D" w:rsidRDefault="00CF6A8D">
            <w:pPr>
              <w:ind w:left="-65" w:right="0"/>
              <w:jc w:val="center"/>
              <w:rPr>
                <w:rFonts w:cstheme="majorHAnsi"/>
                <w:b/>
                <w:bCs w:val="0"/>
                <w:color w:val="FFFFFF"/>
                <w:sz w:val="18"/>
                <w:szCs w:val="18"/>
                <w:lang w:eastAsia="en-US"/>
              </w:rPr>
            </w:pPr>
            <w:r>
              <w:rPr>
                <w:rFonts w:cstheme="majorHAnsi"/>
                <w:b/>
                <w:bCs w:val="0"/>
                <w:color w:val="FFFFFF"/>
                <w:sz w:val="18"/>
                <w:szCs w:val="18"/>
                <w:lang w:eastAsia="en-US"/>
              </w:rPr>
              <w:t>2028</w:t>
            </w:r>
          </w:p>
        </w:tc>
      </w:tr>
      <w:tr w:rsidR="00CF6A8D" w14:paraId="6ADD9746" w14:textId="77777777" w:rsidTr="00CF6A8D">
        <w:trPr>
          <w:trHeight w:hRule="exact" w:val="563"/>
        </w:trPr>
        <w:tc>
          <w:tcPr>
            <w:tcW w:w="1985" w:type="dxa"/>
            <w:tcBorders>
              <w:top w:val="nil"/>
              <w:left w:val="single" w:sz="4" w:space="0" w:color="auto"/>
              <w:bottom w:val="single" w:sz="4" w:space="0" w:color="auto"/>
              <w:right w:val="single" w:sz="4" w:space="0" w:color="auto"/>
            </w:tcBorders>
            <w:shd w:val="clear" w:color="auto" w:fill="D9D9D9"/>
            <w:noWrap/>
            <w:vAlign w:val="bottom"/>
            <w:hideMark/>
          </w:tcPr>
          <w:p w14:paraId="13CADD27" w14:textId="77777777" w:rsidR="00CF6A8D" w:rsidRDefault="00CF6A8D" w:rsidP="00CF6A8D">
            <w:pPr>
              <w:ind w:left="35"/>
              <w:rPr>
                <w:rFonts w:cstheme="majorHAnsi"/>
                <w:b/>
                <w:bCs w:val="0"/>
                <w:color w:val="000000"/>
                <w:sz w:val="18"/>
                <w:szCs w:val="18"/>
                <w:lang w:eastAsia="en-US"/>
              </w:rPr>
            </w:pPr>
            <w:r>
              <w:rPr>
                <w:rFonts w:cstheme="majorHAnsi"/>
                <w:b/>
                <w:bCs w:val="0"/>
                <w:color w:val="000000"/>
                <w:sz w:val="18"/>
                <w:szCs w:val="18"/>
                <w:lang w:eastAsia="en-US"/>
              </w:rPr>
              <w:t>UPRAVIČENI STROŠKI</w:t>
            </w:r>
          </w:p>
        </w:tc>
        <w:tc>
          <w:tcPr>
            <w:tcW w:w="1511" w:type="dxa"/>
            <w:tcBorders>
              <w:top w:val="nil"/>
              <w:left w:val="nil"/>
              <w:bottom w:val="single" w:sz="8" w:space="0" w:color="auto"/>
              <w:right w:val="single" w:sz="8" w:space="0" w:color="auto"/>
            </w:tcBorders>
            <w:shd w:val="clear" w:color="auto" w:fill="D9D9D9"/>
            <w:noWrap/>
            <w:vAlign w:val="center"/>
            <w:hideMark/>
          </w:tcPr>
          <w:p w14:paraId="6892E773" w14:textId="77777777" w:rsidR="00CF6A8D" w:rsidRDefault="00CF6A8D">
            <w:pPr>
              <w:ind w:left="-52" w:right="-21"/>
              <w:jc w:val="right"/>
              <w:rPr>
                <w:rFonts w:cstheme="majorHAnsi"/>
                <w:b/>
                <w:bCs w:val="0"/>
                <w:color w:val="000000"/>
                <w:sz w:val="18"/>
                <w:szCs w:val="18"/>
                <w:lang w:eastAsia="en-US"/>
              </w:rPr>
            </w:pPr>
            <w:r>
              <w:rPr>
                <w:b/>
                <w:bCs w:val="0"/>
                <w:color w:val="000000"/>
                <w:sz w:val="18"/>
                <w:szCs w:val="18"/>
                <w:lang w:eastAsia="en-US"/>
              </w:rPr>
              <w:t>963.860,97</w:t>
            </w:r>
          </w:p>
        </w:tc>
        <w:tc>
          <w:tcPr>
            <w:tcW w:w="1182" w:type="dxa"/>
            <w:tcBorders>
              <w:top w:val="nil"/>
              <w:left w:val="nil"/>
              <w:bottom w:val="single" w:sz="8" w:space="0" w:color="auto"/>
              <w:right w:val="single" w:sz="8" w:space="0" w:color="auto"/>
            </w:tcBorders>
            <w:shd w:val="clear" w:color="auto" w:fill="D9D9D9"/>
            <w:noWrap/>
            <w:vAlign w:val="center"/>
            <w:hideMark/>
          </w:tcPr>
          <w:p w14:paraId="66C60F27"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74,42%</w:t>
            </w:r>
          </w:p>
        </w:tc>
        <w:tc>
          <w:tcPr>
            <w:tcW w:w="1134" w:type="dxa"/>
            <w:tcBorders>
              <w:top w:val="nil"/>
              <w:left w:val="nil"/>
              <w:bottom w:val="single" w:sz="8" w:space="0" w:color="auto"/>
              <w:right w:val="single" w:sz="8" w:space="0" w:color="auto"/>
            </w:tcBorders>
            <w:shd w:val="clear" w:color="auto" w:fill="D9D9D9"/>
            <w:noWrap/>
            <w:vAlign w:val="center"/>
            <w:hideMark/>
          </w:tcPr>
          <w:p w14:paraId="574025FB"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5.621,76</w:t>
            </w:r>
          </w:p>
        </w:tc>
        <w:tc>
          <w:tcPr>
            <w:tcW w:w="1498" w:type="dxa"/>
            <w:tcBorders>
              <w:top w:val="nil"/>
              <w:left w:val="nil"/>
              <w:bottom w:val="single" w:sz="8" w:space="0" w:color="auto"/>
              <w:right w:val="single" w:sz="8" w:space="0" w:color="auto"/>
            </w:tcBorders>
            <w:shd w:val="clear" w:color="auto" w:fill="D9D9D9"/>
            <w:noWrap/>
            <w:vAlign w:val="center"/>
            <w:hideMark/>
          </w:tcPr>
          <w:p w14:paraId="52FDEDB7" w14:textId="77777777" w:rsidR="00CF6A8D" w:rsidRDefault="00CF6A8D">
            <w:pPr>
              <w:ind w:left="-65" w:right="-22"/>
              <w:jc w:val="right"/>
              <w:rPr>
                <w:rFonts w:cstheme="majorHAnsi"/>
                <w:b/>
                <w:bCs w:val="0"/>
                <w:color w:val="000000"/>
                <w:sz w:val="18"/>
                <w:szCs w:val="18"/>
                <w:lang w:eastAsia="en-US"/>
              </w:rPr>
            </w:pPr>
            <w:r>
              <w:rPr>
                <w:b/>
                <w:bCs w:val="0"/>
                <w:color w:val="000000"/>
                <w:sz w:val="18"/>
                <w:szCs w:val="18"/>
                <w:lang w:eastAsia="en-US"/>
              </w:rPr>
              <w:t>954.977,08</w:t>
            </w:r>
          </w:p>
        </w:tc>
        <w:tc>
          <w:tcPr>
            <w:tcW w:w="1195" w:type="dxa"/>
            <w:tcBorders>
              <w:top w:val="nil"/>
              <w:left w:val="nil"/>
              <w:bottom w:val="single" w:sz="8" w:space="0" w:color="auto"/>
              <w:right w:val="single" w:sz="8" w:space="0" w:color="auto"/>
            </w:tcBorders>
            <w:shd w:val="clear" w:color="auto" w:fill="D9D9D9"/>
            <w:noWrap/>
            <w:vAlign w:val="center"/>
            <w:hideMark/>
          </w:tcPr>
          <w:p w14:paraId="72957605"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3.262,13</w:t>
            </w:r>
          </w:p>
        </w:tc>
      </w:tr>
      <w:tr w:rsidR="00CF6A8D" w14:paraId="3159E6CC"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52014334" w14:textId="77777777" w:rsidR="00CF6A8D" w:rsidRDefault="00CF6A8D" w:rsidP="00CF6A8D">
            <w:pPr>
              <w:ind w:left="35"/>
              <w:rPr>
                <w:rFonts w:cstheme="majorHAnsi"/>
                <w:bCs w:val="0"/>
                <w:color w:val="000000"/>
                <w:sz w:val="18"/>
                <w:szCs w:val="18"/>
                <w:lang w:eastAsia="en-US"/>
              </w:rPr>
            </w:pPr>
            <w:r>
              <w:rPr>
                <w:rFonts w:cstheme="majorHAnsi"/>
                <w:color w:val="000000"/>
                <w:sz w:val="18"/>
                <w:szCs w:val="18"/>
                <w:lang w:eastAsia="en-US"/>
              </w:rPr>
              <w:t>EU sredstva</w:t>
            </w:r>
          </w:p>
        </w:tc>
        <w:tc>
          <w:tcPr>
            <w:tcW w:w="1511" w:type="dxa"/>
            <w:tcBorders>
              <w:top w:val="nil"/>
              <w:left w:val="nil"/>
              <w:bottom w:val="single" w:sz="8" w:space="0" w:color="auto"/>
              <w:right w:val="single" w:sz="8" w:space="0" w:color="auto"/>
            </w:tcBorders>
            <w:noWrap/>
            <w:vAlign w:val="center"/>
            <w:hideMark/>
          </w:tcPr>
          <w:p w14:paraId="157BF597" w14:textId="77777777" w:rsidR="00CF6A8D" w:rsidRDefault="00CF6A8D">
            <w:pPr>
              <w:ind w:left="-52" w:right="-21"/>
              <w:jc w:val="right"/>
              <w:rPr>
                <w:rFonts w:cstheme="majorHAnsi"/>
                <w:color w:val="000000"/>
                <w:sz w:val="18"/>
                <w:szCs w:val="18"/>
                <w:lang w:eastAsia="en-US"/>
              </w:rPr>
            </w:pPr>
            <w:r>
              <w:rPr>
                <w:color w:val="000000"/>
                <w:sz w:val="18"/>
                <w:szCs w:val="18"/>
                <w:lang w:eastAsia="en-US"/>
              </w:rPr>
              <w:t>655.425,47</w:t>
            </w:r>
          </w:p>
        </w:tc>
        <w:tc>
          <w:tcPr>
            <w:tcW w:w="1182" w:type="dxa"/>
            <w:tcBorders>
              <w:top w:val="nil"/>
              <w:left w:val="nil"/>
              <w:bottom w:val="single" w:sz="8" w:space="0" w:color="auto"/>
              <w:right w:val="single" w:sz="8" w:space="0" w:color="auto"/>
            </w:tcBorders>
            <w:noWrap/>
            <w:vAlign w:val="center"/>
            <w:hideMark/>
          </w:tcPr>
          <w:p w14:paraId="4F895136" w14:textId="77777777" w:rsidR="00CF6A8D" w:rsidRDefault="00CF6A8D">
            <w:pPr>
              <w:ind w:left="-65" w:right="0"/>
              <w:jc w:val="right"/>
              <w:rPr>
                <w:rFonts w:cstheme="majorHAnsi"/>
                <w:color w:val="000000"/>
                <w:sz w:val="18"/>
                <w:szCs w:val="18"/>
                <w:lang w:eastAsia="en-US"/>
              </w:rPr>
            </w:pPr>
            <w:r>
              <w:rPr>
                <w:color w:val="000000"/>
                <w:sz w:val="18"/>
                <w:szCs w:val="18"/>
                <w:lang w:eastAsia="en-US"/>
              </w:rPr>
              <w:t>50,61%</w:t>
            </w:r>
          </w:p>
        </w:tc>
        <w:tc>
          <w:tcPr>
            <w:tcW w:w="1134" w:type="dxa"/>
            <w:tcBorders>
              <w:top w:val="nil"/>
              <w:left w:val="nil"/>
              <w:bottom w:val="single" w:sz="8" w:space="0" w:color="auto"/>
              <w:right w:val="single" w:sz="8" w:space="0" w:color="auto"/>
            </w:tcBorders>
            <w:noWrap/>
            <w:vAlign w:val="center"/>
            <w:hideMark/>
          </w:tcPr>
          <w:p w14:paraId="61FD56A9" w14:textId="77777777" w:rsidR="00CF6A8D" w:rsidRDefault="00CF6A8D">
            <w:pPr>
              <w:ind w:left="-65" w:right="0"/>
              <w:jc w:val="right"/>
              <w:rPr>
                <w:rFonts w:cstheme="majorHAnsi"/>
                <w:color w:val="000000"/>
                <w:sz w:val="18"/>
                <w:szCs w:val="18"/>
                <w:lang w:eastAsia="en-US"/>
              </w:rPr>
            </w:pPr>
            <w:r>
              <w:rPr>
                <w:color w:val="000000"/>
                <w:sz w:val="18"/>
                <w:szCs w:val="18"/>
                <w:lang w:eastAsia="en-US"/>
              </w:rPr>
              <w:t>3.822,80</w:t>
            </w:r>
          </w:p>
        </w:tc>
        <w:tc>
          <w:tcPr>
            <w:tcW w:w="1498" w:type="dxa"/>
            <w:tcBorders>
              <w:top w:val="nil"/>
              <w:left w:val="nil"/>
              <w:bottom w:val="single" w:sz="8" w:space="0" w:color="auto"/>
              <w:right w:val="single" w:sz="8" w:space="0" w:color="auto"/>
            </w:tcBorders>
            <w:noWrap/>
            <w:vAlign w:val="center"/>
            <w:hideMark/>
          </w:tcPr>
          <w:p w14:paraId="4EF28DA0" w14:textId="77777777" w:rsidR="00CF6A8D" w:rsidRDefault="00CF6A8D">
            <w:pPr>
              <w:ind w:left="-65" w:right="-22"/>
              <w:jc w:val="right"/>
              <w:rPr>
                <w:rFonts w:cstheme="majorHAnsi"/>
                <w:color w:val="000000"/>
                <w:sz w:val="18"/>
                <w:szCs w:val="18"/>
                <w:lang w:eastAsia="en-US"/>
              </w:rPr>
            </w:pPr>
            <w:r>
              <w:rPr>
                <w:color w:val="000000"/>
                <w:sz w:val="18"/>
                <w:szCs w:val="18"/>
                <w:lang w:eastAsia="en-US"/>
              </w:rPr>
              <w:t>649.384,42</w:t>
            </w:r>
          </w:p>
        </w:tc>
        <w:tc>
          <w:tcPr>
            <w:tcW w:w="1195" w:type="dxa"/>
            <w:tcBorders>
              <w:top w:val="nil"/>
              <w:left w:val="nil"/>
              <w:bottom w:val="single" w:sz="8" w:space="0" w:color="auto"/>
              <w:right w:val="single" w:sz="8" w:space="0" w:color="auto"/>
            </w:tcBorders>
            <w:noWrap/>
            <w:vAlign w:val="center"/>
            <w:hideMark/>
          </w:tcPr>
          <w:p w14:paraId="4A30131C" w14:textId="77777777" w:rsidR="00CF6A8D" w:rsidRDefault="00CF6A8D">
            <w:pPr>
              <w:ind w:left="-65" w:right="0"/>
              <w:jc w:val="right"/>
              <w:rPr>
                <w:rFonts w:cstheme="majorHAnsi"/>
                <w:color w:val="000000"/>
                <w:sz w:val="18"/>
                <w:szCs w:val="18"/>
                <w:lang w:eastAsia="en-US"/>
              </w:rPr>
            </w:pPr>
            <w:r>
              <w:rPr>
                <w:color w:val="000000"/>
                <w:sz w:val="18"/>
                <w:szCs w:val="18"/>
                <w:lang w:eastAsia="en-US"/>
              </w:rPr>
              <w:t>2.218,25</w:t>
            </w:r>
          </w:p>
        </w:tc>
      </w:tr>
      <w:tr w:rsidR="00CF6A8D" w14:paraId="59D3EF56"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60F800D7" w14:textId="77777777" w:rsidR="00CF6A8D" w:rsidRDefault="00CF6A8D" w:rsidP="00CF6A8D">
            <w:pPr>
              <w:ind w:left="35"/>
              <w:rPr>
                <w:rFonts w:cstheme="majorHAnsi"/>
                <w:color w:val="000000"/>
                <w:sz w:val="18"/>
                <w:szCs w:val="18"/>
                <w:lang w:eastAsia="en-US"/>
              </w:rPr>
            </w:pPr>
            <w:r>
              <w:rPr>
                <w:rFonts w:cstheme="majorHAnsi"/>
                <w:color w:val="000000"/>
                <w:sz w:val="18"/>
                <w:szCs w:val="18"/>
                <w:lang w:eastAsia="en-US"/>
              </w:rPr>
              <w:t>Slovenska udeležba</w:t>
            </w:r>
          </w:p>
        </w:tc>
        <w:tc>
          <w:tcPr>
            <w:tcW w:w="1511" w:type="dxa"/>
            <w:tcBorders>
              <w:top w:val="nil"/>
              <w:left w:val="nil"/>
              <w:bottom w:val="single" w:sz="8" w:space="0" w:color="auto"/>
              <w:right w:val="single" w:sz="8" w:space="0" w:color="auto"/>
            </w:tcBorders>
            <w:noWrap/>
            <w:vAlign w:val="center"/>
            <w:hideMark/>
          </w:tcPr>
          <w:p w14:paraId="2545250E" w14:textId="77777777" w:rsidR="00CF6A8D" w:rsidRDefault="00CF6A8D">
            <w:pPr>
              <w:ind w:left="-52" w:right="-21"/>
              <w:jc w:val="right"/>
              <w:rPr>
                <w:rFonts w:cstheme="majorHAnsi"/>
                <w:color w:val="000000"/>
                <w:sz w:val="18"/>
                <w:szCs w:val="18"/>
                <w:lang w:eastAsia="en-US"/>
              </w:rPr>
            </w:pPr>
            <w:r>
              <w:rPr>
                <w:color w:val="000000"/>
                <w:sz w:val="18"/>
                <w:szCs w:val="18"/>
                <w:lang w:eastAsia="en-US"/>
              </w:rPr>
              <w:t>115.663,32</w:t>
            </w:r>
          </w:p>
        </w:tc>
        <w:tc>
          <w:tcPr>
            <w:tcW w:w="1182" w:type="dxa"/>
            <w:tcBorders>
              <w:top w:val="nil"/>
              <w:left w:val="nil"/>
              <w:bottom w:val="single" w:sz="8" w:space="0" w:color="auto"/>
              <w:right w:val="single" w:sz="8" w:space="0" w:color="auto"/>
            </w:tcBorders>
            <w:noWrap/>
            <w:vAlign w:val="center"/>
            <w:hideMark/>
          </w:tcPr>
          <w:p w14:paraId="68AB419B" w14:textId="77777777" w:rsidR="00CF6A8D" w:rsidRDefault="00CF6A8D">
            <w:pPr>
              <w:ind w:left="-65" w:right="0"/>
              <w:jc w:val="right"/>
              <w:rPr>
                <w:rFonts w:cstheme="majorHAnsi"/>
                <w:color w:val="000000"/>
                <w:sz w:val="18"/>
                <w:szCs w:val="18"/>
                <w:lang w:eastAsia="en-US"/>
              </w:rPr>
            </w:pPr>
            <w:r>
              <w:rPr>
                <w:color w:val="000000"/>
                <w:sz w:val="18"/>
                <w:szCs w:val="18"/>
                <w:lang w:eastAsia="en-US"/>
              </w:rPr>
              <w:t>8,93%</w:t>
            </w:r>
          </w:p>
        </w:tc>
        <w:tc>
          <w:tcPr>
            <w:tcW w:w="1134" w:type="dxa"/>
            <w:tcBorders>
              <w:top w:val="nil"/>
              <w:left w:val="nil"/>
              <w:bottom w:val="single" w:sz="8" w:space="0" w:color="auto"/>
              <w:right w:val="single" w:sz="8" w:space="0" w:color="auto"/>
            </w:tcBorders>
            <w:noWrap/>
            <w:vAlign w:val="center"/>
            <w:hideMark/>
          </w:tcPr>
          <w:p w14:paraId="0D00C801" w14:textId="77777777" w:rsidR="00CF6A8D" w:rsidRDefault="00CF6A8D">
            <w:pPr>
              <w:ind w:left="-65" w:right="0"/>
              <w:jc w:val="right"/>
              <w:rPr>
                <w:rFonts w:cstheme="majorHAnsi"/>
                <w:color w:val="000000"/>
                <w:sz w:val="18"/>
                <w:szCs w:val="18"/>
                <w:lang w:eastAsia="en-US"/>
              </w:rPr>
            </w:pPr>
            <w:r>
              <w:rPr>
                <w:color w:val="000000"/>
                <w:sz w:val="18"/>
                <w:szCs w:val="18"/>
                <w:lang w:eastAsia="en-US"/>
              </w:rPr>
              <w:t>674,61</w:t>
            </w:r>
          </w:p>
        </w:tc>
        <w:tc>
          <w:tcPr>
            <w:tcW w:w="1498" w:type="dxa"/>
            <w:tcBorders>
              <w:top w:val="nil"/>
              <w:left w:val="nil"/>
              <w:bottom w:val="single" w:sz="8" w:space="0" w:color="auto"/>
              <w:right w:val="single" w:sz="8" w:space="0" w:color="auto"/>
            </w:tcBorders>
            <w:noWrap/>
            <w:vAlign w:val="center"/>
            <w:hideMark/>
          </w:tcPr>
          <w:p w14:paraId="72058908" w14:textId="77777777" w:rsidR="00CF6A8D" w:rsidRDefault="00CF6A8D">
            <w:pPr>
              <w:ind w:left="-65" w:right="-22"/>
              <w:jc w:val="right"/>
              <w:rPr>
                <w:rFonts w:cstheme="majorHAnsi"/>
                <w:color w:val="000000"/>
                <w:sz w:val="18"/>
                <w:szCs w:val="18"/>
                <w:lang w:eastAsia="en-US"/>
              </w:rPr>
            </w:pPr>
            <w:r>
              <w:rPr>
                <w:color w:val="000000"/>
                <w:sz w:val="18"/>
                <w:szCs w:val="18"/>
                <w:lang w:eastAsia="en-US"/>
              </w:rPr>
              <w:t>114.597,25</w:t>
            </w:r>
          </w:p>
        </w:tc>
        <w:tc>
          <w:tcPr>
            <w:tcW w:w="1195" w:type="dxa"/>
            <w:tcBorders>
              <w:top w:val="nil"/>
              <w:left w:val="nil"/>
              <w:bottom w:val="single" w:sz="8" w:space="0" w:color="auto"/>
              <w:right w:val="single" w:sz="8" w:space="0" w:color="auto"/>
            </w:tcBorders>
            <w:noWrap/>
            <w:vAlign w:val="center"/>
            <w:hideMark/>
          </w:tcPr>
          <w:p w14:paraId="5966DA5C" w14:textId="77777777" w:rsidR="00CF6A8D" w:rsidRDefault="00CF6A8D">
            <w:pPr>
              <w:ind w:left="-65" w:right="0"/>
              <w:jc w:val="right"/>
              <w:rPr>
                <w:rFonts w:cstheme="majorHAnsi"/>
                <w:color w:val="000000"/>
                <w:sz w:val="18"/>
                <w:szCs w:val="18"/>
                <w:lang w:eastAsia="en-US"/>
              </w:rPr>
            </w:pPr>
            <w:r>
              <w:rPr>
                <w:color w:val="000000"/>
                <w:sz w:val="18"/>
                <w:szCs w:val="18"/>
                <w:lang w:eastAsia="en-US"/>
              </w:rPr>
              <w:t>391,46</w:t>
            </w:r>
          </w:p>
        </w:tc>
      </w:tr>
      <w:tr w:rsidR="00CF6A8D" w14:paraId="6B35D42E"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32919002" w14:textId="77777777" w:rsidR="00CF6A8D" w:rsidRDefault="00CF6A8D" w:rsidP="00CF6A8D">
            <w:pPr>
              <w:ind w:left="35"/>
              <w:rPr>
                <w:rFonts w:cstheme="majorHAnsi"/>
                <w:color w:val="000000"/>
                <w:sz w:val="18"/>
                <w:szCs w:val="18"/>
                <w:lang w:eastAsia="en-US"/>
              </w:rPr>
            </w:pPr>
            <w:r>
              <w:rPr>
                <w:rFonts w:cstheme="majorHAnsi"/>
                <w:color w:val="000000"/>
                <w:sz w:val="18"/>
                <w:szCs w:val="18"/>
                <w:lang w:eastAsia="en-US"/>
              </w:rPr>
              <w:t>Lastna sredstva</w:t>
            </w:r>
          </w:p>
        </w:tc>
        <w:tc>
          <w:tcPr>
            <w:tcW w:w="1511" w:type="dxa"/>
            <w:tcBorders>
              <w:top w:val="nil"/>
              <w:left w:val="nil"/>
              <w:bottom w:val="single" w:sz="8" w:space="0" w:color="auto"/>
              <w:right w:val="single" w:sz="8" w:space="0" w:color="auto"/>
            </w:tcBorders>
            <w:noWrap/>
            <w:vAlign w:val="center"/>
            <w:hideMark/>
          </w:tcPr>
          <w:p w14:paraId="154E676F" w14:textId="77777777" w:rsidR="00CF6A8D" w:rsidRDefault="00CF6A8D">
            <w:pPr>
              <w:ind w:left="-52" w:right="-21"/>
              <w:jc w:val="right"/>
              <w:rPr>
                <w:rFonts w:cstheme="majorHAnsi"/>
                <w:color w:val="000000"/>
                <w:sz w:val="18"/>
                <w:szCs w:val="18"/>
                <w:lang w:eastAsia="en-US"/>
              </w:rPr>
            </w:pPr>
            <w:r>
              <w:rPr>
                <w:color w:val="000000"/>
                <w:sz w:val="18"/>
                <w:szCs w:val="18"/>
                <w:lang w:eastAsia="en-US"/>
              </w:rPr>
              <w:t>192.772,18</w:t>
            </w:r>
          </w:p>
        </w:tc>
        <w:tc>
          <w:tcPr>
            <w:tcW w:w="1182" w:type="dxa"/>
            <w:tcBorders>
              <w:top w:val="nil"/>
              <w:left w:val="nil"/>
              <w:bottom w:val="single" w:sz="8" w:space="0" w:color="auto"/>
              <w:right w:val="single" w:sz="8" w:space="0" w:color="auto"/>
            </w:tcBorders>
            <w:noWrap/>
            <w:vAlign w:val="center"/>
            <w:hideMark/>
          </w:tcPr>
          <w:p w14:paraId="7BE2C478" w14:textId="77777777" w:rsidR="00CF6A8D" w:rsidRDefault="00CF6A8D">
            <w:pPr>
              <w:ind w:left="-65" w:right="0"/>
              <w:jc w:val="right"/>
              <w:rPr>
                <w:rFonts w:cstheme="majorHAnsi"/>
                <w:color w:val="000000"/>
                <w:sz w:val="18"/>
                <w:szCs w:val="18"/>
                <w:lang w:eastAsia="en-US"/>
              </w:rPr>
            </w:pPr>
            <w:r>
              <w:rPr>
                <w:color w:val="000000"/>
                <w:sz w:val="18"/>
                <w:szCs w:val="18"/>
                <w:lang w:eastAsia="en-US"/>
              </w:rPr>
              <w:t>14,88%</w:t>
            </w:r>
          </w:p>
        </w:tc>
        <w:tc>
          <w:tcPr>
            <w:tcW w:w="1134" w:type="dxa"/>
            <w:tcBorders>
              <w:top w:val="nil"/>
              <w:left w:val="nil"/>
              <w:bottom w:val="single" w:sz="8" w:space="0" w:color="auto"/>
              <w:right w:val="single" w:sz="8" w:space="0" w:color="auto"/>
            </w:tcBorders>
            <w:noWrap/>
            <w:vAlign w:val="center"/>
            <w:hideMark/>
          </w:tcPr>
          <w:p w14:paraId="459823CF" w14:textId="77777777" w:rsidR="00CF6A8D" w:rsidRDefault="00CF6A8D">
            <w:pPr>
              <w:ind w:left="-65" w:right="0"/>
              <w:jc w:val="right"/>
              <w:rPr>
                <w:rFonts w:cstheme="majorHAnsi"/>
                <w:color w:val="000000"/>
                <w:sz w:val="18"/>
                <w:szCs w:val="18"/>
                <w:lang w:eastAsia="en-US"/>
              </w:rPr>
            </w:pPr>
            <w:r>
              <w:rPr>
                <w:color w:val="000000"/>
                <w:sz w:val="18"/>
                <w:szCs w:val="18"/>
                <w:lang w:eastAsia="en-US"/>
              </w:rPr>
              <w:t>1.124,35</w:t>
            </w:r>
          </w:p>
        </w:tc>
        <w:tc>
          <w:tcPr>
            <w:tcW w:w="1498" w:type="dxa"/>
            <w:tcBorders>
              <w:top w:val="nil"/>
              <w:left w:val="nil"/>
              <w:bottom w:val="single" w:sz="8" w:space="0" w:color="auto"/>
              <w:right w:val="single" w:sz="8" w:space="0" w:color="auto"/>
            </w:tcBorders>
            <w:noWrap/>
            <w:vAlign w:val="center"/>
            <w:hideMark/>
          </w:tcPr>
          <w:p w14:paraId="78A28B8C" w14:textId="77777777" w:rsidR="00CF6A8D" w:rsidRDefault="00CF6A8D">
            <w:pPr>
              <w:ind w:left="-65" w:right="-22"/>
              <w:jc w:val="right"/>
              <w:rPr>
                <w:rFonts w:cstheme="majorHAnsi"/>
                <w:color w:val="000000"/>
                <w:sz w:val="18"/>
                <w:szCs w:val="18"/>
                <w:lang w:eastAsia="en-US"/>
              </w:rPr>
            </w:pPr>
            <w:r>
              <w:rPr>
                <w:color w:val="000000"/>
                <w:sz w:val="18"/>
                <w:szCs w:val="18"/>
                <w:lang w:eastAsia="en-US"/>
              </w:rPr>
              <w:t>190.995,41</w:t>
            </w:r>
          </w:p>
        </w:tc>
        <w:tc>
          <w:tcPr>
            <w:tcW w:w="1195" w:type="dxa"/>
            <w:tcBorders>
              <w:top w:val="nil"/>
              <w:left w:val="nil"/>
              <w:bottom w:val="single" w:sz="8" w:space="0" w:color="auto"/>
              <w:right w:val="single" w:sz="8" w:space="0" w:color="auto"/>
            </w:tcBorders>
            <w:noWrap/>
            <w:vAlign w:val="center"/>
            <w:hideMark/>
          </w:tcPr>
          <w:p w14:paraId="0ED0616A" w14:textId="77777777" w:rsidR="00CF6A8D" w:rsidRDefault="00CF6A8D">
            <w:pPr>
              <w:ind w:left="-65" w:right="0"/>
              <w:jc w:val="right"/>
              <w:rPr>
                <w:rFonts w:cstheme="majorHAnsi"/>
                <w:color w:val="000000"/>
                <w:sz w:val="18"/>
                <w:szCs w:val="18"/>
                <w:lang w:eastAsia="en-US"/>
              </w:rPr>
            </w:pPr>
            <w:r>
              <w:rPr>
                <w:color w:val="000000"/>
                <w:sz w:val="18"/>
                <w:szCs w:val="18"/>
                <w:lang w:eastAsia="en-US"/>
              </w:rPr>
              <w:t>652,42</w:t>
            </w:r>
          </w:p>
        </w:tc>
      </w:tr>
      <w:tr w:rsidR="00CF6A8D" w14:paraId="63D63510" w14:textId="77777777" w:rsidTr="00CF6A8D">
        <w:trPr>
          <w:trHeight w:hRule="exact" w:val="503"/>
        </w:trPr>
        <w:tc>
          <w:tcPr>
            <w:tcW w:w="1985" w:type="dxa"/>
            <w:tcBorders>
              <w:top w:val="nil"/>
              <w:left w:val="single" w:sz="4" w:space="0" w:color="auto"/>
              <w:bottom w:val="single" w:sz="4" w:space="0" w:color="auto"/>
              <w:right w:val="single" w:sz="4" w:space="0" w:color="auto"/>
            </w:tcBorders>
            <w:shd w:val="clear" w:color="auto" w:fill="D9D9D9"/>
            <w:noWrap/>
            <w:vAlign w:val="bottom"/>
            <w:hideMark/>
          </w:tcPr>
          <w:p w14:paraId="0B19DD27" w14:textId="77777777" w:rsidR="00CF6A8D" w:rsidRDefault="00CF6A8D" w:rsidP="00CF6A8D">
            <w:pPr>
              <w:ind w:left="35"/>
              <w:rPr>
                <w:rFonts w:cstheme="majorHAnsi"/>
                <w:b/>
                <w:color w:val="000000"/>
                <w:sz w:val="18"/>
                <w:szCs w:val="18"/>
                <w:lang w:eastAsia="en-US"/>
              </w:rPr>
            </w:pPr>
            <w:r>
              <w:rPr>
                <w:rFonts w:cstheme="majorHAnsi"/>
                <w:b/>
                <w:bCs w:val="0"/>
                <w:color w:val="000000"/>
                <w:sz w:val="18"/>
                <w:szCs w:val="18"/>
                <w:lang w:eastAsia="en-US"/>
              </w:rPr>
              <w:t>NEUPRAVIČENI STROŠKI</w:t>
            </w:r>
          </w:p>
        </w:tc>
        <w:tc>
          <w:tcPr>
            <w:tcW w:w="1511" w:type="dxa"/>
            <w:tcBorders>
              <w:top w:val="nil"/>
              <w:left w:val="nil"/>
              <w:bottom w:val="single" w:sz="8" w:space="0" w:color="auto"/>
              <w:right w:val="single" w:sz="8" w:space="0" w:color="auto"/>
            </w:tcBorders>
            <w:shd w:val="clear" w:color="auto" w:fill="D9D9D9"/>
            <w:noWrap/>
            <w:vAlign w:val="center"/>
            <w:hideMark/>
          </w:tcPr>
          <w:p w14:paraId="7A45DF21" w14:textId="77777777" w:rsidR="00CF6A8D" w:rsidRDefault="00CF6A8D">
            <w:pPr>
              <w:ind w:left="-52" w:right="-21"/>
              <w:jc w:val="right"/>
              <w:rPr>
                <w:rFonts w:cstheme="majorHAnsi"/>
                <w:b/>
                <w:bCs w:val="0"/>
                <w:color w:val="000000"/>
                <w:sz w:val="18"/>
                <w:szCs w:val="18"/>
                <w:lang w:eastAsia="en-US"/>
              </w:rPr>
            </w:pPr>
            <w:r>
              <w:rPr>
                <w:b/>
                <w:bCs w:val="0"/>
                <w:color w:val="000000"/>
                <w:sz w:val="18"/>
                <w:szCs w:val="18"/>
                <w:lang w:eastAsia="en-US"/>
              </w:rPr>
              <w:t>331.234,02</w:t>
            </w:r>
          </w:p>
        </w:tc>
        <w:tc>
          <w:tcPr>
            <w:tcW w:w="1182" w:type="dxa"/>
            <w:tcBorders>
              <w:top w:val="nil"/>
              <w:left w:val="nil"/>
              <w:bottom w:val="single" w:sz="8" w:space="0" w:color="auto"/>
              <w:right w:val="single" w:sz="8" w:space="0" w:color="auto"/>
            </w:tcBorders>
            <w:shd w:val="clear" w:color="auto" w:fill="D9D9D9"/>
            <w:noWrap/>
            <w:vAlign w:val="center"/>
            <w:hideMark/>
          </w:tcPr>
          <w:p w14:paraId="658DFD81"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25,58%</w:t>
            </w:r>
          </w:p>
        </w:tc>
        <w:tc>
          <w:tcPr>
            <w:tcW w:w="1134" w:type="dxa"/>
            <w:tcBorders>
              <w:top w:val="nil"/>
              <w:left w:val="nil"/>
              <w:bottom w:val="single" w:sz="8" w:space="0" w:color="auto"/>
              <w:right w:val="single" w:sz="8" w:space="0" w:color="auto"/>
            </w:tcBorders>
            <w:shd w:val="clear" w:color="auto" w:fill="D9D9D9"/>
            <w:noWrap/>
            <w:vAlign w:val="center"/>
            <w:hideMark/>
          </w:tcPr>
          <w:p w14:paraId="13433C45"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0,00</w:t>
            </w:r>
          </w:p>
        </w:tc>
        <w:tc>
          <w:tcPr>
            <w:tcW w:w="1498" w:type="dxa"/>
            <w:tcBorders>
              <w:top w:val="nil"/>
              <w:left w:val="nil"/>
              <w:bottom w:val="single" w:sz="8" w:space="0" w:color="auto"/>
              <w:right w:val="single" w:sz="8" w:space="0" w:color="auto"/>
            </w:tcBorders>
            <w:shd w:val="clear" w:color="auto" w:fill="D9D9D9"/>
            <w:noWrap/>
            <w:vAlign w:val="center"/>
            <w:hideMark/>
          </w:tcPr>
          <w:p w14:paraId="156BE6F4" w14:textId="77777777" w:rsidR="00CF6A8D" w:rsidRDefault="00CF6A8D">
            <w:pPr>
              <w:ind w:left="-65" w:right="-22"/>
              <w:jc w:val="right"/>
              <w:rPr>
                <w:rFonts w:cstheme="majorHAnsi"/>
                <w:b/>
                <w:bCs w:val="0"/>
                <w:color w:val="000000"/>
                <w:sz w:val="18"/>
                <w:szCs w:val="18"/>
                <w:lang w:eastAsia="en-US"/>
              </w:rPr>
            </w:pPr>
            <w:r>
              <w:rPr>
                <w:b/>
                <w:bCs w:val="0"/>
                <w:color w:val="000000"/>
                <w:sz w:val="18"/>
                <w:szCs w:val="18"/>
                <w:lang w:eastAsia="en-US"/>
              </w:rPr>
              <w:t>328.885,28</w:t>
            </w:r>
          </w:p>
        </w:tc>
        <w:tc>
          <w:tcPr>
            <w:tcW w:w="1195" w:type="dxa"/>
            <w:tcBorders>
              <w:top w:val="nil"/>
              <w:left w:val="nil"/>
              <w:bottom w:val="single" w:sz="8" w:space="0" w:color="auto"/>
              <w:right w:val="single" w:sz="8" w:space="0" w:color="auto"/>
            </w:tcBorders>
            <w:shd w:val="clear" w:color="auto" w:fill="D9D9D9"/>
            <w:noWrap/>
            <w:vAlign w:val="center"/>
            <w:hideMark/>
          </w:tcPr>
          <w:p w14:paraId="6787E7D8"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2.348,74</w:t>
            </w:r>
          </w:p>
        </w:tc>
      </w:tr>
      <w:tr w:rsidR="00CF6A8D" w14:paraId="6B698AA9"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2BBEA0B9" w14:textId="77777777" w:rsidR="00CF6A8D" w:rsidRDefault="00CF6A8D" w:rsidP="00CF6A8D">
            <w:pPr>
              <w:ind w:left="35"/>
              <w:rPr>
                <w:rFonts w:cstheme="majorHAnsi"/>
                <w:bCs w:val="0"/>
                <w:color w:val="000000"/>
                <w:sz w:val="18"/>
                <w:szCs w:val="18"/>
                <w:lang w:eastAsia="en-US"/>
              </w:rPr>
            </w:pPr>
            <w:r>
              <w:rPr>
                <w:rFonts w:cstheme="majorHAnsi"/>
                <w:color w:val="000000"/>
                <w:sz w:val="18"/>
                <w:szCs w:val="18"/>
                <w:lang w:eastAsia="en-US"/>
              </w:rPr>
              <w:t>EU sredstva</w:t>
            </w:r>
          </w:p>
        </w:tc>
        <w:tc>
          <w:tcPr>
            <w:tcW w:w="1511" w:type="dxa"/>
            <w:tcBorders>
              <w:top w:val="nil"/>
              <w:left w:val="nil"/>
              <w:bottom w:val="single" w:sz="8" w:space="0" w:color="auto"/>
              <w:right w:val="single" w:sz="8" w:space="0" w:color="auto"/>
            </w:tcBorders>
            <w:noWrap/>
            <w:vAlign w:val="center"/>
            <w:hideMark/>
          </w:tcPr>
          <w:p w14:paraId="4B28A0FD" w14:textId="77777777" w:rsidR="00CF6A8D" w:rsidRDefault="00CF6A8D">
            <w:pPr>
              <w:ind w:left="-52" w:right="-21"/>
              <w:jc w:val="right"/>
              <w:rPr>
                <w:rFonts w:cstheme="majorHAnsi"/>
                <w:color w:val="000000"/>
                <w:sz w:val="18"/>
                <w:szCs w:val="18"/>
                <w:lang w:eastAsia="en-US"/>
              </w:rPr>
            </w:pPr>
            <w:r>
              <w:rPr>
                <w:color w:val="000000"/>
                <w:sz w:val="18"/>
                <w:szCs w:val="18"/>
                <w:lang w:eastAsia="en-US"/>
              </w:rPr>
              <w:t>0,00</w:t>
            </w:r>
          </w:p>
        </w:tc>
        <w:tc>
          <w:tcPr>
            <w:tcW w:w="1182" w:type="dxa"/>
            <w:tcBorders>
              <w:top w:val="nil"/>
              <w:left w:val="nil"/>
              <w:bottom w:val="single" w:sz="8" w:space="0" w:color="auto"/>
              <w:right w:val="single" w:sz="8" w:space="0" w:color="auto"/>
            </w:tcBorders>
            <w:noWrap/>
            <w:vAlign w:val="center"/>
            <w:hideMark/>
          </w:tcPr>
          <w:p w14:paraId="70B4E432"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c>
          <w:tcPr>
            <w:tcW w:w="1134" w:type="dxa"/>
            <w:tcBorders>
              <w:top w:val="nil"/>
              <w:left w:val="nil"/>
              <w:bottom w:val="single" w:sz="8" w:space="0" w:color="auto"/>
              <w:right w:val="single" w:sz="8" w:space="0" w:color="auto"/>
            </w:tcBorders>
            <w:noWrap/>
            <w:vAlign w:val="center"/>
            <w:hideMark/>
          </w:tcPr>
          <w:p w14:paraId="66A34DA5"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c>
          <w:tcPr>
            <w:tcW w:w="1498" w:type="dxa"/>
            <w:tcBorders>
              <w:top w:val="nil"/>
              <w:left w:val="nil"/>
              <w:bottom w:val="single" w:sz="8" w:space="0" w:color="auto"/>
              <w:right w:val="single" w:sz="8" w:space="0" w:color="auto"/>
            </w:tcBorders>
            <w:noWrap/>
            <w:vAlign w:val="center"/>
            <w:hideMark/>
          </w:tcPr>
          <w:p w14:paraId="21E699F8" w14:textId="77777777" w:rsidR="00CF6A8D" w:rsidRDefault="00CF6A8D">
            <w:pPr>
              <w:ind w:left="-65" w:right="-22"/>
              <w:jc w:val="right"/>
              <w:rPr>
                <w:rFonts w:cstheme="majorHAnsi"/>
                <w:color w:val="000000"/>
                <w:sz w:val="18"/>
                <w:szCs w:val="18"/>
                <w:lang w:eastAsia="en-US"/>
              </w:rPr>
            </w:pPr>
            <w:r>
              <w:rPr>
                <w:color w:val="000000"/>
                <w:sz w:val="18"/>
                <w:szCs w:val="18"/>
                <w:lang w:eastAsia="en-US"/>
              </w:rPr>
              <w:t>0,00</w:t>
            </w:r>
          </w:p>
        </w:tc>
        <w:tc>
          <w:tcPr>
            <w:tcW w:w="1195" w:type="dxa"/>
            <w:tcBorders>
              <w:top w:val="nil"/>
              <w:left w:val="nil"/>
              <w:bottom w:val="single" w:sz="8" w:space="0" w:color="auto"/>
              <w:right w:val="single" w:sz="8" w:space="0" w:color="auto"/>
            </w:tcBorders>
            <w:noWrap/>
            <w:vAlign w:val="center"/>
            <w:hideMark/>
          </w:tcPr>
          <w:p w14:paraId="26AD8F92"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r>
      <w:tr w:rsidR="00CF6A8D" w14:paraId="70FC6600"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4AF95F31" w14:textId="77777777" w:rsidR="00CF6A8D" w:rsidRDefault="00CF6A8D" w:rsidP="00CF6A8D">
            <w:pPr>
              <w:ind w:left="35"/>
              <w:rPr>
                <w:rFonts w:cstheme="majorHAnsi"/>
                <w:color w:val="000000"/>
                <w:sz w:val="18"/>
                <w:szCs w:val="18"/>
                <w:lang w:eastAsia="en-US"/>
              </w:rPr>
            </w:pPr>
            <w:r>
              <w:rPr>
                <w:rFonts w:cstheme="majorHAnsi"/>
                <w:color w:val="000000"/>
                <w:sz w:val="18"/>
                <w:szCs w:val="18"/>
                <w:lang w:eastAsia="en-US"/>
              </w:rPr>
              <w:t>Slovenska udeležba</w:t>
            </w:r>
          </w:p>
        </w:tc>
        <w:tc>
          <w:tcPr>
            <w:tcW w:w="1511" w:type="dxa"/>
            <w:tcBorders>
              <w:top w:val="nil"/>
              <w:left w:val="nil"/>
              <w:bottom w:val="single" w:sz="8" w:space="0" w:color="auto"/>
              <w:right w:val="single" w:sz="8" w:space="0" w:color="auto"/>
            </w:tcBorders>
            <w:noWrap/>
            <w:vAlign w:val="center"/>
            <w:hideMark/>
          </w:tcPr>
          <w:p w14:paraId="5BC5C6EC" w14:textId="77777777" w:rsidR="00CF6A8D" w:rsidRDefault="00CF6A8D">
            <w:pPr>
              <w:ind w:left="-52" w:right="-21"/>
              <w:jc w:val="right"/>
              <w:rPr>
                <w:rFonts w:cstheme="majorHAnsi"/>
                <w:color w:val="000000"/>
                <w:sz w:val="18"/>
                <w:szCs w:val="18"/>
                <w:lang w:eastAsia="en-US"/>
              </w:rPr>
            </w:pPr>
            <w:r>
              <w:rPr>
                <w:color w:val="000000"/>
                <w:sz w:val="18"/>
                <w:szCs w:val="18"/>
                <w:lang w:eastAsia="en-US"/>
              </w:rPr>
              <w:t>0,00</w:t>
            </w:r>
          </w:p>
        </w:tc>
        <w:tc>
          <w:tcPr>
            <w:tcW w:w="1182" w:type="dxa"/>
            <w:tcBorders>
              <w:top w:val="nil"/>
              <w:left w:val="nil"/>
              <w:bottom w:val="single" w:sz="8" w:space="0" w:color="auto"/>
              <w:right w:val="single" w:sz="8" w:space="0" w:color="auto"/>
            </w:tcBorders>
            <w:noWrap/>
            <w:vAlign w:val="center"/>
            <w:hideMark/>
          </w:tcPr>
          <w:p w14:paraId="4D6D29B2"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c>
          <w:tcPr>
            <w:tcW w:w="1134" w:type="dxa"/>
            <w:tcBorders>
              <w:top w:val="nil"/>
              <w:left w:val="nil"/>
              <w:bottom w:val="single" w:sz="8" w:space="0" w:color="auto"/>
              <w:right w:val="single" w:sz="8" w:space="0" w:color="auto"/>
            </w:tcBorders>
            <w:noWrap/>
            <w:vAlign w:val="center"/>
            <w:hideMark/>
          </w:tcPr>
          <w:p w14:paraId="6FE562F5"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c>
          <w:tcPr>
            <w:tcW w:w="1498" w:type="dxa"/>
            <w:tcBorders>
              <w:top w:val="nil"/>
              <w:left w:val="nil"/>
              <w:bottom w:val="single" w:sz="8" w:space="0" w:color="auto"/>
              <w:right w:val="single" w:sz="8" w:space="0" w:color="auto"/>
            </w:tcBorders>
            <w:noWrap/>
            <w:vAlign w:val="center"/>
            <w:hideMark/>
          </w:tcPr>
          <w:p w14:paraId="4E125447" w14:textId="77777777" w:rsidR="00CF6A8D" w:rsidRDefault="00CF6A8D">
            <w:pPr>
              <w:ind w:left="-65" w:right="-22"/>
              <w:jc w:val="right"/>
              <w:rPr>
                <w:rFonts w:cstheme="majorHAnsi"/>
                <w:color w:val="000000"/>
                <w:sz w:val="18"/>
                <w:szCs w:val="18"/>
                <w:lang w:eastAsia="en-US"/>
              </w:rPr>
            </w:pPr>
            <w:r>
              <w:rPr>
                <w:color w:val="000000"/>
                <w:sz w:val="18"/>
                <w:szCs w:val="18"/>
                <w:lang w:eastAsia="en-US"/>
              </w:rPr>
              <w:t>0,00</w:t>
            </w:r>
          </w:p>
        </w:tc>
        <w:tc>
          <w:tcPr>
            <w:tcW w:w="1195" w:type="dxa"/>
            <w:tcBorders>
              <w:top w:val="nil"/>
              <w:left w:val="nil"/>
              <w:bottom w:val="single" w:sz="8" w:space="0" w:color="auto"/>
              <w:right w:val="single" w:sz="8" w:space="0" w:color="auto"/>
            </w:tcBorders>
            <w:noWrap/>
            <w:vAlign w:val="center"/>
            <w:hideMark/>
          </w:tcPr>
          <w:p w14:paraId="30380AA0"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r>
      <w:tr w:rsidR="00CF6A8D" w14:paraId="65E875F3"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1DE211F3" w14:textId="77777777" w:rsidR="00CF6A8D" w:rsidRDefault="00CF6A8D" w:rsidP="00CF6A8D">
            <w:pPr>
              <w:ind w:left="35"/>
              <w:rPr>
                <w:rFonts w:cstheme="majorHAnsi"/>
                <w:color w:val="000000"/>
                <w:sz w:val="18"/>
                <w:szCs w:val="18"/>
                <w:lang w:eastAsia="en-US"/>
              </w:rPr>
            </w:pPr>
            <w:r>
              <w:rPr>
                <w:rFonts w:cstheme="majorHAnsi"/>
                <w:color w:val="000000"/>
                <w:sz w:val="18"/>
                <w:szCs w:val="18"/>
                <w:lang w:eastAsia="en-US"/>
              </w:rPr>
              <w:t>Lastna sredstva</w:t>
            </w:r>
          </w:p>
        </w:tc>
        <w:tc>
          <w:tcPr>
            <w:tcW w:w="1511" w:type="dxa"/>
            <w:tcBorders>
              <w:top w:val="nil"/>
              <w:left w:val="nil"/>
              <w:bottom w:val="single" w:sz="8" w:space="0" w:color="auto"/>
              <w:right w:val="single" w:sz="8" w:space="0" w:color="auto"/>
            </w:tcBorders>
            <w:noWrap/>
            <w:vAlign w:val="center"/>
            <w:hideMark/>
          </w:tcPr>
          <w:p w14:paraId="04D76C2D" w14:textId="77777777" w:rsidR="00CF6A8D" w:rsidRDefault="00CF6A8D">
            <w:pPr>
              <w:ind w:left="-52" w:right="-21"/>
              <w:jc w:val="right"/>
              <w:rPr>
                <w:rFonts w:cstheme="majorHAnsi"/>
                <w:color w:val="000000"/>
                <w:sz w:val="18"/>
                <w:szCs w:val="18"/>
                <w:lang w:eastAsia="en-US"/>
              </w:rPr>
            </w:pPr>
            <w:r>
              <w:rPr>
                <w:color w:val="000000"/>
                <w:sz w:val="18"/>
                <w:szCs w:val="18"/>
                <w:lang w:eastAsia="en-US"/>
              </w:rPr>
              <w:t>331.234,02</w:t>
            </w:r>
          </w:p>
        </w:tc>
        <w:tc>
          <w:tcPr>
            <w:tcW w:w="1182" w:type="dxa"/>
            <w:tcBorders>
              <w:top w:val="nil"/>
              <w:left w:val="nil"/>
              <w:bottom w:val="single" w:sz="8" w:space="0" w:color="auto"/>
              <w:right w:val="single" w:sz="8" w:space="0" w:color="auto"/>
            </w:tcBorders>
            <w:noWrap/>
            <w:vAlign w:val="center"/>
            <w:hideMark/>
          </w:tcPr>
          <w:p w14:paraId="575DA61B" w14:textId="77777777" w:rsidR="00CF6A8D" w:rsidRDefault="00CF6A8D">
            <w:pPr>
              <w:ind w:left="-65" w:right="0"/>
              <w:jc w:val="right"/>
              <w:rPr>
                <w:rFonts w:cstheme="majorHAnsi"/>
                <w:color w:val="000000"/>
                <w:sz w:val="18"/>
                <w:szCs w:val="18"/>
                <w:lang w:eastAsia="en-US"/>
              </w:rPr>
            </w:pPr>
            <w:r>
              <w:rPr>
                <w:color w:val="000000"/>
                <w:sz w:val="18"/>
                <w:szCs w:val="18"/>
                <w:lang w:eastAsia="en-US"/>
              </w:rPr>
              <w:t>25,58%</w:t>
            </w:r>
          </w:p>
        </w:tc>
        <w:tc>
          <w:tcPr>
            <w:tcW w:w="1134" w:type="dxa"/>
            <w:tcBorders>
              <w:top w:val="nil"/>
              <w:left w:val="nil"/>
              <w:bottom w:val="single" w:sz="8" w:space="0" w:color="auto"/>
              <w:right w:val="single" w:sz="8" w:space="0" w:color="auto"/>
            </w:tcBorders>
            <w:noWrap/>
            <w:vAlign w:val="center"/>
            <w:hideMark/>
          </w:tcPr>
          <w:p w14:paraId="3EBA36A5" w14:textId="77777777" w:rsidR="00CF6A8D" w:rsidRDefault="00CF6A8D">
            <w:pPr>
              <w:ind w:left="-65" w:right="0"/>
              <w:jc w:val="right"/>
              <w:rPr>
                <w:rFonts w:cstheme="majorHAnsi"/>
                <w:color w:val="000000"/>
                <w:sz w:val="18"/>
                <w:szCs w:val="18"/>
                <w:lang w:eastAsia="en-US"/>
              </w:rPr>
            </w:pPr>
            <w:r>
              <w:rPr>
                <w:color w:val="000000"/>
                <w:sz w:val="18"/>
                <w:szCs w:val="18"/>
                <w:lang w:eastAsia="en-US"/>
              </w:rPr>
              <w:t>0,00</w:t>
            </w:r>
          </w:p>
        </w:tc>
        <w:tc>
          <w:tcPr>
            <w:tcW w:w="1498" w:type="dxa"/>
            <w:tcBorders>
              <w:top w:val="nil"/>
              <w:left w:val="nil"/>
              <w:bottom w:val="single" w:sz="8" w:space="0" w:color="auto"/>
              <w:right w:val="single" w:sz="8" w:space="0" w:color="auto"/>
            </w:tcBorders>
            <w:noWrap/>
            <w:vAlign w:val="center"/>
            <w:hideMark/>
          </w:tcPr>
          <w:p w14:paraId="08CF33CF" w14:textId="77777777" w:rsidR="00CF6A8D" w:rsidRDefault="00CF6A8D">
            <w:pPr>
              <w:ind w:left="-65" w:right="-22"/>
              <w:jc w:val="right"/>
              <w:rPr>
                <w:rFonts w:cstheme="majorHAnsi"/>
                <w:color w:val="000000"/>
                <w:sz w:val="18"/>
                <w:szCs w:val="18"/>
                <w:lang w:eastAsia="en-US"/>
              </w:rPr>
            </w:pPr>
            <w:r>
              <w:rPr>
                <w:color w:val="000000"/>
                <w:sz w:val="18"/>
                <w:szCs w:val="18"/>
                <w:lang w:eastAsia="en-US"/>
              </w:rPr>
              <w:t>328.885,28</w:t>
            </w:r>
          </w:p>
        </w:tc>
        <w:tc>
          <w:tcPr>
            <w:tcW w:w="1195" w:type="dxa"/>
            <w:tcBorders>
              <w:top w:val="nil"/>
              <w:left w:val="nil"/>
              <w:bottom w:val="single" w:sz="8" w:space="0" w:color="auto"/>
              <w:right w:val="single" w:sz="8" w:space="0" w:color="auto"/>
            </w:tcBorders>
            <w:noWrap/>
            <w:vAlign w:val="center"/>
            <w:hideMark/>
          </w:tcPr>
          <w:p w14:paraId="100333D7" w14:textId="77777777" w:rsidR="00CF6A8D" w:rsidRDefault="00CF6A8D">
            <w:pPr>
              <w:ind w:left="-65" w:right="0"/>
              <w:jc w:val="right"/>
              <w:rPr>
                <w:rFonts w:cstheme="majorHAnsi"/>
                <w:color w:val="000000"/>
                <w:sz w:val="18"/>
                <w:szCs w:val="18"/>
                <w:lang w:eastAsia="en-US"/>
              </w:rPr>
            </w:pPr>
            <w:r>
              <w:rPr>
                <w:color w:val="000000"/>
                <w:sz w:val="18"/>
                <w:szCs w:val="18"/>
                <w:lang w:eastAsia="en-US"/>
              </w:rPr>
              <w:t>2.348,74</w:t>
            </w:r>
          </w:p>
        </w:tc>
      </w:tr>
      <w:tr w:rsidR="00CF6A8D" w14:paraId="4A9EF42B" w14:textId="77777777" w:rsidTr="00CF6A8D">
        <w:trPr>
          <w:trHeight w:hRule="exact" w:val="397"/>
        </w:trPr>
        <w:tc>
          <w:tcPr>
            <w:tcW w:w="1985" w:type="dxa"/>
            <w:tcBorders>
              <w:top w:val="nil"/>
              <w:left w:val="single" w:sz="4" w:space="0" w:color="auto"/>
              <w:bottom w:val="single" w:sz="4" w:space="0" w:color="auto"/>
              <w:right w:val="single" w:sz="4" w:space="0" w:color="auto"/>
            </w:tcBorders>
            <w:shd w:val="clear" w:color="auto" w:fill="D9D9D9"/>
            <w:noWrap/>
            <w:vAlign w:val="bottom"/>
            <w:hideMark/>
          </w:tcPr>
          <w:p w14:paraId="2201E9FC" w14:textId="77777777" w:rsidR="00CF6A8D" w:rsidRDefault="00CF6A8D" w:rsidP="00CF6A8D">
            <w:pPr>
              <w:ind w:left="35"/>
              <w:rPr>
                <w:rFonts w:cstheme="majorHAnsi"/>
                <w:b/>
                <w:color w:val="000000"/>
                <w:sz w:val="18"/>
                <w:szCs w:val="18"/>
                <w:lang w:eastAsia="en-US"/>
              </w:rPr>
            </w:pPr>
            <w:r>
              <w:rPr>
                <w:rFonts w:cstheme="majorHAnsi"/>
                <w:b/>
                <w:bCs w:val="0"/>
                <w:color w:val="000000"/>
                <w:sz w:val="18"/>
                <w:szCs w:val="18"/>
                <w:lang w:eastAsia="en-US"/>
              </w:rPr>
              <w:t>SKUPAJ</w:t>
            </w:r>
          </w:p>
        </w:tc>
        <w:tc>
          <w:tcPr>
            <w:tcW w:w="1511" w:type="dxa"/>
            <w:tcBorders>
              <w:top w:val="nil"/>
              <w:left w:val="nil"/>
              <w:bottom w:val="single" w:sz="8" w:space="0" w:color="auto"/>
              <w:right w:val="single" w:sz="8" w:space="0" w:color="auto"/>
            </w:tcBorders>
            <w:shd w:val="clear" w:color="auto" w:fill="D9D9D9"/>
            <w:noWrap/>
            <w:vAlign w:val="center"/>
            <w:hideMark/>
          </w:tcPr>
          <w:p w14:paraId="3E7A21F1" w14:textId="77777777" w:rsidR="00CF6A8D" w:rsidRDefault="00CF6A8D">
            <w:pPr>
              <w:ind w:left="-52" w:right="-21"/>
              <w:jc w:val="right"/>
              <w:rPr>
                <w:rFonts w:cstheme="majorHAnsi"/>
                <w:b/>
                <w:bCs w:val="0"/>
                <w:color w:val="000000"/>
                <w:sz w:val="18"/>
                <w:szCs w:val="18"/>
                <w:lang w:eastAsia="en-US"/>
              </w:rPr>
            </w:pPr>
            <w:r>
              <w:rPr>
                <w:b/>
                <w:bCs w:val="0"/>
                <w:color w:val="000000"/>
                <w:sz w:val="18"/>
                <w:szCs w:val="18"/>
                <w:lang w:eastAsia="en-US"/>
              </w:rPr>
              <w:t>1.295.094,99</w:t>
            </w:r>
          </w:p>
        </w:tc>
        <w:tc>
          <w:tcPr>
            <w:tcW w:w="1182" w:type="dxa"/>
            <w:tcBorders>
              <w:top w:val="nil"/>
              <w:left w:val="nil"/>
              <w:bottom w:val="single" w:sz="8" w:space="0" w:color="auto"/>
              <w:right w:val="single" w:sz="8" w:space="0" w:color="auto"/>
            </w:tcBorders>
            <w:shd w:val="clear" w:color="auto" w:fill="D9D9D9"/>
            <w:noWrap/>
            <w:vAlign w:val="center"/>
            <w:hideMark/>
          </w:tcPr>
          <w:p w14:paraId="6E74F9A2"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100,00%</w:t>
            </w:r>
          </w:p>
        </w:tc>
        <w:tc>
          <w:tcPr>
            <w:tcW w:w="1134" w:type="dxa"/>
            <w:tcBorders>
              <w:top w:val="nil"/>
              <w:left w:val="nil"/>
              <w:bottom w:val="single" w:sz="8" w:space="0" w:color="auto"/>
              <w:right w:val="single" w:sz="8" w:space="0" w:color="auto"/>
            </w:tcBorders>
            <w:shd w:val="clear" w:color="auto" w:fill="D9D9D9"/>
            <w:noWrap/>
            <w:vAlign w:val="center"/>
            <w:hideMark/>
          </w:tcPr>
          <w:p w14:paraId="1899A8F3"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5.621,76</w:t>
            </w:r>
          </w:p>
        </w:tc>
        <w:tc>
          <w:tcPr>
            <w:tcW w:w="1498" w:type="dxa"/>
            <w:tcBorders>
              <w:top w:val="nil"/>
              <w:left w:val="nil"/>
              <w:bottom w:val="single" w:sz="8" w:space="0" w:color="auto"/>
              <w:right w:val="single" w:sz="8" w:space="0" w:color="auto"/>
            </w:tcBorders>
            <w:shd w:val="clear" w:color="auto" w:fill="D9D9D9"/>
            <w:noWrap/>
            <w:vAlign w:val="center"/>
            <w:hideMark/>
          </w:tcPr>
          <w:p w14:paraId="59F337BC" w14:textId="77777777" w:rsidR="00CF6A8D" w:rsidRDefault="00CF6A8D">
            <w:pPr>
              <w:ind w:left="-65" w:right="-22"/>
              <w:jc w:val="right"/>
              <w:rPr>
                <w:rFonts w:cstheme="majorHAnsi"/>
                <w:b/>
                <w:bCs w:val="0"/>
                <w:color w:val="000000"/>
                <w:sz w:val="18"/>
                <w:szCs w:val="18"/>
                <w:lang w:eastAsia="en-US"/>
              </w:rPr>
            </w:pPr>
            <w:r>
              <w:rPr>
                <w:b/>
                <w:bCs w:val="0"/>
                <w:color w:val="000000"/>
                <w:sz w:val="18"/>
                <w:szCs w:val="18"/>
                <w:lang w:eastAsia="en-US"/>
              </w:rPr>
              <w:t>1.283.862,36</w:t>
            </w:r>
          </w:p>
        </w:tc>
        <w:tc>
          <w:tcPr>
            <w:tcW w:w="1195" w:type="dxa"/>
            <w:tcBorders>
              <w:top w:val="nil"/>
              <w:left w:val="nil"/>
              <w:bottom w:val="single" w:sz="8" w:space="0" w:color="auto"/>
              <w:right w:val="single" w:sz="8" w:space="0" w:color="auto"/>
            </w:tcBorders>
            <w:shd w:val="clear" w:color="auto" w:fill="D9D9D9"/>
            <w:noWrap/>
            <w:vAlign w:val="center"/>
            <w:hideMark/>
          </w:tcPr>
          <w:p w14:paraId="62AE0FBF" w14:textId="77777777" w:rsidR="00CF6A8D" w:rsidRDefault="00CF6A8D">
            <w:pPr>
              <w:ind w:left="-65" w:right="0"/>
              <w:jc w:val="right"/>
              <w:rPr>
                <w:rFonts w:cstheme="majorHAnsi"/>
                <w:b/>
                <w:bCs w:val="0"/>
                <w:color w:val="000000"/>
                <w:sz w:val="18"/>
                <w:szCs w:val="18"/>
                <w:lang w:eastAsia="en-US"/>
              </w:rPr>
            </w:pPr>
            <w:r>
              <w:rPr>
                <w:b/>
                <w:bCs w:val="0"/>
                <w:color w:val="000000"/>
                <w:sz w:val="18"/>
                <w:szCs w:val="18"/>
                <w:lang w:eastAsia="en-US"/>
              </w:rPr>
              <w:t>5.610,87</w:t>
            </w:r>
          </w:p>
        </w:tc>
      </w:tr>
      <w:tr w:rsidR="00CF6A8D" w14:paraId="7F5D0E16"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4F09F108" w14:textId="77777777" w:rsidR="00CF6A8D" w:rsidRDefault="00CF6A8D" w:rsidP="00CF6A8D">
            <w:pPr>
              <w:ind w:left="35"/>
              <w:rPr>
                <w:rFonts w:cstheme="majorHAnsi"/>
                <w:bCs w:val="0"/>
                <w:color w:val="000000"/>
                <w:sz w:val="18"/>
                <w:szCs w:val="18"/>
                <w:lang w:eastAsia="en-US"/>
              </w:rPr>
            </w:pPr>
            <w:r>
              <w:rPr>
                <w:rFonts w:cstheme="majorHAnsi"/>
                <w:color w:val="000000"/>
                <w:sz w:val="18"/>
                <w:szCs w:val="18"/>
                <w:lang w:eastAsia="en-US"/>
              </w:rPr>
              <w:t>EU sredstva</w:t>
            </w:r>
          </w:p>
        </w:tc>
        <w:tc>
          <w:tcPr>
            <w:tcW w:w="1511" w:type="dxa"/>
            <w:tcBorders>
              <w:top w:val="nil"/>
              <w:left w:val="nil"/>
              <w:bottom w:val="single" w:sz="8" w:space="0" w:color="auto"/>
              <w:right w:val="single" w:sz="8" w:space="0" w:color="auto"/>
            </w:tcBorders>
            <w:noWrap/>
            <w:vAlign w:val="center"/>
            <w:hideMark/>
          </w:tcPr>
          <w:p w14:paraId="4B70B0D3" w14:textId="77777777" w:rsidR="00CF6A8D" w:rsidRDefault="00CF6A8D">
            <w:pPr>
              <w:ind w:left="-52" w:right="-21"/>
              <w:jc w:val="right"/>
              <w:rPr>
                <w:rFonts w:cstheme="majorHAnsi"/>
                <w:color w:val="000000"/>
                <w:sz w:val="18"/>
                <w:szCs w:val="18"/>
                <w:lang w:eastAsia="en-US"/>
              </w:rPr>
            </w:pPr>
            <w:r>
              <w:rPr>
                <w:color w:val="000000"/>
                <w:sz w:val="18"/>
                <w:szCs w:val="18"/>
                <w:lang w:eastAsia="en-US"/>
              </w:rPr>
              <w:t>655.425,47</w:t>
            </w:r>
          </w:p>
        </w:tc>
        <w:tc>
          <w:tcPr>
            <w:tcW w:w="1182" w:type="dxa"/>
            <w:tcBorders>
              <w:top w:val="nil"/>
              <w:left w:val="nil"/>
              <w:bottom w:val="single" w:sz="8" w:space="0" w:color="auto"/>
              <w:right w:val="single" w:sz="8" w:space="0" w:color="auto"/>
            </w:tcBorders>
            <w:noWrap/>
            <w:vAlign w:val="center"/>
            <w:hideMark/>
          </w:tcPr>
          <w:p w14:paraId="3D3C5E3A" w14:textId="77777777" w:rsidR="00CF6A8D" w:rsidRDefault="00CF6A8D">
            <w:pPr>
              <w:ind w:left="-65" w:right="0"/>
              <w:jc w:val="right"/>
              <w:rPr>
                <w:rFonts w:cstheme="majorHAnsi"/>
                <w:color w:val="000000"/>
                <w:sz w:val="18"/>
                <w:szCs w:val="18"/>
                <w:lang w:eastAsia="en-US"/>
              </w:rPr>
            </w:pPr>
            <w:r>
              <w:rPr>
                <w:color w:val="000000"/>
                <w:sz w:val="18"/>
                <w:szCs w:val="18"/>
                <w:lang w:eastAsia="en-US"/>
              </w:rPr>
              <w:t>50,61%</w:t>
            </w:r>
          </w:p>
        </w:tc>
        <w:tc>
          <w:tcPr>
            <w:tcW w:w="1134" w:type="dxa"/>
            <w:tcBorders>
              <w:top w:val="nil"/>
              <w:left w:val="nil"/>
              <w:bottom w:val="single" w:sz="8" w:space="0" w:color="auto"/>
              <w:right w:val="single" w:sz="8" w:space="0" w:color="auto"/>
            </w:tcBorders>
            <w:noWrap/>
            <w:vAlign w:val="center"/>
            <w:hideMark/>
          </w:tcPr>
          <w:p w14:paraId="4FF7AD2A" w14:textId="77777777" w:rsidR="00CF6A8D" w:rsidRDefault="00CF6A8D">
            <w:pPr>
              <w:ind w:left="-65" w:right="0"/>
              <w:jc w:val="right"/>
              <w:rPr>
                <w:rFonts w:cstheme="majorHAnsi"/>
                <w:color w:val="000000"/>
                <w:sz w:val="18"/>
                <w:szCs w:val="18"/>
                <w:lang w:eastAsia="en-US"/>
              </w:rPr>
            </w:pPr>
            <w:r>
              <w:rPr>
                <w:color w:val="000000"/>
                <w:sz w:val="18"/>
                <w:szCs w:val="18"/>
                <w:lang w:eastAsia="en-US"/>
              </w:rPr>
              <w:t>3.822,80</w:t>
            </w:r>
          </w:p>
        </w:tc>
        <w:tc>
          <w:tcPr>
            <w:tcW w:w="1498" w:type="dxa"/>
            <w:tcBorders>
              <w:top w:val="nil"/>
              <w:left w:val="nil"/>
              <w:bottom w:val="single" w:sz="8" w:space="0" w:color="auto"/>
              <w:right w:val="single" w:sz="8" w:space="0" w:color="auto"/>
            </w:tcBorders>
            <w:noWrap/>
            <w:vAlign w:val="center"/>
            <w:hideMark/>
          </w:tcPr>
          <w:p w14:paraId="6BBAF2C8" w14:textId="77777777" w:rsidR="00CF6A8D" w:rsidRDefault="00CF6A8D">
            <w:pPr>
              <w:ind w:left="-65" w:right="-22"/>
              <w:jc w:val="right"/>
              <w:rPr>
                <w:rFonts w:cstheme="majorHAnsi"/>
                <w:color w:val="000000"/>
                <w:sz w:val="18"/>
                <w:szCs w:val="18"/>
                <w:lang w:eastAsia="en-US"/>
              </w:rPr>
            </w:pPr>
            <w:r>
              <w:rPr>
                <w:color w:val="000000"/>
                <w:sz w:val="18"/>
                <w:szCs w:val="18"/>
                <w:lang w:eastAsia="en-US"/>
              </w:rPr>
              <w:t>649.384,42</w:t>
            </w:r>
          </w:p>
        </w:tc>
        <w:tc>
          <w:tcPr>
            <w:tcW w:w="1195" w:type="dxa"/>
            <w:tcBorders>
              <w:top w:val="nil"/>
              <w:left w:val="nil"/>
              <w:bottom w:val="single" w:sz="8" w:space="0" w:color="auto"/>
              <w:right w:val="single" w:sz="8" w:space="0" w:color="auto"/>
            </w:tcBorders>
            <w:noWrap/>
            <w:vAlign w:val="center"/>
            <w:hideMark/>
          </w:tcPr>
          <w:p w14:paraId="7E00CA47" w14:textId="77777777" w:rsidR="00CF6A8D" w:rsidRDefault="00CF6A8D">
            <w:pPr>
              <w:ind w:left="-65" w:right="0"/>
              <w:jc w:val="right"/>
              <w:rPr>
                <w:rFonts w:cstheme="majorHAnsi"/>
                <w:color w:val="000000"/>
                <w:sz w:val="18"/>
                <w:szCs w:val="18"/>
                <w:lang w:eastAsia="en-US"/>
              </w:rPr>
            </w:pPr>
            <w:r>
              <w:rPr>
                <w:color w:val="000000"/>
                <w:sz w:val="18"/>
                <w:szCs w:val="18"/>
                <w:lang w:eastAsia="en-US"/>
              </w:rPr>
              <w:t>2.218,25</w:t>
            </w:r>
          </w:p>
        </w:tc>
      </w:tr>
      <w:tr w:rsidR="00CF6A8D" w14:paraId="4CA1B34D"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2FF24B6B" w14:textId="77777777" w:rsidR="00CF6A8D" w:rsidRDefault="00CF6A8D" w:rsidP="00CF6A8D">
            <w:pPr>
              <w:ind w:left="35"/>
              <w:rPr>
                <w:rFonts w:cstheme="majorHAnsi"/>
                <w:color w:val="000000"/>
                <w:sz w:val="18"/>
                <w:szCs w:val="18"/>
                <w:lang w:eastAsia="en-US"/>
              </w:rPr>
            </w:pPr>
            <w:r>
              <w:rPr>
                <w:rFonts w:cstheme="majorHAnsi"/>
                <w:color w:val="000000"/>
                <w:sz w:val="18"/>
                <w:szCs w:val="18"/>
                <w:lang w:eastAsia="en-US"/>
              </w:rPr>
              <w:t>Slovenska udeležba</w:t>
            </w:r>
          </w:p>
        </w:tc>
        <w:tc>
          <w:tcPr>
            <w:tcW w:w="1511" w:type="dxa"/>
            <w:tcBorders>
              <w:top w:val="nil"/>
              <w:left w:val="nil"/>
              <w:bottom w:val="single" w:sz="8" w:space="0" w:color="auto"/>
              <w:right w:val="single" w:sz="8" w:space="0" w:color="auto"/>
            </w:tcBorders>
            <w:noWrap/>
            <w:vAlign w:val="center"/>
            <w:hideMark/>
          </w:tcPr>
          <w:p w14:paraId="7D441139" w14:textId="77777777" w:rsidR="00CF6A8D" w:rsidRDefault="00CF6A8D">
            <w:pPr>
              <w:ind w:left="-52" w:right="-21"/>
              <w:jc w:val="right"/>
              <w:rPr>
                <w:rFonts w:cstheme="majorHAnsi"/>
                <w:color w:val="000000"/>
                <w:sz w:val="18"/>
                <w:szCs w:val="18"/>
                <w:lang w:eastAsia="en-US"/>
              </w:rPr>
            </w:pPr>
            <w:r>
              <w:rPr>
                <w:color w:val="000000"/>
                <w:sz w:val="18"/>
                <w:szCs w:val="18"/>
                <w:lang w:eastAsia="en-US"/>
              </w:rPr>
              <w:t>115.663,32</w:t>
            </w:r>
          </w:p>
        </w:tc>
        <w:tc>
          <w:tcPr>
            <w:tcW w:w="1182" w:type="dxa"/>
            <w:tcBorders>
              <w:top w:val="nil"/>
              <w:left w:val="nil"/>
              <w:bottom w:val="single" w:sz="8" w:space="0" w:color="auto"/>
              <w:right w:val="single" w:sz="8" w:space="0" w:color="auto"/>
            </w:tcBorders>
            <w:noWrap/>
            <w:vAlign w:val="center"/>
            <w:hideMark/>
          </w:tcPr>
          <w:p w14:paraId="3755B13E" w14:textId="77777777" w:rsidR="00CF6A8D" w:rsidRDefault="00CF6A8D">
            <w:pPr>
              <w:ind w:left="-65" w:right="0"/>
              <w:jc w:val="right"/>
              <w:rPr>
                <w:rFonts w:cstheme="majorHAnsi"/>
                <w:color w:val="000000"/>
                <w:sz w:val="18"/>
                <w:szCs w:val="18"/>
                <w:lang w:eastAsia="en-US"/>
              </w:rPr>
            </w:pPr>
            <w:r>
              <w:rPr>
                <w:color w:val="000000"/>
                <w:sz w:val="18"/>
                <w:szCs w:val="18"/>
                <w:lang w:eastAsia="en-US"/>
              </w:rPr>
              <w:t>8,93%</w:t>
            </w:r>
          </w:p>
        </w:tc>
        <w:tc>
          <w:tcPr>
            <w:tcW w:w="1134" w:type="dxa"/>
            <w:tcBorders>
              <w:top w:val="nil"/>
              <w:left w:val="nil"/>
              <w:bottom w:val="single" w:sz="8" w:space="0" w:color="auto"/>
              <w:right w:val="single" w:sz="8" w:space="0" w:color="auto"/>
            </w:tcBorders>
            <w:noWrap/>
            <w:vAlign w:val="center"/>
            <w:hideMark/>
          </w:tcPr>
          <w:p w14:paraId="6D7D62F9" w14:textId="77777777" w:rsidR="00CF6A8D" w:rsidRDefault="00CF6A8D">
            <w:pPr>
              <w:ind w:left="-65" w:right="0"/>
              <w:jc w:val="right"/>
              <w:rPr>
                <w:rFonts w:cstheme="majorHAnsi"/>
                <w:color w:val="000000"/>
                <w:sz w:val="18"/>
                <w:szCs w:val="18"/>
                <w:lang w:eastAsia="en-US"/>
              </w:rPr>
            </w:pPr>
            <w:r>
              <w:rPr>
                <w:color w:val="000000"/>
                <w:sz w:val="18"/>
                <w:szCs w:val="18"/>
                <w:lang w:eastAsia="en-US"/>
              </w:rPr>
              <w:t>674,61</w:t>
            </w:r>
          </w:p>
        </w:tc>
        <w:tc>
          <w:tcPr>
            <w:tcW w:w="1498" w:type="dxa"/>
            <w:tcBorders>
              <w:top w:val="nil"/>
              <w:left w:val="nil"/>
              <w:bottom w:val="single" w:sz="8" w:space="0" w:color="auto"/>
              <w:right w:val="single" w:sz="8" w:space="0" w:color="auto"/>
            </w:tcBorders>
            <w:noWrap/>
            <w:vAlign w:val="center"/>
            <w:hideMark/>
          </w:tcPr>
          <w:p w14:paraId="7E4AE749" w14:textId="77777777" w:rsidR="00CF6A8D" w:rsidRDefault="00CF6A8D">
            <w:pPr>
              <w:ind w:left="-65" w:right="-22"/>
              <w:jc w:val="right"/>
              <w:rPr>
                <w:rFonts w:cstheme="majorHAnsi"/>
                <w:color w:val="000000"/>
                <w:sz w:val="18"/>
                <w:szCs w:val="18"/>
                <w:lang w:eastAsia="en-US"/>
              </w:rPr>
            </w:pPr>
            <w:r>
              <w:rPr>
                <w:color w:val="000000"/>
                <w:sz w:val="18"/>
                <w:szCs w:val="18"/>
                <w:lang w:eastAsia="en-US"/>
              </w:rPr>
              <w:t>114.597,25</w:t>
            </w:r>
          </w:p>
        </w:tc>
        <w:tc>
          <w:tcPr>
            <w:tcW w:w="1195" w:type="dxa"/>
            <w:tcBorders>
              <w:top w:val="nil"/>
              <w:left w:val="nil"/>
              <w:bottom w:val="single" w:sz="8" w:space="0" w:color="auto"/>
              <w:right w:val="single" w:sz="8" w:space="0" w:color="auto"/>
            </w:tcBorders>
            <w:noWrap/>
            <w:vAlign w:val="center"/>
            <w:hideMark/>
          </w:tcPr>
          <w:p w14:paraId="1A97CD0A" w14:textId="77777777" w:rsidR="00CF6A8D" w:rsidRDefault="00CF6A8D">
            <w:pPr>
              <w:ind w:left="-65" w:right="0"/>
              <w:jc w:val="right"/>
              <w:rPr>
                <w:rFonts w:cstheme="majorHAnsi"/>
                <w:color w:val="000000"/>
                <w:sz w:val="18"/>
                <w:szCs w:val="18"/>
                <w:lang w:eastAsia="en-US"/>
              </w:rPr>
            </w:pPr>
            <w:r>
              <w:rPr>
                <w:color w:val="000000"/>
                <w:sz w:val="18"/>
                <w:szCs w:val="18"/>
                <w:lang w:eastAsia="en-US"/>
              </w:rPr>
              <w:t>391,46</w:t>
            </w:r>
          </w:p>
        </w:tc>
      </w:tr>
      <w:tr w:rsidR="00CF6A8D" w14:paraId="3DD19FB1" w14:textId="77777777" w:rsidTr="00CF6A8D">
        <w:trPr>
          <w:trHeight w:hRule="exact" w:val="397"/>
        </w:trPr>
        <w:tc>
          <w:tcPr>
            <w:tcW w:w="1985" w:type="dxa"/>
            <w:tcBorders>
              <w:top w:val="nil"/>
              <w:left w:val="single" w:sz="4" w:space="0" w:color="auto"/>
              <w:bottom w:val="single" w:sz="4" w:space="0" w:color="auto"/>
              <w:right w:val="single" w:sz="4" w:space="0" w:color="auto"/>
            </w:tcBorders>
            <w:noWrap/>
            <w:vAlign w:val="bottom"/>
            <w:hideMark/>
          </w:tcPr>
          <w:p w14:paraId="7268736D" w14:textId="77777777" w:rsidR="00CF6A8D" w:rsidRDefault="00CF6A8D" w:rsidP="00CF6A8D">
            <w:pPr>
              <w:ind w:left="35"/>
              <w:rPr>
                <w:rFonts w:cstheme="majorHAnsi"/>
                <w:color w:val="000000"/>
                <w:sz w:val="18"/>
                <w:szCs w:val="18"/>
                <w:lang w:eastAsia="en-US"/>
              </w:rPr>
            </w:pPr>
            <w:r>
              <w:rPr>
                <w:rFonts w:cstheme="majorHAnsi"/>
                <w:color w:val="000000"/>
                <w:sz w:val="18"/>
                <w:szCs w:val="18"/>
                <w:lang w:eastAsia="en-US"/>
              </w:rPr>
              <w:t>Lastna sredstva</w:t>
            </w:r>
          </w:p>
        </w:tc>
        <w:tc>
          <w:tcPr>
            <w:tcW w:w="1511" w:type="dxa"/>
            <w:tcBorders>
              <w:top w:val="nil"/>
              <w:left w:val="nil"/>
              <w:bottom w:val="single" w:sz="8" w:space="0" w:color="auto"/>
              <w:right w:val="single" w:sz="8" w:space="0" w:color="auto"/>
            </w:tcBorders>
            <w:noWrap/>
            <w:vAlign w:val="center"/>
            <w:hideMark/>
          </w:tcPr>
          <w:p w14:paraId="2C21105D" w14:textId="77777777" w:rsidR="00CF6A8D" w:rsidRDefault="00CF6A8D">
            <w:pPr>
              <w:ind w:left="-52" w:right="-21"/>
              <w:jc w:val="right"/>
              <w:rPr>
                <w:rFonts w:cstheme="majorHAnsi"/>
                <w:color w:val="000000"/>
                <w:sz w:val="18"/>
                <w:szCs w:val="18"/>
                <w:lang w:eastAsia="en-US"/>
              </w:rPr>
            </w:pPr>
            <w:r>
              <w:rPr>
                <w:color w:val="000000"/>
                <w:sz w:val="18"/>
                <w:szCs w:val="18"/>
                <w:lang w:eastAsia="en-US"/>
              </w:rPr>
              <w:t>524.006,20</w:t>
            </w:r>
          </w:p>
        </w:tc>
        <w:tc>
          <w:tcPr>
            <w:tcW w:w="1182" w:type="dxa"/>
            <w:tcBorders>
              <w:top w:val="nil"/>
              <w:left w:val="nil"/>
              <w:bottom w:val="single" w:sz="8" w:space="0" w:color="auto"/>
              <w:right w:val="single" w:sz="8" w:space="0" w:color="auto"/>
            </w:tcBorders>
            <w:noWrap/>
            <w:vAlign w:val="center"/>
            <w:hideMark/>
          </w:tcPr>
          <w:p w14:paraId="0B7D8BB1" w14:textId="77777777" w:rsidR="00CF6A8D" w:rsidRDefault="00CF6A8D">
            <w:pPr>
              <w:ind w:left="-65" w:right="0"/>
              <w:jc w:val="right"/>
              <w:rPr>
                <w:rFonts w:cstheme="majorHAnsi"/>
                <w:color w:val="000000"/>
                <w:sz w:val="18"/>
                <w:szCs w:val="18"/>
                <w:lang w:eastAsia="en-US"/>
              </w:rPr>
            </w:pPr>
            <w:r>
              <w:rPr>
                <w:color w:val="000000"/>
                <w:sz w:val="18"/>
                <w:szCs w:val="18"/>
                <w:lang w:eastAsia="en-US"/>
              </w:rPr>
              <w:t>40,46%</w:t>
            </w:r>
          </w:p>
        </w:tc>
        <w:tc>
          <w:tcPr>
            <w:tcW w:w="1134" w:type="dxa"/>
            <w:tcBorders>
              <w:top w:val="nil"/>
              <w:left w:val="nil"/>
              <w:bottom w:val="single" w:sz="8" w:space="0" w:color="auto"/>
              <w:right w:val="single" w:sz="8" w:space="0" w:color="auto"/>
            </w:tcBorders>
            <w:noWrap/>
            <w:vAlign w:val="center"/>
            <w:hideMark/>
          </w:tcPr>
          <w:p w14:paraId="6A64B8D9" w14:textId="77777777" w:rsidR="00CF6A8D" w:rsidRDefault="00CF6A8D">
            <w:pPr>
              <w:ind w:left="-65" w:right="0"/>
              <w:jc w:val="right"/>
              <w:rPr>
                <w:rFonts w:cstheme="majorHAnsi"/>
                <w:color w:val="000000"/>
                <w:sz w:val="18"/>
                <w:szCs w:val="18"/>
                <w:lang w:eastAsia="en-US"/>
              </w:rPr>
            </w:pPr>
            <w:r>
              <w:rPr>
                <w:color w:val="000000"/>
                <w:sz w:val="18"/>
                <w:szCs w:val="18"/>
                <w:lang w:eastAsia="en-US"/>
              </w:rPr>
              <w:t>1.124,35</w:t>
            </w:r>
          </w:p>
        </w:tc>
        <w:tc>
          <w:tcPr>
            <w:tcW w:w="1498" w:type="dxa"/>
            <w:tcBorders>
              <w:top w:val="nil"/>
              <w:left w:val="nil"/>
              <w:bottom w:val="single" w:sz="8" w:space="0" w:color="auto"/>
              <w:right w:val="single" w:sz="8" w:space="0" w:color="auto"/>
            </w:tcBorders>
            <w:noWrap/>
            <w:vAlign w:val="center"/>
            <w:hideMark/>
          </w:tcPr>
          <w:p w14:paraId="35145BD6" w14:textId="77777777" w:rsidR="00CF6A8D" w:rsidRDefault="00CF6A8D">
            <w:pPr>
              <w:ind w:left="-65" w:right="-22"/>
              <w:jc w:val="right"/>
              <w:rPr>
                <w:rFonts w:cstheme="majorHAnsi"/>
                <w:color w:val="000000"/>
                <w:sz w:val="18"/>
                <w:szCs w:val="18"/>
                <w:lang w:eastAsia="en-US"/>
              </w:rPr>
            </w:pPr>
            <w:r>
              <w:rPr>
                <w:color w:val="000000"/>
                <w:sz w:val="18"/>
                <w:szCs w:val="18"/>
                <w:lang w:eastAsia="en-US"/>
              </w:rPr>
              <w:t>519.880,69</w:t>
            </w:r>
          </w:p>
        </w:tc>
        <w:tc>
          <w:tcPr>
            <w:tcW w:w="1195" w:type="dxa"/>
            <w:tcBorders>
              <w:top w:val="nil"/>
              <w:left w:val="nil"/>
              <w:bottom w:val="single" w:sz="8" w:space="0" w:color="auto"/>
              <w:right w:val="single" w:sz="8" w:space="0" w:color="auto"/>
            </w:tcBorders>
            <w:noWrap/>
            <w:vAlign w:val="center"/>
            <w:hideMark/>
          </w:tcPr>
          <w:p w14:paraId="6913F602" w14:textId="77777777" w:rsidR="00CF6A8D" w:rsidRDefault="00CF6A8D">
            <w:pPr>
              <w:ind w:left="-65" w:right="0"/>
              <w:jc w:val="right"/>
              <w:rPr>
                <w:rFonts w:cstheme="majorHAnsi"/>
                <w:color w:val="000000"/>
                <w:sz w:val="18"/>
                <w:szCs w:val="18"/>
                <w:lang w:eastAsia="en-US"/>
              </w:rPr>
            </w:pPr>
            <w:r>
              <w:rPr>
                <w:color w:val="000000"/>
                <w:sz w:val="18"/>
                <w:szCs w:val="18"/>
                <w:lang w:eastAsia="en-US"/>
              </w:rPr>
              <w:t>3.001,16</w:t>
            </w:r>
          </w:p>
        </w:tc>
      </w:tr>
    </w:tbl>
    <w:p w14:paraId="2DE81188" w14:textId="77777777" w:rsidR="00CF6A8D" w:rsidRDefault="00CF6A8D" w:rsidP="00CF6A8D">
      <w:pPr>
        <w:spacing w:after="0" w:line="240" w:lineRule="auto"/>
        <w:ind w:right="0"/>
        <w:rPr>
          <w:noProof w:val="0"/>
        </w:rPr>
      </w:pPr>
    </w:p>
    <w:p w14:paraId="3AF56C24" w14:textId="77777777" w:rsidR="00CF6A8D" w:rsidRDefault="00CF6A8D" w:rsidP="0023060D">
      <w:pPr>
        <w:spacing w:after="0" w:line="240" w:lineRule="auto"/>
        <w:ind w:right="0"/>
        <w:jc w:val="left"/>
        <w:rPr>
          <w:bCs w:val="0"/>
          <w:noProof w:val="0"/>
        </w:rPr>
      </w:pPr>
      <w:r>
        <w:rPr>
          <w:bCs w:val="0"/>
          <w:noProof w:val="0"/>
        </w:rPr>
        <w:t xml:space="preserve">Drugi odstavek 18. člena Uredbe </w:t>
      </w:r>
      <w:r>
        <w:rPr>
          <w:noProof w:val="0"/>
        </w:rPr>
        <w:t xml:space="preserve">o enotni metodologiji za pripravo in obravnavo investicijske dokumentacije na področju javnih financ </w:t>
      </w:r>
      <w:r>
        <w:rPr>
          <w:noProof w:val="0"/>
          <w:shd w:val="clear" w:color="auto" w:fill="FFFFFF"/>
        </w:rPr>
        <w:t>(Uradni list RS, št. 60/06, 54/10, 27/16)</w:t>
      </w:r>
      <w:r>
        <w:rPr>
          <w:bCs w:val="0"/>
          <w:noProof w:val="0"/>
        </w:rPr>
        <w:t xml:space="preserve"> med drugim določa, da </w:t>
      </w:r>
      <w:r>
        <w:rPr>
          <w:noProof w:val="0"/>
        </w:rPr>
        <w:t xml:space="preserve">se do dokumenta identifikacije investicijskega projekta opredeli investitor, ki s pisnim sklepom bodisi potrdi dokument identifikacije investicijskega projekta, bodisi ga zavrne. </w:t>
      </w:r>
      <w:bookmarkStart w:id="4" w:name="_Hlk218685103"/>
      <w:r>
        <w:rPr>
          <w:noProof w:val="0"/>
        </w:rPr>
        <w:t xml:space="preserve">Četrti odstavek 15. člena Odlok o proračunu Mestne občine Nova Gorica za leto 2026 (Uradni list RS, št. 110/2025) </w:t>
      </w:r>
      <w:bookmarkEnd w:id="4"/>
      <w:r>
        <w:rPr>
          <w:noProof w:val="0"/>
        </w:rPr>
        <w:t>določa, da se n</w:t>
      </w:r>
      <w:r>
        <w:rPr>
          <w:noProof w:val="0"/>
          <w:shd w:val="clear" w:color="auto" w:fill="FFFFFF"/>
        </w:rPr>
        <w:t>ovi projekti uvrstijo v načrt razvojnih programov, če investicijsko dokumentacijo potrdi mestni svet.</w:t>
      </w:r>
      <w:r>
        <w:rPr>
          <w:noProof w:val="0"/>
        </w:rPr>
        <w:t xml:space="preserve"> Ker projekt »PEŠ POVEZAVA OB KOLODVORSKI POTI«, </w:t>
      </w:r>
      <w:r>
        <w:rPr>
          <w:bCs w:val="0"/>
          <w:noProof w:val="0"/>
        </w:rPr>
        <w:t>še ni uvrščen v veljavni Načrt razvojnih programov (NRP) Mestne občine Nova Gorica, je potrebno za njegovo uvrstitev v NRP potrditi predloženi DIIP.</w:t>
      </w:r>
    </w:p>
    <w:p w14:paraId="744283D5" w14:textId="77777777" w:rsidR="00CF6A8D" w:rsidRDefault="00CF6A8D" w:rsidP="0023060D">
      <w:pPr>
        <w:spacing w:after="0" w:line="240" w:lineRule="auto"/>
        <w:ind w:right="0"/>
        <w:jc w:val="left"/>
        <w:rPr>
          <w:bCs w:val="0"/>
          <w:noProof w:val="0"/>
        </w:rPr>
      </w:pPr>
    </w:p>
    <w:p w14:paraId="640267B6" w14:textId="77777777" w:rsidR="008160DC" w:rsidRDefault="008160DC" w:rsidP="0023060D">
      <w:pPr>
        <w:spacing w:after="0" w:line="240" w:lineRule="auto"/>
        <w:ind w:right="0"/>
        <w:jc w:val="left"/>
        <w:rPr>
          <w:bCs w:val="0"/>
          <w:noProof w:val="0"/>
        </w:rPr>
      </w:pPr>
    </w:p>
    <w:p w14:paraId="36C86BA7" w14:textId="6B842306" w:rsidR="00CF6A8D" w:rsidRDefault="00F50D05" w:rsidP="0023060D">
      <w:pPr>
        <w:spacing w:after="0" w:line="240" w:lineRule="auto"/>
        <w:ind w:right="0"/>
        <w:jc w:val="left"/>
        <w:rPr>
          <w:rFonts w:eastAsia="Calibri"/>
          <w:b/>
          <w:noProof w:val="0"/>
          <w:lang w:eastAsia="en-US"/>
        </w:rPr>
      </w:pPr>
      <w:r w:rsidRPr="00F50D05">
        <w:rPr>
          <w:rFonts w:eastAsia="Calibri"/>
          <w:b/>
          <w:noProof w:val="0"/>
          <w:lang w:eastAsia="en-US"/>
        </w:rPr>
        <w:lastRenderedPageBreak/>
        <w:t>Mestnemu svetu Mestne občine Nova Gorica predlagamo, da predloženi sklep obravnava in sprejme.</w:t>
      </w:r>
    </w:p>
    <w:p w14:paraId="41D6C773" w14:textId="77777777" w:rsidR="00CF6A8D" w:rsidRDefault="00CF6A8D" w:rsidP="0023060D">
      <w:pPr>
        <w:spacing w:after="0" w:line="240" w:lineRule="auto"/>
        <w:ind w:right="0"/>
        <w:jc w:val="left"/>
        <w:rPr>
          <w:rFonts w:eastAsia="Calibri"/>
          <w:noProof w:val="0"/>
          <w:lang w:eastAsia="en-US"/>
        </w:rPr>
      </w:pPr>
    </w:p>
    <w:p w14:paraId="6FE532D8" w14:textId="77777777" w:rsidR="00CF6A8D" w:rsidRDefault="00CF6A8D" w:rsidP="0023060D">
      <w:pPr>
        <w:spacing w:after="0" w:line="240" w:lineRule="auto"/>
        <w:ind w:right="0"/>
        <w:jc w:val="left"/>
        <w:rPr>
          <w:rFonts w:eastAsia="Calibri"/>
          <w:noProof w:val="0"/>
          <w:lang w:eastAsia="en-US"/>
        </w:rPr>
      </w:pPr>
    </w:p>
    <w:p w14:paraId="46DC6FB8" w14:textId="77777777" w:rsidR="00CF6A8D" w:rsidRDefault="00CF6A8D" w:rsidP="0023060D">
      <w:pPr>
        <w:spacing w:after="0" w:line="240" w:lineRule="auto"/>
        <w:ind w:right="0"/>
        <w:jc w:val="left"/>
        <w:rPr>
          <w:rFonts w:eastAsia="Calibri"/>
          <w:noProof w:val="0"/>
          <w:lang w:eastAsia="en-US"/>
        </w:rPr>
      </w:pPr>
    </w:p>
    <w:p w14:paraId="0B3F9A3D" w14:textId="716DAF6F" w:rsidR="00731380" w:rsidRDefault="00731380" w:rsidP="00352A82"/>
    <w:p w14:paraId="17465817" w14:textId="33078142" w:rsidR="00A03315" w:rsidRDefault="00A03315" w:rsidP="00A03315">
      <w:pPr>
        <w:pStyle w:val="Podpisoseba"/>
        <w:spacing w:before="0" w:after="0"/>
        <w:ind w:left="709"/>
        <w:rPr>
          <w:bCs w:val="0"/>
        </w:rPr>
      </w:pPr>
      <w:r w:rsidRPr="00110838">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2A18546E" w:rsidR="00A03315" w:rsidRPr="00D51EE1" w:rsidRDefault="00CF6A8D" w:rsidP="00C818D4">
            <w:pPr>
              <w:pStyle w:val="Podpisoseba"/>
              <w:spacing w:before="0" w:after="0"/>
              <w:rPr>
                <w:b/>
                <w:bCs w:val="0"/>
              </w:rPr>
            </w:pPr>
            <w:r w:rsidRPr="00CF6A8D">
              <w:rPr>
                <w:b/>
                <w:bCs w:val="0"/>
              </w:rPr>
              <w:t>Andreja T. Lapanja</w:t>
            </w:r>
          </w:p>
        </w:tc>
        <w:tc>
          <w:tcPr>
            <w:tcW w:w="3549" w:type="dxa"/>
          </w:tcPr>
          <w:p w14:paraId="33414636" w14:textId="43E96DC7" w:rsidR="00A03315" w:rsidRPr="00D51EE1" w:rsidRDefault="00CF6A8D" w:rsidP="00C818D4">
            <w:pPr>
              <w:pStyle w:val="Podpisoseba"/>
              <w:spacing w:before="0" w:after="0"/>
              <w:rPr>
                <w:b/>
                <w:bCs w:val="0"/>
              </w:rPr>
            </w:pPr>
            <w:r w:rsidRPr="00CF6A8D">
              <w:rPr>
                <w:b/>
                <w:bCs w:val="0"/>
              </w:rPr>
              <w:t>Marko Mikulin</w:t>
            </w:r>
          </w:p>
        </w:tc>
      </w:tr>
      <w:tr w:rsidR="00A03315" w14:paraId="04CA288A" w14:textId="77777777" w:rsidTr="00C818D4">
        <w:tc>
          <w:tcPr>
            <w:tcW w:w="4956" w:type="dxa"/>
          </w:tcPr>
          <w:p w14:paraId="3431D6EA" w14:textId="157BB594" w:rsidR="00A03315" w:rsidRPr="00E639CC" w:rsidRDefault="00CF6A8D" w:rsidP="00C818D4">
            <w:pPr>
              <w:pStyle w:val="Podpisoseba"/>
              <w:spacing w:before="0" w:after="0"/>
              <w:ind w:right="459"/>
              <w:rPr>
                <w:bCs w:val="0"/>
              </w:rPr>
            </w:pPr>
            <w:r w:rsidRPr="00CF6A8D">
              <w:t>Podsekretarka za razvojne in druge projekte</w:t>
            </w:r>
          </w:p>
        </w:tc>
        <w:tc>
          <w:tcPr>
            <w:tcW w:w="3549" w:type="dxa"/>
          </w:tcPr>
          <w:p w14:paraId="770E907E" w14:textId="499986C5" w:rsidR="00A03315" w:rsidRPr="00E639CC" w:rsidRDefault="00CF6A8D" w:rsidP="00C818D4">
            <w:pPr>
              <w:pStyle w:val="Podpisoseba"/>
              <w:spacing w:before="0" w:after="0"/>
              <w:rPr>
                <w:bCs w:val="0"/>
              </w:rPr>
            </w:pPr>
            <w:r w:rsidRPr="00CF6A8D">
              <w:rPr>
                <w:bCs w:val="0"/>
              </w:rPr>
              <w:t xml:space="preserve">Vodja Razvojne pisarne                                                                               </w:t>
            </w:r>
          </w:p>
        </w:tc>
      </w:tr>
    </w:tbl>
    <w:p w14:paraId="3CBF8490" w14:textId="77777777" w:rsidR="00CF6A8D" w:rsidRDefault="00CF6A8D" w:rsidP="00CF6A8D">
      <w:pPr>
        <w:spacing w:after="0" w:line="240" w:lineRule="auto"/>
        <w:ind w:left="0" w:right="0" w:firstLine="708"/>
        <w:rPr>
          <w:rFonts w:eastAsia="Calibri"/>
          <w:noProof w:val="0"/>
          <w:lang w:eastAsia="en-US"/>
        </w:rPr>
      </w:pPr>
    </w:p>
    <w:p w14:paraId="2409375F" w14:textId="77777777" w:rsidR="00CF6A8D" w:rsidRDefault="00CF6A8D" w:rsidP="00CF6A8D">
      <w:pPr>
        <w:spacing w:after="0" w:line="240" w:lineRule="auto"/>
        <w:ind w:left="0" w:right="0" w:firstLine="708"/>
        <w:rPr>
          <w:rFonts w:eastAsia="Calibri"/>
          <w:noProof w:val="0"/>
          <w:lang w:eastAsia="en-US"/>
        </w:rPr>
      </w:pPr>
    </w:p>
    <w:p w14:paraId="16804FBF" w14:textId="77777777" w:rsidR="00CF6A8D" w:rsidRDefault="00CF6A8D" w:rsidP="00CF6A8D">
      <w:pPr>
        <w:spacing w:after="0" w:line="240" w:lineRule="auto"/>
        <w:ind w:left="0" w:right="0" w:firstLine="708"/>
        <w:rPr>
          <w:rFonts w:eastAsia="Calibri"/>
          <w:noProof w:val="0"/>
          <w:lang w:eastAsia="en-US"/>
        </w:rPr>
      </w:pPr>
    </w:p>
    <w:p w14:paraId="7445003C" w14:textId="77777777" w:rsidR="00CF6A8D" w:rsidRDefault="00CF6A8D" w:rsidP="00CF6A8D">
      <w:pPr>
        <w:spacing w:after="0" w:line="240" w:lineRule="auto"/>
        <w:ind w:left="0" w:right="0" w:firstLine="708"/>
        <w:rPr>
          <w:rFonts w:eastAsia="Calibri"/>
          <w:noProof w:val="0"/>
          <w:lang w:eastAsia="en-US"/>
        </w:rPr>
      </w:pPr>
    </w:p>
    <w:p w14:paraId="6FD4445D" w14:textId="77777777" w:rsidR="00CF6A8D" w:rsidRDefault="00CF6A8D" w:rsidP="00CF6A8D">
      <w:pPr>
        <w:spacing w:after="0" w:line="240" w:lineRule="auto"/>
        <w:ind w:left="0" w:right="0" w:firstLine="708"/>
        <w:rPr>
          <w:rFonts w:eastAsia="Calibri"/>
          <w:noProof w:val="0"/>
          <w:lang w:eastAsia="en-US"/>
        </w:rPr>
      </w:pPr>
    </w:p>
    <w:p w14:paraId="3202A1DD" w14:textId="77777777" w:rsidR="00CF6A8D" w:rsidRDefault="00CF6A8D" w:rsidP="00CF6A8D">
      <w:pPr>
        <w:spacing w:after="0" w:line="240" w:lineRule="auto"/>
        <w:ind w:left="0" w:right="0" w:firstLine="708"/>
        <w:rPr>
          <w:rFonts w:eastAsia="Calibri"/>
          <w:noProof w:val="0"/>
          <w:lang w:eastAsia="en-US"/>
        </w:rPr>
      </w:pPr>
    </w:p>
    <w:p w14:paraId="210C439A" w14:textId="77777777" w:rsidR="00CF6A8D" w:rsidRDefault="00CF6A8D" w:rsidP="00CF6A8D">
      <w:pPr>
        <w:spacing w:after="0" w:line="240" w:lineRule="auto"/>
        <w:ind w:left="0" w:right="0" w:firstLine="708"/>
        <w:rPr>
          <w:rFonts w:eastAsia="Calibri"/>
          <w:noProof w:val="0"/>
          <w:lang w:eastAsia="en-US"/>
        </w:rPr>
      </w:pPr>
    </w:p>
    <w:p w14:paraId="3383A950" w14:textId="77777777" w:rsidR="00731380" w:rsidRDefault="00731380" w:rsidP="00352A82"/>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B77F" w14:textId="77777777" w:rsidR="00005EC4" w:rsidRDefault="00005EC4" w:rsidP="00352A82">
      <w:r>
        <w:separator/>
      </w:r>
    </w:p>
  </w:endnote>
  <w:endnote w:type="continuationSeparator" w:id="0">
    <w:p w14:paraId="0C2C9D91" w14:textId="77777777" w:rsidR="00005EC4" w:rsidRDefault="00005EC4"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24C9" w14:textId="77777777" w:rsidR="00005EC4" w:rsidRDefault="00005EC4" w:rsidP="00352A82">
      <w:r>
        <w:separator/>
      </w:r>
    </w:p>
  </w:footnote>
  <w:footnote w:type="continuationSeparator" w:id="0">
    <w:p w14:paraId="31FD29CA" w14:textId="77777777" w:rsidR="00005EC4" w:rsidRDefault="00005EC4"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592A956C">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70455AF"/>
    <w:multiLevelType w:val="hybridMultilevel"/>
    <w:tmpl w:val="B7E43FC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A726CDE"/>
    <w:multiLevelType w:val="multilevel"/>
    <w:tmpl w:val="8DDE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1ADE789E"/>
    <w:multiLevelType w:val="hybridMultilevel"/>
    <w:tmpl w:val="38BCDCF8"/>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0CC7328"/>
    <w:multiLevelType w:val="multilevel"/>
    <w:tmpl w:val="36EC84D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322F680C"/>
    <w:multiLevelType w:val="multilevel"/>
    <w:tmpl w:val="A2866F2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323E22F7"/>
    <w:multiLevelType w:val="multilevel"/>
    <w:tmpl w:val="34E0C8D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3AAE594D"/>
    <w:multiLevelType w:val="multilevel"/>
    <w:tmpl w:val="5AECA912"/>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6B32941"/>
    <w:multiLevelType w:val="multilevel"/>
    <w:tmpl w:val="DDDA8B0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74D9785A"/>
    <w:multiLevelType w:val="hybridMultilevel"/>
    <w:tmpl w:val="05A4D20A"/>
    <w:lvl w:ilvl="0" w:tplc="BED8E086">
      <w:start w:val="1"/>
      <w:numFmt w:val="bullet"/>
      <w:lvlText w:val="-"/>
      <w:lvlJc w:val="left"/>
      <w:pPr>
        <w:ind w:left="2149" w:hanging="360"/>
      </w:pPr>
      <w:rPr>
        <w:rFonts w:ascii="Verdana" w:eastAsia="Times New Roman" w:hAnsi="Verdana" w:cs="Arial" w:hint="default"/>
      </w:rPr>
    </w:lvl>
    <w:lvl w:ilvl="1" w:tplc="04240003" w:tentative="1">
      <w:start w:val="1"/>
      <w:numFmt w:val="bullet"/>
      <w:lvlText w:val="o"/>
      <w:lvlJc w:val="left"/>
      <w:pPr>
        <w:ind w:left="2869" w:hanging="360"/>
      </w:pPr>
      <w:rPr>
        <w:rFonts w:ascii="Courier New" w:hAnsi="Courier New" w:cs="Courier New" w:hint="default"/>
      </w:rPr>
    </w:lvl>
    <w:lvl w:ilvl="2" w:tplc="04240005" w:tentative="1">
      <w:start w:val="1"/>
      <w:numFmt w:val="bullet"/>
      <w:lvlText w:val=""/>
      <w:lvlJc w:val="left"/>
      <w:pPr>
        <w:ind w:left="3589" w:hanging="360"/>
      </w:pPr>
      <w:rPr>
        <w:rFonts w:ascii="Wingdings" w:hAnsi="Wingdings" w:hint="default"/>
      </w:rPr>
    </w:lvl>
    <w:lvl w:ilvl="3" w:tplc="04240001" w:tentative="1">
      <w:start w:val="1"/>
      <w:numFmt w:val="bullet"/>
      <w:lvlText w:val=""/>
      <w:lvlJc w:val="left"/>
      <w:pPr>
        <w:ind w:left="4309" w:hanging="360"/>
      </w:pPr>
      <w:rPr>
        <w:rFonts w:ascii="Symbol" w:hAnsi="Symbol" w:hint="default"/>
      </w:rPr>
    </w:lvl>
    <w:lvl w:ilvl="4" w:tplc="04240003" w:tentative="1">
      <w:start w:val="1"/>
      <w:numFmt w:val="bullet"/>
      <w:lvlText w:val="o"/>
      <w:lvlJc w:val="left"/>
      <w:pPr>
        <w:ind w:left="5029" w:hanging="360"/>
      </w:pPr>
      <w:rPr>
        <w:rFonts w:ascii="Courier New" w:hAnsi="Courier New" w:cs="Courier New" w:hint="default"/>
      </w:rPr>
    </w:lvl>
    <w:lvl w:ilvl="5" w:tplc="04240005" w:tentative="1">
      <w:start w:val="1"/>
      <w:numFmt w:val="bullet"/>
      <w:lvlText w:val=""/>
      <w:lvlJc w:val="left"/>
      <w:pPr>
        <w:ind w:left="5749" w:hanging="360"/>
      </w:pPr>
      <w:rPr>
        <w:rFonts w:ascii="Wingdings" w:hAnsi="Wingdings" w:hint="default"/>
      </w:rPr>
    </w:lvl>
    <w:lvl w:ilvl="6" w:tplc="04240001" w:tentative="1">
      <w:start w:val="1"/>
      <w:numFmt w:val="bullet"/>
      <w:lvlText w:val=""/>
      <w:lvlJc w:val="left"/>
      <w:pPr>
        <w:ind w:left="6469" w:hanging="360"/>
      </w:pPr>
      <w:rPr>
        <w:rFonts w:ascii="Symbol" w:hAnsi="Symbol" w:hint="default"/>
      </w:rPr>
    </w:lvl>
    <w:lvl w:ilvl="7" w:tplc="04240003" w:tentative="1">
      <w:start w:val="1"/>
      <w:numFmt w:val="bullet"/>
      <w:lvlText w:val="o"/>
      <w:lvlJc w:val="left"/>
      <w:pPr>
        <w:ind w:left="7189" w:hanging="360"/>
      </w:pPr>
      <w:rPr>
        <w:rFonts w:ascii="Courier New" w:hAnsi="Courier New" w:cs="Courier New" w:hint="default"/>
      </w:rPr>
    </w:lvl>
    <w:lvl w:ilvl="8" w:tplc="04240005" w:tentative="1">
      <w:start w:val="1"/>
      <w:numFmt w:val="bullet"/>
      <w:lvlText w:val=""/>
      <w:lvlJc w:val="left"/>
      <w:pPr>
        <w:ind w:left="7909" w:hanging="360"/>
      </w:pPr>
      <w:rPr>
        <w:rFonts w:ascii="Wingdings" w:hAnsi="Wingdings" w:hint="default"/>
      </w:rPr>
    </w:lvl>
  </w:abstractNum>
  <w:abstractNum w:abstractNumId="19" w15:restartNumberingAfterBreak="0">
    <w:nsid w:val="763656A3"/>
    <w:multiLevelType w:val="multilevel"/>
    <w:tmpl w:val="FE406BB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7CDB3895"/>
    <w:multiLevelType w:val="hybridMultilevel"/>
    <w:tmpl w:val="F2925288"/>
    <w:lvl w:ilvl="0" w:tplc="96D27FE4">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577129964">
    <w:abstractNumId w:val="12"/>
  </w:num>
  <w:num w:numId="2" w16cid:durableId="1164929981">
    <w:abstractNumId w:val="15"/>
  </w:num>
  <w:num w:numId="3" w16cid:durableId="1314213452">
    <w:abstractNumId w:val="0"/>
  </w:num>
  <w:num w:numId="4" w16cid:durableId="629288842">
    <w:abstractNumId w:val="7"/>
  </w:num>
  <w:num w:numId="5" w16cid:durableId="738939049">
    <w:abstractNumId w:val="14"/>
  </w:num>
  <w:num w:numId="6" w16cid:durableId="1657220828">
    <w:abstractNumId w:val="17"/>
  </w:num>
  <w:num w:numId="7" w16cid:durableId="1256210005">
    <w:abstractNumId w:val="3"/>
  </w:num>
  <w:num w:numId="8" w16cid:durableId="620721476">
    <w:abstractNumId w:val="4"/>
  </w:num>
  <w:num w:numId="9" w16cid:durableId="1223718357">
    <w:abstractNumId w:val="11"/>
  </w:num>
  <w:num w:numId="10" w16cid:durableId="767116328">
    <w:abstractNumId w:val="13"/>
  </w:num>
  <w:num w:numId="11" w16cid:durableId="1379276865">
    <w:abstractNumId w:val="5"/>
  </w:num>
  <w:num w:numId="12" w16cid:durableId="1657682525">
    <w:abstractNumId w:val="20"/>
  </w:num>
  <w:num w:numId="13" w16cid:durableId="2142306939">
    <w:abstractNumId w:val="18"/>
  </w:num>
  <w:num w:numId="14" w16cid:durableId="1151600941">
    <w:abstractNumId w:val="2"/>
  </w:num>
  <w:num w:numId="15" w16cid:durableId="1393188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2585664">
    <w:abstractNumId w:val="19"/>
  </w:num>
  <w:num w:numId="17" w16cid:durableId="1852063014">
    <w:abstractNumId w:val="6"/>
  </w:num>
  <w:num w:numId="18" w16cid:durableId="1793552959">
    <w:abstractNumId w:val="16"/>
  </w:num>
  <w:num w:numId="19" w16cid:durableId="1731266464">
    <w:abstractNumId w:val="10"/>
  </w:num>
  <w:num w:numId="20" w16cid:durableId="1719813134">
    <w:abstractNumId w:val="8"/>
  </w:num>
  <w:num w:numId="21" w16cid:durableId="1620993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EC4"/>
    <w:rsid w:val="000276AB"/>
    <w:rsid w:val="00053ED2"/>
    <w:rsid w:val="0005678C"/>
    <w:rsid w:val="000807CE"/>
    <w:rsid w:val="00083CA2"/>
    <w:rsid w:val="00090D2C"/>
    <w:rsid w:val="000B0305"/>
    <w:rsid w:val="000B577C"/>
    <w:rsid w:val="000D6C77"/>
    <w:rsid w:val="000E5815"/>
    <w:rsid w:val="000E70DA"/>
    <w:rsid w:val="00101B99"/>
    <w:rsid w:val="00103FE0"/>
    <w:rsid w:val="001048DD"/>
    <w:rsid w:val="00110838"/>
    <w:rsid w:val="001137D1"/>
    <w:rsid w:val="00115655"/>
    <w:rsid w:val="00121E4D"/>
    <w:rsid w:val="00145A3D"/>
    <w:rsid w:val="00151210"/>
    <w:rsid w:val="001661E3"/>
    <w:rsid w:val="00167093"/>
    <w:rsid w:val="00172F91"/>
    <w:rsid w:val="001732D3"/>
    <w:rsid w:val="00175A68"/>
    <w:rsid w:val="00192B9A"/>
    <w:rsid w:val="00196994"/>
    <w:rsid w:val="001A774A"/>
    <w:rsid w:val="001B2389"/>
    <w:rsid w:val="001C3E79"/>
    <w:rsid w:val="001C491B"/>
    <w:rsid w:val="001C6438"/>
    <w:rsid w:val="001D7013"/>
    <w:rsid w:val="001E519B"/>
    <w:rsid w:val="0022510F"/>
    <w:rsid w:val="00226E0E"/>
    <w:rsid w:val="0023060D"/>
    <w:rsid w:val="002374C1"/>
    <w:rsid w:val="002432E3"/>
    <w:rsid w:val="00251FBC"/>
    <w:rsid w:val="00253228"/>
    <w:rsid w:val="002600C7"/>
    <w:rsid w:val="00276703"/>
    <w:rsid w:val="00281AD5"/>
    <w:rsid w:val="0028430E"/>
    <w:rsid w:val="0028622D"/>
    <w:rsid w:val="0029006F"/>
    <w:rsid w:val="00290E4D"/>
    <w:rsid w:val="00292182"/>
    <w:rsid w:val="002A1551"/>
    <w:rsid w:val="002B08B0"/>
    <w:rsid w:val="002B3E5A"/>
    <w:rsid w:val="002D59F0"/>
    <w:rsid w:val="002E50B4"/>
    <w:rsid w:val="002F330A"/>
    <w:rsid w:val="002F4F3E"/>
    <w:rsid w:val="0031431D"/>
    <w:rsid w:val="00321519"/>
    <w:rsid w:val="003243D4"/>
    <w:rsid w:val="00340A6C"/>
    <w:rsid w:val="00344157"/>
    <w:rsid w:val="00352A82"/>
    <w:rsid w:val="00355F3A"/>
    <w:rsid w:val="003654C6"/>
    <w:rsid w:val="00366240"/>
    <w:rsid w:val="003746C9"/>
    <w:rsid w:val="003815F8"/>
    <w:rsid w:val="00386692"/>
    <w:rsid w:val="0039457F"/>
    <w:rsid w:val="00396C37"/>
    <w:rsid w:val="003A0AE4"/>
    <w:rsid w:val="003A14F0"/>
    <w:rsid w:val="003A494A"/>
    <w:rsid w:val="003B11F7"/>
    <w:rsid w:val="003B1C1F"/>
    <w:rsid w:val="003B5A4F"/>
    <w:rsid w:val="003C6C4B"/>
    <w:rsid w:val="003D5724"/>
    <w:rsid w:val="003F25A7"/>
    <w:rsid w:val="003F3284"/>
    <w:rsid w:val="003F3EB0"/>
    <w:rsid w:val="0041261D"/>
    <w:rsid w:val="004129EE"/>
    <w:rsid w:val="004164F0"/>
    <w:rsid w:val="00445A64"/>
    <w:rsid w:val="004508C9"/>
    <w:rsid w:val="00463FA4"/>
    <w:rsid w:val="00476915"/>
    <w:rsid w:val="004806FB"/>
    <w:rsid w:val="00486063"/>
    <w:rsid w:val="004953C5"/>
    <w:rsid w:val="004A4A58"/>
    <w:rsid w:val="004C04E1"/>
    <w:rsid w:val="004C772C"/>
    <w:rsid w:val="004D08B8"/>
    <w:rsid w:val="004E242E"/>
    <w:rsid w:val="004E68FC"/>
    <w:rsid w:val="004E6E87"/>
    <w:rsid w:val="004F1ADB"/>
    <w:rsid w:val="004F61D0"/>
    <w:rsid w:val="00500E47"/>
    <w:rsid w:val="00514093"/>
    <w:rsid w:val="005210F0"/>
    <w:rsid w:val="00532BD9"/>
    <w:rsid w:val="005458EA"/>
    <w:rsid w:val="005562CF"/>
    <w:rsid w:val="00581BE7"/>
    <w:rsid w:val="005A4188"/>
    <w:rsid w:val="005A7EF0"/>
    <w:rsid w:val="005B06C0"/>
    <w:rsid w:val="005B3DE7"/>
    <w:rsid w:val="005D2A68"/>
    <w:rsid w:val="005D6917"/>
    <w:rsid w:val="005D7B87"/>
    <w:rsid w:val="005F7FCD"/>
    <w:rsid w:val="00605325"/>
    <w:rsid w:val="00612B00"/>
    <w:rsid w:val="00621BC7"/>
    <w:rsid w:val="0062252D"/>
    <w:rsid w:val="00641183"/>
    <w:rsid w:val="00651B99"/>
    <w:rsid w:val="00655E9F"/>
    <w:rsid w:val="00657769"/>
    <w:rsid w:val="0066085E"/>
    <w:rsid w:val="006620F0"/>
    <w:rsid w:val="00696009"/>
    <w:rsid w:val="006A26DE"/>
    <w:rsid w:val="006B0C3A"/>
    <w:rsid w:val="006B33D9"/>
    <w:rsid w:val="006B500F"/>
    <w:rsid w:val="006B67F8"/>
    <w:rsid w:val="006C20D9"/>
    <w:rsid w:val="006E4CCD"/>
    <w:rsid w:val="006E7FB6"/>
    <w:rsid w:val="006F1CF9"/>
    <w:rsid w:val="006F3123"/>
    <w:rsid w:val="006F4023"/>
    <w:rsid w:val="006F44FD"/>
    <w:rsid w:val="006F76C7"/>
    <w:rsid w:val="006F7D6F"/>
    <w:rsid w:val="00714788"/>
    <w:rsid w:val="00715D35"/>
    <w:rsid w:val="00722FAC"/>
    <w:rsid w:val="00723864"/>
    <w:rsid w:val="00731380"/>
    <w:rsid w:val="00734A18"/>
    <w:rsid w:val="007548F3"/>
    <w:rsid w:val="007570B2"/>
    <w:rsid w:val="00770284"/>
    <w:rsid w:val="00774DD1"/>
    <w:rsid w:val="00776009"/>
    <w:rsid w:val="0079172C"/>
    <w:rsid w:val="00791DB2"/>
    <w:rsid w:val="00793022"/>
    <w:rsid w:val="00796028"/>
    <w:rsid w:val="007A42B0"/>
    <w:rsid w:val="007A4852"/>
    <w:rsid w:val="007A6DC2"/>
    <w:rsid w:val="007D48AB"/>
    <w:rsid w:val="007E472E"/>
    <w:rsid w:val="007F5259"/>
    <w:rsid w:val="00810854"/>
    <w:rsid w:val="008160DC"/>
    <w:rsid w:val="008323F2"/>
    <w:rsid w:val="008631C4"/>
    <w:rsid w:val="0086350F"/>
    <w:rsid w:val="0087065B"/>
    <w:rsid w:val="00872909"/>
    <w:rsid w:val="00873CAB"/>
    <w:rsid w:val="008759F5"/>
    <w:rsid w:val="008802E3"/>
    <w:rsid w:val="008821D4"/>
    <w:rsid w:val="00893068"/>
    <w:rsid w:val="008949E6"/>
    <w:rsid w:val="008A260E"/>
    <w:rsid w:val="008A3474"/>
    <w:rsid w:val="008E721E"/>
    <w:rsid w:val="008F21D2"/>
    <w:rsid w:val="008F2684"/>
    <w:rsid w:val="008F38FF"/>
    <w:rsid w:val="008F5DCA"/>
    <w:rsid w:val="00905FF8"/>
    <w:rsid w:val="009060A3"/>
    <w:rsid w:val="009070A0"/>
    <w:rsid w:val="00923A6E"/>
    <w:rsid w:val="00927DDB"/>
    <w:rsid w:val="00945FE7"/>
    <w:rsid w:val="00946353"/>
    <w:rsid w:val="009568DD"/>
    <w:rsid w:val="00974365"/>
    <w:rsid w:val="00981E48"/>
    <w:rsid w:val="0098442C"/>
    <w:rsid w:val="00984B3B"/>
    <w:rsid w:val="009A2BFC"/>
    <w:rsid w:val="009A52DF"/>
    <w:rsid w:val="009B227A"/>
    <w:rsid w:val="009D12B4"/>
    <w:rsid w:val="009D183C"/>
    <w:rsid w:val="00A03315"/>
    <w:rsid w:val="00A12CE2"/>
    <w:rsid w:val="00A30E52"/>
    <w:rsid w:val="00A33C69"/>
    <w:rsid w:val="00A41D76"/>
    <w:rsid w:val="00A71D19"/>
    <w:rsid w:val="00A72ACB"/>
    <w:rsid w:val="00A7398A"/>
    <w:rsid w:val="00A9127C"/>
    <w:rsid w:val="00A9136F"/>
    <w:rsid w:val="00A946D1"/>
    <w:rsid w:val="00A95A58"/>
    <w:rsid w:val="00AA4BFD"/>
    <w:rsid w:val="00AD6CCC"/>
    <w:rsid w:val="00AE720F"/>
    <w:rsid w:val="00B442F4"/>
    <w:rsid w:val="00B51242"/>
    <w:rsid w:val="00B566C7"/>
    <w:rsid w:val="00B745D8"/>
    <w:rsid w:val="00B9688F"/>
    <w:rsid w:val="00BA2DD2"/>
    <w:rsid w:val="00BA4540"/>
    <w:rsid w:val="00BB53A6"/>
    <w:rsid w:val="00BE06A7"/>
    <w:rsid w:val="00BE234C"/>
    <w:rsid w:val="00BE2600"/>
    <w:rsid w:val="00BE4139"/>
    <w:rsid w:val="00BE5B70"/>
    <w:rsid w:val="00C035A1"/>
    <w:rsid w:val="00C04AAD"/>
    <w:rsid w:val="00C10614"/>
    <w:rsid w:val="00C24958"/>
    <w:rsid w:val="00C341E9"/>
    <w:rsid w:val="00C44386"/>
    <w:rsid w:val="00C4604F"/>
    <w:rsid w:val="00C5335B"/>
    <w:rsid w:val="00C65F88"/>
    <w:rsid w:val="00C724FC"/>
    <w:rsid w:val="00C75F1C"/>
    <w:rsid w:val="00C7627D"/>
    <w:rsid w:val="00C92079"/>
    <w:rsid w:val="00C928AC"/>
    <w:rsid w:val="00C973E8"/>
    <w:rsid w:val="00CC3F17"/>
    <w:rsid w:val="00CC7B54"/>
    <w:rsid w:val="00CD0869"/>
    <w:rsid w:val="00CD3261"/>
    <w:rsid w:val="00CF0B4F"/>
    <w:rsid w:val="00CF2AFF"/>
    <w:rsid w:val="00CF46F1"/>
    <w:rsid w:val="00CF6A8D"/>
    <w:rsid w:val="00D0466C"/>
    <w:rsid w:val="00D14C9D"/>
    <w:rsid w:val="00D23609"/>
    <w:rsid w:val="00D30475"/>
    <w:rsid w:val="00D30496"/>
    <w:rsid w:val="00D353BF"/>
    <w:rsid w:val="00D51EE1"/>
    <w:rsid w:val="00D54046"/>
    <w:rsid w:val="00D7505F"/>
    <w:rsid w:val="00D81991"/>
    <w:rsid w:val="00D8326F"/>
    <w:rsid w:val="00DA0FCB"/>
    <w:rsid w:val="00DA69BC"/>
    <w:rsid w:val="00DC2D47"/>
    <w:rsid w:val="00DD2394"/>
    <w:rsid w:val="00DE5D4A"/>
    <w:rsid w:val="00DE7B81"/>
    <w:rsid w:val="00E16FF6"/>
    <w:rsid w:val="00E217AD"/>
    <w:rsid w:val="00E43DB2"/>
    <w:rsid w:val="00E57102"/>
    <w:rsid w:val="00E639CC"/>
    <w:rsid w:val="00E70DD6"/>
    <w:rsid w:val="00E70FB1"/>
    <w:rsid w:val="00E721C4"/>
    <w:rsid w:val="00E876FD"/>
    <w:rsid w:val="00EA5D4F"/>
    <w:rsid w:val="00EB6079"/>
    <w:rsid w:val="00ED7977"/>
    <w:rsid w:val="00EE5DDF"/>
    <w:rsid w:val="00EF71F7"/>
    <w:rsid w:val="00F064FB"/>
    <w:rsid w:val="00F12361"/>
    <w:rsid w:val="00F14377"/>
    <w:rsid w:val="00F24C66"/>
    <w:rsid w:val="00F27F42"/>
    <w:rsid w:val="00F372C1"/>
    <w:rsid w:val="00F40810"/>
    <w:rsid w:val="00F4231E"/>
    <w:rsid w:val="00F50D05"/>
    <w:rsid w:val="00F63CB9"/>
    <w:rsid w:val="00F65BF3"/>
    <w:rsid w:val="00F76E55"/>
    <w:rsid w:val="00F811AF"/>
    <w:rsid w:val="00F819BE"/>
    <w:rsid w:val="00F9138F"/>
    <w:rsid w:val="00FB7287"/>
    <w:rsid w:val="00FE6DF2"/>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6E4CCD"/>
    <w:pPr>
      <w:autoSpaceDE w:val="0"/>
      <w:autoSpaceDN w:val="0"/>
      <w:adjustRightInd w:val="0"/>
      <w:spacing w:after="0" w:line="240" w:lineRule="auto"/>
    </w:pPr>
    <w:rPr>
      <w:rFonts w:ascii="Arial" w:hAnsi="Arial" w:cs="Arial"/>
      <w:color w:val="000000"/>
      <w:sz w:val="24"/>
      <w:szCs w:val="24"/>
    </w:rPr>
  </w:style>
  <w:style w:type="character" w:styleId="Pripombasklic">
    <w:name w:val="annotation reference"/>
    <w:basedOn w:val="Privzetapisavaodstavka"/>
    <w:uiPriority w:val="99"/>
    <w:semiHidden/>
    <w:unhideWhenUsed/>
    <w:rsid w:val="00F064FB"/>
    <w:rPr>
      <w:sz w:val="16"/>
      <w:szCs w:val="16"/>
    </w:rPr>
  </w:style>
  <w:style w:type="paragraph" w:styleId="Pripombabesedilo">
    <w:name w:val="annotation text"/>
    <w:basedOn w:val="Navaden"/>
    <w:link w:val="PripombabesediloZnak"/>
    <w:uiPriority w:val="99"/>
    <w:unhideWhenUsed/>
    <w:rsid w:val="00F064FB"/>
    <w:pPr>
      <w:spacing w:line="240" w:lineRule="auto"/>
    </w:pPr>
  </w:style>
  <w:style w:type="character" w:customStyle="1" w:styleId="PripombabesediloZnak">
    <w:name w:val="Pripomba – besedilo Znak"/>
    <w:basedOn w:val="Privzetapisavaodstavka"/>
    <w:link w:val="Pripombabesedilo"/>
    <w:uiPriority w:val="99"/>
    <w:rsid w:val="00F064FB"/>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64FB"/>
    <w:rPr>
      <w:b/>
    </w:rPr>
  </w:style>
  <w:style w:type="character" w:customStyle="1" w:styleId="ZadevapripombeZnak">
    <w:name w:val="Zadeva pripombe Znak"/>
    <w:basedOn w:val="PripombabesediloZnak"/>
    <w:link w:val="Zadevapripombe"/>
    <w:uiPriority w:val="99"/>
    <w:semiHidden/>
    <w:rsid w:val="00F064FB"/>
    <w:rPr>
      <w:rFonts w:ascii="Verdana" w:eastAsia="Times New Roman" w:hAnsi="Verdana" w:cs="Arial"/>
      <w:b/>
      <w:bCs/>
      <w:noProof/>
      <w:sz w:val="20"/>
      <w:szCs w:val="20"/>
      <w:lang w:eastAsia="sl-SI"/>
    </w:rPr>
  </w:style>
  <w:style w:type="paragraph" w:styleId="Revizija">
    <w:name w:val="Revision"/>
    <w:hidden/>
    <w:uiPriority w:val="99"/>
    <w:semiHidden/>
    <w:rsid w:val="007F5259"/>
    <w:pPr>
      <w:spacing w:after="0" w:line="240" w:lineRule="auto"/>
    </w:pPr>
    <w:rPr>
      <w:rFonts w:ascii="Verdana" w:eastAsia="Times New Roman" w:hAnsi="Verdana" w:cs="Arial"/>
      <w:bCs/>
      <w:noProof/>
      <w:sz w:val="20"/>
      <w:szCs w:val="20"/>
      <w:lang w:eastAsia="sl-SI"/>
    </w:rPr>
  </w:style>
  <w:style w:type="character" w:styleId="SledenaHiperpovezava">
    <w:name w:val="FollowedHyperlink"/>
    <w:basedOn w:val="Privzetapisavaodstavka"/>
    <w:uiPriority w:val="99"/>
    <w:semiHidden/>
    <w:unhideWhenUsed/>
    <w:rsid w:val="00B56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2025-07-11T10:52:37+00:00</Veljaod_x003a_>
    <Veljado xmlns="971fd287-4551-411b-a694-38c9be1b8a3f" xsi:nil="true"/>
    <TaxCatchAll xmlns="151e2135-251a-4a54-bb3f-b4383bb78d32" xsi:nil="true"/>
    <Datumobjave xmlns="971fd287-4551-411b-a694-38c9be1b8a3f">2025-07-11T10:52:37+00:00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C3D4F-2013-416F-AA41-EBB7B0E53758}">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836AD5-CCE6-41DB-8EB7-B7D8B4870D92}">
  <ds:schemaRefs>
    <ds:schemaRef ds:uri="http://schemas.microsoft.com/sharepoint/v3/contenttype/forms"/>
  </ds:schemaRefs>
</ds:datastoreItem>
</file>

<file path=customXml/itemProps3.xml><?xml version="1.0" encoding="utf-8"?>
<ds:datastoreItem xmlns:ds="http://schemas.openxmlformats.org/officeDocument/2006/customXml" ds:itemID="{FCA1F897-5817-45E7-B037-509837EAD58E}">
  <ds:schemaRefs>
    <ds:schemaRef ds:uri="http://schemas.openxmlformats.org/officeDocument/2006/bibliography"/>
  </ds:schemaRefs>
</ds:datastoreItem>
</file>

<file path=customXml/itemProps4.xml><?xml version="1.0" encoding="utf-8"?>
<ds:datastoreItem xmlns:ds="http://schemas.openxmlformats.org/officeDocument/2006/customXml" ds:itemID="{E1564A29-A00E-4D1D-B982-542F7441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1572</Words>
  <Characters>8967</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10</cp:revision>
  <cp:lastPrinted>2025-02-19T07:16:00Z</cp:lastPrinted>
  <dcterms:created xsi:type="dcterms:W3CDTF">2026-01-12T07:45:00Z</dcterms:created>
  <dcterms:modified xsi:type="dcterms:W3CDTF">2026-01-15T11:31:00Z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