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7309772" w:rsidR="0066085E" w:rsidRDefault="00DD228B"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4C084DB8">
                <wp:simplePos x="0" y="0"/>
                <wp:positionH relativeFrom="column">
                  <wp:posOffset>4799330</wp:posOffset>
                </wp:positionH>
                <wp:positionV relativeFrom="paragraph">
                  <wp:posOffset>15240</wp:posOffset>
                </wp:positionV>
                <wp:extent cx="861060" cy="622300"/>
                <wp:effectExtent l="0" t="0" r="0" b="6350"/>
                <wp:wrapTight wrapText="bothSides">
                  <wp:wrapPolygon edited="0">
                    <wp:start x="0" y="0"/>
                    <wp:lineTo x="0" y="21159"/>
                    <wp:lineTo x="21027" y="21159"/>
                    <wp:lineTo x="2102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622300"/>
                        </a:xfrm>
                        <a:prstGeom prst="rect">
                          <a:avLst/>
                        </a:prstGeom>
                        <a:solidFill>
                          <a:srgbClr val="FFFFFF"/>
                        </a:solidFill>
                        <a:ln w="9525">
                          <a:noFill/>
                          <a:miter lim="800000"/>
                          <a:headEnd/>
                          <a:tailEnd/>
                        </a:ln>
                      </wps:spPr>
                      <wps:txbx>
                        <w:txbxContent>
                          <w:p w14:paraId="79C32D9A" w14:textId="58F8B0F7" w:rsidR="00445A64" w:rsidRPr="000E5815" w:rsidRDefault="003637A0" w:rsidP="00445A64">
                            <w:pPr>
                              <w:pStyle w:val="tevilka"/>
                              <w:rPr>
                                <w:sz w:val="80"/>
                                <w:szCs w:val="80"/>
                              </w:rPr>
                            </w:pPr>
                            <w:r>
                              <w:rPr>
                                <w:sz w:val="80"/>
                                <w:szCs w:val="8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1.2pt;width:67.8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" stroked="f">
                <v:textbox>
                  <w:txbxContent>
                    <w:p w14:paraId="79C32D9A" w14:textId="58F8B0F7" w:rsidR="00445A64" w:rsidRPr="000E5815" w:rsidRDefault="003637A0" w:rsidP="00445A64">
                      <w:pPr>
                        <w:pStyle w:val="tevilka"/>
                        <w:rPr>
                          <w:sz w:val="80"/>
                          <w:szCs w:val="80"/>
                        </w:rPr>
                      </w:pPr>
                      <w:r>
                        <w:rPr>
                          <w:sz w:val="80"/>
                          <w:szCs w:val="80"/>
                        </w:rPr>
                        <w:t>11</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684204B2">
                <wp:simplePos x="0" y="0"/>
                <wp:positionH relativeFrom="page">
                  <wp:posOffset>5623560</wp:posOffset>
                </wp:positionH>
                <wp:positionV relativeFrom="page">
                  <wp:posOffset>1082040</wp:posOffset>
                </wp:positionV>
                <wp:extent cx="1021080" cy="914400"/>
                <wp:effectExtent l="0" t="0" r="2667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108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36B82" id="Pravokotnik 18" o:spid="_x0000_s1026" alt="&quot;&quot;" style="position:absolute;margin-left:442.8pt;margin-top:85.2pt;width:80.4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364D1A04" w14:textId="59DCBA3F" w:rsidR="00657FFB" w:rsidRDefault="0066085E" w:rsidP="003637A0">
      <w:pPr>
        <w:pStyle w:val="stevilkadokumenta"/>
        <w:spacing w:after="0"/>
        <w:rPr>
          <w:rStyle w:val="ZvezaZnak"/>
          <w:bCs/>
          <w:sz w:val="20"/>
          <w:u w:val="none"/>
        </w:rPr>
      </w:pPr>
      <w:r w:rsidRPr="00BE5B70">
        <w:rPr>
          <w:rStyle w:val="ZvezaZnak"/>
          <w:bCs/>
          <w:sz w:val="20"/>
          <w:u w:val="none"/>
        </w:rPr>
        <w:t xml:space="preserve">Številka: </w:t>
      </w:r>
      <w:r w:rsidR="00151C68">
        <w:rPr>
          <w:rStyle w:val="ZvezaZnak"/>
          <w:bCs/>
          <w:sz w:val="20"/>
          <w:u w:val="none"/>
        </w:rPr>
        <w:t>007-21/2012-46</w:t>
      </w:r>
    </w:p>
    <w:p w14:paraId="5B6C62D8" w14:textId="146EA4F1" w:rsidR="0066085E" w:rsidRDefault="0066085E" w:rsidP="00BE5B70">
      <w:pPr>
        <w:pStyle w:val="stevilkadokumenta"/>
      </w:pPr>
      <w:r w:rsidRPr="00BE5B70">
        <w:t xml:space="preserve">Nova Gorica, dne </w:t>
      </w:r>
      <w:r w:rsidR="00151C68">
        <w:t>15.</w:t>
      </w:r>
      <w:r w:rsidR="003637A0">
        <w:t xml:space="preserve"> januarja </w:t>
      </w:r>
      <w:r w:rsidR="00151C68">
        <w:t>2026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23D93FDF" w:rsidR="0066085E" w:rsidRDefault="0066085E" w:rsidP="009B227A">
      <w:pPr>
        <w:pStyle w:val="Naslov1"/>
        <w:spacing w:before="240" w:after="240"/>
        <w:ind w:left="4395" w:hanging="3686"/>
      </w:pPr>
      <w:r w:rsidRPr="00A9136F">
        <w:rPr>
          <w:sz w:val="20"/>
          <w:szCs w:val="20"/>
        </w:rPr>
        <w:t>NASLOV:</w:t>
      </w:r>
      <w:r>
        <w:tab/>
      </w:r>
      <w:bookmarkStart w:id="0" w:name="_Hlk219367806"/>
      <w:sdt>
        <w:sdtPr>
          <w:id w:val="691111184"/>
          <w:placeholder>
            <w:docPart w:val="DefaultPlaceholder_-1854013440"/>
          </w:placeholder>
        </w:sdtPr>
        <w:sdtEndPr>
          <w:rPr>
            <w:rStyle w:val="gradivoZnak"/>
            <w:rFonts w:cs="Arial"/>
            <w:bCs w:val="0"/>
            <w:sz w:val="20"/>
            <w:szCs w:val="20"/>
          </w:rPr>
        </w:sdtEndPr>
        <w:sdtContent>
          <w:r w:rsidR="00657FFB" w:rsidRPr="00657FFB">
            <w:rPr>
              <w:rStyle w:val="gradivoZnak"/>
              <w:rFonts w:eastAsiaTheme="majorEastAsia"/>
            </w:rPr>
            <w:t xml:space="preserve">Predlog Sklepa </w:t>
          </w:r>
          <w:r w:rsidR="00D228BC">
            <w:rPr>
              <w:rStyle w:val="gradivoZnak"/>
              <w:rFonts w:eastAsiaTheme="majorEastAsia"/>
            </w:rPr>
            <w:t>v zv</w:t>
          </w:r>
          <w:r w:rsidR="00AA4E42">
            <w:rPr>
              <w:rStyle w:val="gradivoZnak"/>
              <w:rFonts w:eastAsiaTheme="majorEastAsia"/>
            </w:rPr>
            <w:t xml:space="preserve">ezi z </w:t>
          </w:r>
          <w:r w:rsidR="00D228BC" w:rsidRPr="00D228BC">
            <w:rPr>
              <w:rStyle w:val="gradivoZnak"/>
              <w:rFonts w:eastAsiaTheme="majorEastAsia"/>
            </w:rPr>
            <w:t>določitvi</w:t>
          </w:r>
          <w:r w:rsidR="00AA4E42">
            <w:rPr>
              <w:rStyle w:val="gradivoZnak"/>
              <w:rFonts w:eastAsiaTheme="majorEastAsia"/>
            </w:rPr>
            <w:t>jo</w:t>
          </w:r>
          <w:r w:rsidR="00D228BC" w:rsidRPr="00D228BC">
            <w:rPr>
              <w:rStyle w:val="gradivoZnak"/>
              <w:rFonts w:eastAsiaTheme="majorEastAsia"/>
            </w:rPr>
            <w:t xml:space="preserve"> mnogokratnika za izračun osnovne plače direktorja KENOG d.o.o.</w:t>
          </w:r>
        </w:sdtContent>
      </w:sdt>
      <w:bookmarkEnd w:id="0"/>
    </w:p>
    <w:p w14:paraId="4EB48263" w14:textId="26EFBBDC"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41F57">
        <w:rPr>
          <w:rStyle w:val="gradivoZnak"/>
        </w:rPr>
        <w:t>Oddelek za gospodarstvo in gospodarske javne službe</w:t>
      </w:r>
    </w:p>
    <w:p w14:paraId="2589E91B" w14:textId="23517936" w:rsidR="0066085E" w:rsidRDefault="0066085E" w:rsidP="00FB7287">
      <w:pPr>
        <w:ind w:left="4395" w:hanging="3686"/>
      </w:pPr>
      <w:r w:rsidRPr="00FB7287">
        <w:rPr>
          <w:b/>
          <w:bCs w:val="0"/>
        </w:rPr>
        <w:t>IZDELOVALEC GRADIVA:</w:t>
      </w:r>
      <w:r w:rsidR="00FB7287">
        <w:tab/>
      </w:r>
      <w:sdt>
        <w:sdtPr>
          <w:id w:val="1034000489"/>
          <w:placeholder>
            <w:docPart w:val="DefaultPlaceholder_-1854013440"/>
          </w:placeholder>
        </w:sdtPr>
        <w:sdtContent>
          <w:r w:rsidR="00E27999">
            <w:t>/</w:t>
          </w:r>
        </w:sdtContent>
      </w:sdt>
    </w:p>
    <w:p w14:paraId="11F58982" w14:textId="189629E5"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Content>
          <w:r w:rsidR="00FE6F7F">
            <w:t xml:space="preserve">Martina Remec Pečenko, vodja Oddelka za gospodarstvo in </w:t>
          </w:r>
          <w:r w:rsidR="00B427D6">
            <w:t>gospodarske javne službe</w:t>
          </w:r>
        </w:sdtContent>
      </w:sdt>
    </w:p>
    <w:p w14:paraId="3B27F7A7" w14:textId="773E42DD" w:rsidR="002D546A" w:rsidRDefault="0066085E" w:rsidP="002D546A">
      <w:pPr>
        <w:ind w:left="4395" w:hanging="3686"/>
      </w:pPr>
      <w:r w:rsidRPr="00FB7287">
        <w:rPr>
          <w:b/>
          <w:bCs w:val="0"/>
        </w:rPr>
        <w:t xml:space="preserve">PRISTOJNO DELOVNO </w:t>
      </w:r>
      <w:r w:rsidR="002D546A">
        <w:rPr>
          <w:b/>
          <w:bCs w:val="0"/>
        </w:rPr>
        <w:t>TELO</w:t>
      </w:r>
      <w:r>
        <w:t xml:space="preserve">: </w:t>
      </w:r>
      <w:r>
        <w:tab/>
      </w:r>
      <w:r w:rsidR="00CE6304">
        <w:t>Odbor za gospodarstvo</w:t>
      </w:r>
      <w:r w:rsidR="00623022">
        <w:t xml:space="preserve"> </w:t>
      </w:r>
      <w:r w:rsidR="00623022" w:rsidRPr="00AB58E7">
        <w:t>in Odbor za prostor</w:t>
      </w:r>
    </w:p>
    <w:p w14:paraId="4C9319DA" w14:textId="558808C2" w:rsidR="0066085E" w:rsidRPr="00FB7287" w:rsidRDefault="002D546A" w:rsidP="002D546A">
      <w:pPr>
        <w:ind w:left="4395" w:hanging="3686"/>
        <w:rPr>
          <w:b/>
          <w:bCs w:val="0"/>
        </w:rPr>
      </w:pPr>
      <w:r>
        <w:rPr>
          <w:b/>
          <w:bCs w:val="0"/>
        </w:rPr>
        <w:t>PR</w:t>
      </w:r>
      <w:r w:rsidR="0066085E" w:rsidRPr="00FB7287">
        <w:rPr>
          <w:b/>
          <w:bCs w:val="0"/>
        </w:rPr>
        <w:t xml:space="preserve">EDLOG SKLEPA: </w:t>
      </w:r>
    </w:p>
    <w:p w14:paraId="4AD67041" w14:textId="795C4439" w:rsidR="00FB7287" w:rsidRDefault="00FB7287" w:rsidP="006B1983">
      <w:pPr>
        <w:jc w:val="left"/>
      </w:pPr>
      <w:r w:rsidRPr="0008026B">
        <w:t xml:space="preserve">Mestni svet Mestne občine Nova Gorica sprejme </w:t>
      </w:r>
      <w:bookmarkStart w:id="1" w:name="_Hlk195615944"/>
      <w:r w:rsidR="00657FFB" w:rsidRPr="00657FFB">
        <w:t xml:space="preserve">Sklep </w:t>
      </w:r>
      <w:r w:rsidR="00460FEA" w:rsidRPr="00460FEA">
        <w:t>v zvezi z določitvijo mnogokratnika za izračun osnovne plače direktorja KENOG d.o.o.</w:t>
      </w:r>
      <w:r w:rsidR="00460FEA">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7C1EF43E" w:rsidR="00FB7287" w:rsidRPr="00E639CC" w:rsidRDefault="006B1983" w:rsidP="00C818D4">
            <w:pPr>
              <w:pStyle w:val="Podpisoseba"/>
              <w:spacing w:before="0" w:after="0"/>
              <w:rPr>
                <w:bCs w:val="0"/>
              </w:rPr>
            </w:pPr>
            <w:r>
              <w:t>Ž</w:t>
            </w:r>
            <w:r w:rsidR="00FB7287" w:rsidRPr="00E639CC">
              <w:t>upan</w:t>
            </w:r>
          </w:p>
        </w:tc>
      </w:tr>
      <w:bookmarkEnd w:id="1"/>
    </w:tbl>
    <w:p w14:paraId="44177559" w14:textId="77777777" w:rsidR="00FB7287" w:rsidRPr="00BE5B70" w:rsidRDefault="00FB7287" w:rsidP="00BE5B70">
      <w:pPr>
        <w:rPr>
          <w:rStyle w:val="ZvezaZnak"/>
          <w:bCs/>
          <w:sz w:val="20"/>
          <w:u w:val="none"/>
        </w:rPr>
      </w:pPr>
    </w:p>
    <w:p w14:paraId="7C54DAB0" w14:textId="77777777" w:rsidR="00657FFB" w:rsidRDefault="00657FFB" w:rsidP="00774DD1">
      <w:pPr>
        <w:pStyle w:val="gradivo"/>
      </w:pPr>
    </w:p>
    <w:p w14:paraId="1C6841A1" w14:textId="29494E7D" w:rsidR="0005678C" w:rsidRPr="00774DD1" w:rsidRDefault="0066085E" w:rsidP="00774DD1">
      <w:pPr>
        <w:pStyle w:val="gradivo"/>
      </w:pPr>
      <w:r w:rsidRPr="00774DD1">
        <w:t>Gradivo</w:t>
      </w:r>
      <w:r w:rsidR="00F12361" w:rsidRPr="00774DD1">
        <w:t>:</w:t>
      </w:r>
    </w:p>
    <w:p w14:paraId="0FBB0115" w14:textId="77777777" w:rsidR="00AB58E7" w:rsidRDefault="0066085E" w:rsidP="00774DD1">
      <w:pPr>
        <w:pStyle w:val="gradivo"/>
        <w:numPr>
          <w:ilvl w:val="0"/>
          <w:numId w:val="10"/>
        </w:numPr>
      </w:pPr>
      <w:r w:rsidRPr="00774DD1">
        <w:t>Gradivo</w:t>
      </w:r>
      <w:r w:rsidR="00F12361" w:rsidRPr="00774DD1">
        <w:t xml:space="preserve"> 1: </w:t>
      </w:r>
      <w:r w:rsidRPr="00774DD1">
        <w:t>predlog sklepa</w:t>
      </w:r>
      <w:r w:rsidR="008F30B8">
        <w:t xml:space="preserve"> </w:t>
      </w:r>
    </w:p>
    <w:p w14:paraId="08ABD712" w14:textId="5B4F63F8" w:rsidR="00774DD1" w:rsidRDefault="008F30B8" w:rsidP="00AB58E7">
      <w:pPr>
        <w:pStyle w:val="gradivo"/>
        <w:ind w:left="1069" w:firstLine="347"/>
      </w:pPr>
      <w:r>
        <w:t>z obrazložitvijo</w:t>
      </w: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92839"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6BFAFB96" w14:textId="5E568480" w:rsidR="00BA77CE" w:rsidRPr="00825015" w:rsidRDefault="00BA77CE" w:rsidP="00AB58E7">
      <w:pPr>
        <w:jc w:val="left"/>
      </w:pPr>
      <w:r>
        <w:t>Na podlagi 19</w:t>
      </w:r>
      <w:r w:rsidRPr="00825015">
        <w:t xml:space="preserve">. člena Statuta Mestne občine Nova Gorica (Uradni list RS, št. </w:t>
      </w:r>
      <w:r>
        <w:t>13</w:t>
      </w:r>
      <w:r w:rsidRPr="00825015">
        <w:t>/</w:t>
      </w:r>
      <w:r>
        <w:t>12, 18</w:t>
      </w:r>
      <w:r w:rsidRPr="00825015">
        <w:t>/</w:t>
      </w:r>
      <w:r>
        <w:t>17 in 18/19</w:t>
      </w:r>
      <w:r w:rsidRPr="00825015">
        <w:t>)</w:t>
      </w:r>
      <w:r>
        <w:t xml:space="preserve"> je Mestni svet Mestne občine Nova Gorica na seji</w:t>
      </w:r>
      <w:r w:rsidR="0003540C">
        <w:t xml:space="preserve"> </w:t>
      </w:r>
      <w:r>
        <w:t>dne</w:t>
      </w:r>
      <w:r w:rsidR="0003540C">
        <w:t xml:space="preserve"> ______________</w:t>
      </w:r>
      <w:r>
        <w:t xml:space="preserve"> sprejel naslednji</w:t>
      </w:r>
    </w:p>
    <w:p w14:paraId="0157C1C3" w14:textId="77777777" w:rsidR="00657FFB" w:rsidRPr="00657FFB" w:rsidRDefault="00657FFB" w:rsidP="00657FFB">
      <w:pPr>
        <w:keepNext/>
        <w:keepLines/>
        <w:spacing w:before="480" w:after="480" w:line="320" w:lineRule="exact"/>
        <w:ind w:right="0"/>
        <w:jc w:val="center"/>
        <w:outlineLvl w:val="0"/>
        <w:rPr>
          <w:rFonts w:eastAsiaTheme="majorEastAsia" w:cstheme="majorBidi"/>
          <w:b/>
          <w:color w:val="2F5496" w:themeColor="accent1" w:themeShade="BF"/>
          <w:sz w:val="22"/>
          <w:szCs w:val="28"/>
        </w:rPr>
      </w:pPr>
      <w:r w:rsidRPr="00657FFB">
        <w:rPr>
          <w:rFonts w:eastAsiaTheme="majorEastAsia" w:cstheme="majorBidi"/>
          <w:b/>
          <w:color w:val="2F5496" w:themeColor="accent1" w:themeShade="BF"/>
          <w:sz w:val="22"/>
          <w:szCs w:val="28"/>
        </w:rPr>
        <w:t>SKLEP</w:t>
      </w:r>
    </w:p>
    <w:p w14:paraId="529F06F4" w14:textId="11A85D67" w:rsidR="00467807" w:rsidRDefault="00467807" w:rsidP="00467807">
      <w:pPr>
        <w:ind w:left="708"/>
        <w:jc w:val="center"/>
      </w:pPr>
      <w:r>
        <w:t>1.</w:t>
      </w:r>
    </w:p>
    <w:p w14:paraId="152FA333" w14:textId="69E83746" w:rsidR="00467807" w:rsidRPr="00657FFB" w:rsidRDefault="00467807" w:rsidP="00AB58E7">
      <w:pPr>
        <w:ind w:left="708"/>
        <w:jc w:val="left"/>
      </w:pPr>
      <w:r w:rsidRPr="00657FFB">
        <w:t>Mestni svet Mestne občine Nova Gorica ugotavlja, da Nadzorni svet Javnega podjetja KENOG d.o.o.</w:t>
      </w:r>
      <w:r w:rsidRPr="00413268">
        <w:t xml:space="preserve"> </w:t>
      </w:r>
      <w:r w:rsidRPr="00657FFB">
        <w:t xml:space="preserve">pri določitvi </w:t>
      </w:r>
      <w:r>
        <w:t>mnogokratnika</w:t>
      </w:r>
      <w:r w:rsidRPr="00657FFB">
        <w:t xml:space="preserve"> za izračun osnovne plače direktorja KENOG d.o.o.</w:t>
      </w:r>
      <w:r>
        <w:t xml:space="preserve"> </w:t>
      </w:r>
      <w:r w:rsidRPr="00657FFB">
        <w:t>ni upošteval Uredbe o določitvi najvišjih razmerij za osnovna plačila ter višine spremenljivih prejemkov direktorjev (Uradni list RS, št. 34/10 in 52/11</w:t>
      </w:r>
      <w:r>
        <w:t>; v nadaljevanju Uredba</w:t>
      </w:r>
      <w:r w:rsidRPr="00657FFB">
        <w:t xml:space="preserve">) </w:t>
      </w:r>
      <w:r>
        <w:t>kot tudi ne pojasnil</w:t>
      </w:r>
      <w:r w:rsidRPr="00657FFB">
        <w:t xml:space="preserve"> Ministrstva za gospodarstvo, turizem in šport št. </w:t>
      </w:r>
      <w:r w:rsidRPr="003454DF">
        <w:t>069-1/2024/7 z dne 3.</w:t>
      </w:r>
      <w:r w:rsidR="00B54802">
        <w:t xml:space="preserve"> </w:t>
      </w:r>
      <w:r w:rsidRPr="003454DF">
        <w:t>12.</w:t>
      </w:r>
      <w:r w:rsidR="00B54802">
        <w:t xml:space="preserve"> </w:t>
      </w:r>
      <w:r w:rsidRPr="003454DF">
        <w:t>2024</w:t>
      </w:r>
      <w:r>
        <w:t xml:space="preserve"> </w:t>
      </w:r>
      <w:r w:rsidRPr="00657FFB">
        <w:t>glede uporabe</w:t>
      </w:r>
      <w:r>
        <w:t xml:space="preserve"> določil Uredbe</w:t>
      </w:r>
      <w:r w:rsidRPr="00657FFB">
        <w:t>.</w:t>
      </w:r>
    </w:p>
    <w:p w14:paraId="5F94A76E" w14:textId="77777777" w:rsidR="00467807" w:rsidRPr="00657FFB" w:rsidRDefault="00467807" w:rsidP="00467807">
      <w:pPr>
        <w:ind w:left="708"/>
        <w:jc w:val="center"/>
      </w:pPr>
      <w:r w:rsidRPr="00657FFB">
        <w:t>2.</w:t>
      </w:r>
    </w:p>
    <w:p w14:paraId="3C34EC7B" w14:textId="757A8F27" w:rsidR="00460FEA" w:rsidRDefault="00460FEA" w:rsidP="00B54802">
      <w:pPr>
        <w:ind w:left="708"/>
        <w:jc w:val="left"/>
      </w:pPr>
      <w:r w:rsidRPr="00460FEA">
        <w:t>Nadzorni svet Javnega podjetja KENOG d.o.o. najkasneje do 11.</w:t>
      </w:r>
      <w:r w:rsidR="00B54802">
        <w:t xml:space="preserve"> </w:t>
      </w:r>
      <w:r w:rsidRPr="00460FEA">
        <w:t>2.</w:t>
      </w:r>
      <w:r w:rsidR="00B54802">
        <w:t xml:space="preserve"> </w:t>
      </w:r>
      <w:r w:rsidRPr="00460FEA">
        <w:t>2026 Mestnemu svetu Mestne občine Nova Gorica posreduje pojasnila glede upoštevanja podrobnejšega tolmačenja Ministrstva za gospodarstvo, turizem in šport z dne 8.</w:t>
      </w:r>
      <w:r w:rsidR="00B54802">
        <w:t xml:space="preserve"> </w:t>
      </w:r>
      <w:r w:rsidRPr="00460FEA">
        <w:t>12.</w:t>
      </w:r>
      <w:r w:rsidR="00B54802">
        <w:t xml:space="preserve"> </w:t>
      </w:r>
      <w:r w:rsidRPr="00460FEA">
        <w:t>2025, ki mu ga je občinska uprava posredovala dne 9.</w:t>
      </w:r>
      <w:r w:rsidR="00B54802">
        <w:t xml:space="preserve"> </w:t>
      </w:r>
      <w:r w:rsidRPr="00460FEA">
        <w:t>1.</w:t>
      </w:r>
      <w:r w:rsidR="00B54802">
        <w:t xml:space="preserve"> </w:t>
      </w:r>
      <w:r w:rsidRPr="00460FEA">
        <w:t>2026.</w:t>
      </w:r>
    </w:p>
    <w:p w14:paraId="6F310228" w14:textId="54EDA738" w:rsidR="00657FFB" w:rsidRPr="00657FFB" w:rsidRDefault="00657FFB" w:rsidP="00460FEA">
      <w:pPr>
        <w:ind w:left="708"/>
        <w:jc w:val="center"/>
      </w:pPr>
      <w:r w:rsidRPr="00657FFB">
        <w:t>3.</w:t>
      </w:r>
    </w:p>
    <w:p w14:paraId="462CA447" w14:textId="77777777" w:rsidR="00657FFB" w:rsidRPr="00657FFB" w:rsidRDefault="00657FFB" w:rsidP="00657FFB">
      <w:pPr>
        <w:jc w:val="left"/>
      </w:pPr>
      <w:r w:rsidRPr="00657FFB">
        <w:t xml:space="preserve">Ta sklep velja takoj.                                   </w:t>
      </w:r>
    </w:p>
    <w:p w14:paraId="24BF1741" w14:textId="77777777" w:rsidR="00BA77CE" w:rsidRDefault="00BA77CE" w:rsidP="00BA77CE">
      <w:pPr>
        <w:rPr>
          <w:rFonts w:ascii="Arial" w:hAnsi="Arial"/>
          <w:sz w:val="22"/>
          <w:szCs w:val="22"/>
        </w:rPr>
      </w:pPr>
    </w:p>
    <w:p w14:paraId="2B85B358" w14:textId="5909A925" w:rsidR="00657FFB" w:rsidRDefault="00657FFB" w:rsidP="00D15261">
      <w:pPr>
        <w:spacing w:after="0" w:line="259" w:lineRule="auto"/>
        <w:ind w:right="0"/>
        <w:jc w:val="left"/>
      </w:pPr>
      <w:r w:rsidRPr="00657FFB">
        <w:rPr>
          <w:bCs w:val="0"/>
        </w:rPr>
        <w:t xml:space="preserve">Številka: </w:t>
      </w:r>
      <w:r w:rsidR="00151C68">
        <w:rPr>
          <w:bCs w:val="0"/>
        </w:rPr>
        <w:t>007-21/2012</w:t>
      </w:r>
      <w:r w:rsidRPr="00657FFB">
        <w:rPr>
          <w:bCs w:val="0"/>
        </w:rPr>
        <w:br/>
      </w:r>
      <w:r w:rsidRPr="00657FFB">
        <w:t xml:space="preserve">Nova Gorica, dne </w:t>
      </w:r>
    </w:p>
    <w:p w14:paraId="210EA001" w14:textId="77777777" w:rsidR="00D15261" w:rsidRPr="00657FFB" w:rsidRDefault="00D15261" w:rsidP="00D15261">
      <w:pPr>
        <w:spacing w:after="0" w:line="259" w:lineRule="auto"/>
        <w:ind w:right="0"/>
        <w:jc w:val="left"/>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57FFB" w:rsidRPr="00657FFB" w14:paraId="3E6B2EA2" w14:textId="77777777" w:rsidTr="008D6F7D">
        <w:tc>
          <w:tcPr>
            <w:tcW w:w="3549" w:type="dxa"/>
          </w:tcPr>
          <w:p w14:paraId="433E0C50" w14:textId="77777777" w:rsidR="00657FFB" w:rsidRPr="00657FFB" w:rsidRDefault="00657FFB" w:rsidP="00657FFB">
            <w:pPr>
              <w:spacing w:after="0" w:line="240" w:lineRule="exact"/>
              <w:ind w:left="0" w:right="0"/>
              <w:jc w:val="left"/>
              <w:rPr>
                <w:b/>
                <w:color w:val="FFFFFF" w:themeColor="background1"/>
              </w:rPr>
            </w:pPr>
            <w:r w:rsidRPr="00657FFB">
              <w:rPr>
                <w:b/>
                <w:color w:val="FFFFFF" w:themeColor="background1"/>
              </w:rPr>
              <w:t>Desnik podpisnik</w:t>
            </w:r>
          </w:p>
        </w:tc>
      </w:tr>
      <w:tr w:rsidR="00657FFB" w:rsidRPr="00657FFB" w14:paraId="6C3F7B7A" w14:textId="77777777" w:rsidTr="008D6F7D">
        <w:tc>
          <w:tcPr>
            <w:tcW w:w="3549" w:type="dxa"/>
          </w:tcPr>
          <w:p w14:paraId="30E8C0F6" w14:textId="77777777" w:rsidR="00657FFB" w:rsidRPr="00657FFB" w:rsidRDefault="00657FFB" w:rsidP="00657FFB">
            <w:pPr>
              <w:spacing w:after="0" w:line="240" w:lineRule="exact"/>
              <w:ind w:left="0" w:right="0"/>
              <w:jc w:val="left"/>
              <w:rPr>
                <w:bCs w:val="0"/>
                <w:color w:val="002F87"/>
              </w:rPr>
            </w:pPr>
            <w:r w:rsidRPr="00657FFB">
              <w:rPr>
                <w:b/>
                <w:color w:val="002F87"/>
              </w:rPr>
              <w:t>Samo Turel</w:t>
            </w:r>
          </w:p>
        </w:tc>
      </w:tr>
      <w:tr w:rsidR="00657FFB" w:rsidRPr="00657FFB" w14:paraId="35E3DA55" w14:textId="77777777" w:rsidTr="008D6F7D">
        <w:trPr>
          <w:trHeight w:val="530"/>
        </w:trPr>
        <w:tc>
          <w:tcPr>
            <w:tcW w:w="3549" w:type="dxa"/>
          </w:tcPr>
          <w:p w14:paraId="5A70D68E" w14:textId="4CDFD7AD" w:rsidR="00657FFB" w:rsidRPr="00657FFB" w:rsidRDefault="00D15261" w:rsidP="00657FFB">
            <w:pPr>
              <w:spacing w:after="0" w:line="240" w:lineRule="exact"/>
              <w:ind w:left="0" w:right="0"/>
              <w:jc w:val="left"/>
              <w:rPr>
                <w:bCs w:val="0"/>
                <w:color w:val="002F87"/>
              </w:rPr>
            </w:pPr>
            <w:r>
              <w:rPr>
                <w:color w:val="002F87"/>
              </w:rPr>
              <w:t>Ž</w:t>
            </w:r>
            <w:r w:rsidR="00657FFB" w:rsidRPr="00657FFB">
              <w:rPr>
                <w:color w:val="002F87"/>
              </w:rPr>
              <w:t>upan</w:t>
            </w:r>
          </w:p>
        </w:tc>
      </w:tr>
    </w:tbl>
    <w:p w14:paraId="51EBE9AF" w14:textId="77777777" w:rsidR="00BA77CE" w:rsidRDefault="00BA77CE" w:rsidP="00BA77CE">
      <w:pPr>
        <w:rPr>
          <w:rFonts w:ascii="Arial" w:hAnsi="Arial"/>
          <w:sz w:val="22"/>
          <w:szCs w:val="22"/>
        </w:rPr>
      </w:pPr>
    </w:p>
    <w:p w14:paraId="40C586FB" w14:textId="77777777" w:rsidR="00D15261" w:rsidRDefault="00D15261" w:rsidP="00BA77CE">
      <w:pPr>
        <w:rPr>
          <w:rFonts w:ascii="Arial" w:hAnsi="Arial"/>
          <w:sz w:val="22"/>
          <w:szCs w:val="22"/>
        </w:rPr>
      </w:pPr>
    </w:p>
    <w:p w14:paraId="6270CCF1" w14:textId="77777777" w:rsidR="00BA77CE" w:rsidRDefault="00BA77CE" w:rsidP="00BA77CE">
      <w:pPr>
        <w:rPr>
          <w:rFonts w:ascii="Arial" w:hAnsi="Arial"/>
          <w:color w:val="000000"/>
          <w:sz w:val="22"/>
          <w:szCs w:val="22"/>
        </w:rPr>
      </w:pPr>
    </w:p>
    <w:p w14:paraId="1C7328BF" w14:textId="77777777" w:rsidR="00BA77CE" w:rsidRDefault="00BA77CE" w:rsidP="00BA77CE">
      <w:pPr>
        <w:rPr>
          <w:rFonts w:ascii="Arial" w:hAnsi="Arial"/>
          <w:color w:val="000000"/>
          <w:sz w:val="22"/>
          <w:szCs w:val="22"/>
        </w:rPr>
      </w:pPr>
    </w:p>
    <w:p w14:paraId="08EEF025" w14:textId="77777777" w:rsidR="00BA77CE" w:rsidRDefault="00BA77CE" w:rsidP="00BA77CE">
      <w:pPr>
        <w:rPr>
          <w:rFonts w:ascii="Arial" w:hAnsi="Arial"/>
          <w:color w:val="000000"/>
          <w:sz w:val="22"/>
          <w:szCs w:val="22"/>
        </w:rPr>
      </w:pPr>
    </w:p>
    <w:p w14:paraId="06BE4516" w14:textId="77777777" w:rsidR="00904B2A" w:rsidRDefault="00904B2A" w:rsidP="00352A82">
      <w:pPr>
        <w:sectPr w:rsidR="00904B2A" w:rsidSect="00E217AD">
          <w:pgSz w:w="11906" w:h="16838"/>
          <w:pgMar w:top="1418" w:right="1418" w:bottom="1418" w:left="1418" w:header="1304" w:footer="454" w:gutter="0"/>
          <w:cols w:space="708"/>
          <w:titlePg/>
          <w:docGrid w:linePitch="360"/>
        </w:sectPr>
      </w:pPr>
    </w:p>
    <w:p w14:paraId="5E21157B" w14:textId="5E693BF9" w:rsidR="00731380" w:rsidRDefault="005D3E90" w:rsidP="00731380">
      <w:pPr>
        <w:pStyle w:val="Nazivenote"/>
        <w:rPr>
          <w:b w:val="0"/>
          <w:bCs/>
        </w:rPr>
      </w:pPr>
      <w:r>
        <w:lastRenderedPageBreak/>
        <w:t>Oddelek za gospodarstvo in gospodarske javne službe</w:t>
      </w:r>
      <w:r w:rsidR="00731380">
        <w:br/>
      </w:r>
      <w:r w:rsidR="00731380" w:rsidRPr="008802E3">
        <w:rPr>
          <w:b w:val="0"/>
          <w:bCs/>
        </w:rPr>
        <w:t>Trg Edvarda Kardelja 1, 5000 Nova Gorica</w:t>
      </w:r>
    </w:p>
    <w:p w14:paraId="31D67305" w14:textId="13655F51" w:rsidR="00731380" w:rsidRPr="0066085E" w:rsidRDefault="008B3C6C" w:rsidP="00731380">
      <w:pPr>
        <w:pStyle w:val="Naslov1"/>
      </w:pPr>
      <w:r>
        <w:t>Obrazložitev</w:t>
      </w:r>
    </w:p>
    <w:p w14:paraId="35E833A6" w14:textId="77777777" w:rsidR="00657FFB" w:rsidRDefault="00657FFB" w:rsidP="00657FFB">
      <w:pPr>
        <w:spacing w:after="0" w:line="240" w:lineRule="auto"/>
        <w:ind w:right="0"/>
        <w:jc w:val="left"/>
      </w:pPr>
      <w:r>
        <w:t xml:space="preserve">Mestna občina Nova Gorica kot ustanoviteljica javnega podjetja Komunalna energetika Nova Gorica d.o.o. (v nadaljevanju: </w:t>
      </w:r>
      <w:bookmarkStart w:id="2" w:name="_Hlk219374028"/>
      <w:r>
        <w:t>JP KENOG d.o.o.</w:t>
      </w:r>
      <w:bookmarkEnd w:id="2"/>
      <w:r>
        <w:t>) v okviru svojih ustanoviteljskih pristojnosti skrbi za zakonito in pregledno delovanje javnega podjetja, zlasti pri urejanju pravic in obveznosti poslovodstva v skladu s prisilnimi predpisi, ki urejajo omejitve prejemkov v družbah v javni lasti.</w:t>
      </w:r>
    </w:p>
    <w:p w14:paraId="28122978" w14:textId="77777777" w:rsidR="00657FFB" w:rsidRDefault="00657FFB" w:rsidP="00FB2962">
      <w:pPr>
        <w:spacing w:after="0" w:line="240" w:lineRule="auto"/>
        <w:ind w:right="0"/>
        <w:jc w:val="left"/>
      </w:pPr>
    </w:p>
    <w:p w14:paraId="2F9AAED1" w14:textId="3EC35365" w:rsidR="00C876E0" w:rsidRPr="00786605" w:rsidRDefault="00E376C1" w:rsidP="00C876E0">
      <w:pPr>
        <w:spacing w:after="0" w:line="240" w:lineRule="auto"/>
        <w:ind w:right="0"/>
        <w:jc w:val="left"/>
      </w:pPr>
      <w:r w:rsidRPr="00786605">
        <w:t xml:space="preserve">Ob pripravi Pravilnika o izvajanju ustanoviteljskih pravic v zvezi s prejemki direktorjev in članov nadzornih svetov gospodarskih družb, katerih lastnica oziroma solastnica je Mestna občina Nova Gorica </w:t>
      </w:r>
      <w:r w:rsidR="003664F0" w:rsidRPr="00786605">
        <w:t xml:space="preserve">je bil s strani </w:t>
      </w:r>
      <w:r w:rsidR="00786605" w:rsidRPr="00786605">
        <w:t>JP KENOG d.o.o.</w:t>
      </w:r>
      <w:r w:rsidR="00786605">
        <w:t xml:space="preserve"> </w:t>
      </w:r>
      <w:r w:rsidR="003664F0" w:rsidRPr="00786605">
        <w:t>podan podatek</w:t>
      </w:r>
      <w:r w:rsidRPr="00786605">
        <w:t xml:space="preserve">, da </w:t>
      </w:r>
      <w:r w:rsidR="002C00E7" w:rsidRPr="00786605">
        <w:t xml:space="preserve">je </w:t>
      </w:r>
      <w:r w:rsidR="00D74D7D" w:rsidRPr="00786605">
        <w:t>osnovna plača direktorja</w:t>
      </w:r>
      <w:r w:rsidR="00EA785C" w:rsidRPr="00786605">
        <w:t xml:space="preserve"> </w:t>
      </w:r>
      <w:r w:rsidR="00D74D7D" w:rsidRPr="00786605">
        <w:t>določena z mnogokratnikom 2,65</w:t>
      </w:r>
      <w:r w:rsidR="00936AF8" w:rsidRPr="00786605">
        <w:t>.</w:t>
      </w:r>
      <w:r w:rsidR="00ED1275" w:rsidRPr="00786605">
        <w:t xml:space="preserve"> Občinska uprava je pri pregledu </w:t>
      </w:r>
      <w:r w:rsidR="00C876E0" w:rsidRPr="00786605">
        <w:t xml:space="preserve">Uredbe o določitvi najvišjih razmerij za osnovna plačila ter višine spremenljivih prejemkov direktorjev (Uradni list RS, št. 34/10, 52/11) ugotovila, da bi moral biti mnogokratnik </w:t>
      </w:r>
      <w:r w:rsidR="00003252" w:rsidRPr="00786605">
        <w:t>določen v višini 2 in ne 2,65, zato je za pojasnila zaprosila</w:t>
      </w:r>
      <w:r w:rsidR="00D37600" w:rsidRPr="00786605">
        <w:t xml:space="preserve"> še</w:t>
      </w:r>
      <w:r w:rsidR="00003252" w:rsidRPr="00786605">
        <w:t xml:space="preserve"> pristojno ministrstvo</w:t>
      </w:r>
      <w:r w:rsidR="00B03057" w:rsidRPr="00786605">
        <w:t>, ki je</w:t>
      </w:r>
      <w:r w:rsidR="001C284D" w:rsidRPr="00786605">
        <w:t xml:space="preserve"> s stališčem št. 069-1/2024-7 z dne 3.</w:t>
      </w:r>
      <w:r w:rsidR="0060286D">
        <w:t xml:space="preserve"> </w:t>
      </w:r>
      <w:r w:rsidR="001C284D" w:rsidRPr="00786605">
        <w:t>12.</w:t>
      </w:r>
      <w:r w:rsidR="0060286D">
        <w:t xml:space="preserve"> </w:t>
      </w:r>
      <w:r w:rsidR="001C284D" w:rsidRPr="00786605">
        <w:t>2024</w:t>
      </w:r>
      <w:r w:rsidR="00D37600" w:rsidRPr="00786605">
        <w:t xml:space="preserve"> (Priloga 1)</w:t>
      </w:r>
      <w:r w:rsidR="001C284D" w:rsidRPr="00786605">
        <w:t xml:space="preserve"> </w:t>
      </w:r>
      <w:r w:rsidR="000079D6" w:rsidRPr="00786605">
        <w:t xml:space="preserve">pritrdilo </w:t>
      </w:r>
      <w:r w:rsidR="00A451F7" w:rsidRPr="00786605">
        <w:t xml:space="preserve">mnenju občinske uprave in pojasnilo, da bi moral biti </w:t>
      </w:r>
      <w:r w:rsidR="00786605" w:rsidRPr="00786605">
        <w:t xml:space="preserve">mnogokratnik </w:t>
      </w:r>
      <w:r w:rsidR="00A451F7" w:rsidRPr="00786605">
        <w:t>določen v višini</w:t>
      </w:r>
      <w:r w:rsidR="00D37600" w:rsidRPr="00786605">
        <w:t xml:space="preserve"> 2.</w:t>
      </w:r>
    </w:p>
    <w:p w14:paraId="2D7FC0CD" w14:textId="77777777" w:rsidR="00165966" w:rsidRPr="00165966" w:rsidRDefault="00165966" w:rsidP="00B930D2">
      <w:pPr>
        <w:spacing w:after="0" w:line="240" w:lineRule="auto"/>
        <w:ind w:right="0"/>
        <w:jc w:val="left"/>
        <w:rPr>
          <w:highlight w:val="yellow"/>
        </w:rPr>
      </w:pPr>
    </w:p>
    <w:p w14:paraId="4D595553" w14:textId="0FDA8E83" w:rsidR="00B930D2" w:rsidRPr="00786605" w:rsidRDefault="00B930D2" w:rsidP="00B930D2">
      <w:pPr>
        <w:spacing w:after="0" w:line="240" w:lineRule="auto"/>
        <w:ind w:right="0"/>
        <w:jc w:val="left"/>
      </w:pPr>
      <w:r w:rsidRPr="00786605">
        <w:t xml:space="preserve">Občinska uprava je </w:t>
      </w:r>
      <w:bookmarkStart w:id="3" w:name="_Hlk219303880"/>
      <w:r w:rsidR="00953902" w:rsidRPr="00786605">
        <w:t>z dopisom</w:t>
      </w:r>
      <w:r w:rsidR="00786605" w:rsidRPr="00786605">
        <w:t xml:space="preserve"> št. 007-0021/2012-37</w:t>
      </w:r>
      <w:r w:rsidR="00953902" w:rsidRPr="00786605">
        <w:t xml:space="preserve"> z dne 17.</w:t>
      </w:r>
      <w:r w:rsidR="0060286D">
        <w:t xml:space="preserve"> </w:t>
      </w:r>
      <w:r w:rsidR="00953902" w:rsidRPr="00786605">
        <w:t>12.</w:t>
      </w:r>
      <w:r w:rsidR="0060286D">
        <w:t xml:space="preserve"> </w:t>
      </w:r>
      <w:r w:rsidR="00953902" w:rsidRPr="00786605">
        <w:t>2024</w:t>
      </w:r>
      <w:r w:rsidR="00786605">
        <w:t xml:space="preserve"> (Priloga 2)</w:t>
      </w:r>
      <w:r w:rsidR="00953902" w:rsidRPr="00786605">
        <w:t xml:space="preserve"> </w:t>
      </w:r>
      <w:r w:rsidRPr="00786605">
        <w:t xml:space="preserve">Nadzorni svet </w:t>
      </w:r>
      <w:r w:rsidR="00107100" w:rsidRPr="00786605">
        <w:t xml:space="preserve">JP KENOG d.o.o. </w:t>
      </w:r>
      <w:bookmarkEnd w:id="3"/>
      <w:r w:rsidRPr="00786605">
        <w:t xml:space="preserve">seznanila, da je Mestni svet Mestne občine Nova </w:t>
      </w:r>
      <w:r w:rsidR="00107100" w:rsidRPr="00786605">
        <w:t>G</w:t>
      </w:r>
      <w:r w:rsidRPr="00786605">
        <w:t>orica</w:t>
      </w:r>
      <w:r w:rsidR="00474CE8" w:rsidRPr="00786605">
        <w:t xml:space="preserve"> </w:t>
      </w:r>
      <w:r w:rsidRPr="00786605">
        <w:t>sprejel Pravilnik o izvajanju ustanoviteljskih pravic v zvezi s prejemki direktorjev in članov nadzornih svetov gospodarskih družb, katerih lastnica oziroma solastnica je Mestna občina Nova Gorica (Uradni list RS, št. 94/24</w:t>
      </w:r>
      <w:r w:rsidR="000E3C37" w:rsidRPr="00786605">
        <w:t>; v nadaljevanju: Pravilnik</w:t>
      </w:r>
      <w:r w:rsidRPr="00786605">
        <w:t xml:space="preserve">) ter ga hkrati seznanila tudi </w:t>
      </w:r>
      <w:r w:rsidR="00ED7DB8" w:rsidRPr="00786605">
        <w:t>z razla</w:t>
      </w:r>
      <w:r w:rsidR="00152863" w:rsidRPr="00786605">
        <w:t>go</w:t>
      </w:r>
      <w:r w:rsidRPr="00786605">
        <w:t xml:space="preserve"> Ministrstva za gospodarstvo, turizem in šport, št. 069-1/2024-7 z dne 3.</w:t>
      </w:r>
      <w:r w:rsidR="0060286D">
        <w:t xml:space="preserve"> </w:t>
      </w:r>
      <w:r w:rsidRPr="00786605">
        <w:t>12.</w:t>
      </w:r>
      <w:r w:rsidR="0060286D">
        <w:t xml:space="preserve"> </w:t>
      </w:r>
      <w:r w:rsidRPr="00786605">
        <w:t>2024</w:t>
      </w:r>
      <w:r w:rsidR="00152863" w:rsidRPr="00786605">
        <w:t>,</w:t>
      </w:r>
      <w:r w:rsidRPr="00786605">
        <w:t xml:space="preserve"> v zvezi z uporabo Uredbe o določitvi najvišjih razmerij za osnovna plačila ter višine spremenljivih prejemkov direktorjev (Uradni list RS, št. 34/10, 52/11). </w:t>
      </w:r>
    </w:p>
    <w:p w14:paraId="5077C18A" w14:textId="77777777" w:rsidR="00B930D2" w:rsidRPr="00ED7DB8" w:rsidRDefault="00B930D2" w:rsidP="00B930D2">
      <w:pPr>
        <w:spacing w:after="0" w:line="240" w:lineRule="auto"/>
        <w:ind w:right="0"/>
        <w:jc w:val="left"/>
        <w:rPr>
          <w:highlight w:val="yellow"/>
        </w:rPr>
      </w:pPr>
    </w:p>
    <w:p w14:paraId="772B38B4" w14:textId="052E9692" w:rsidR="00B930D2" w:rsidRPr="00786605" w:rsidRDefault="00152863" w:rsidP="00B930D2">
      <w:pPr>
        <w:spacing w:after="0" w:line="240" w:lineRule="auto"/>
        <w:ind w:right="0"/>
        <w:jc w:val="left"/>
      </w:pPr>
      <w:r w:rsidRPr="00786605">
        <w:t xml:space="preserve">Nadzorni svet JP KENOG d.o.o. </w:t>
      </w:r>
      <w:r w:rsidR="00B930D2" w:rsidRPr="00786605">
        <w:t>je</w:t>
      </w:r>
      <w:r w:rsidR="004C5C00" w:rsidRPr="00786605">
        <w:t xml:space="preserve"> nato</w:t>
      </w:r>
      <w:r w:rsidR="00B930D2" w:rsidRPr="00786605">
        <w:t xml:space="preserve"> občinsko upravo z dopisom z dne 15.</w:t>
      </w:r>
      <w:r w:rsidR="0060286D">
        <w:t xml:space="preserve"> </w:t>
      </w:r>
      <w:r w:rsidR="00B930D2" w:rsidRPr="00786605">
        <w:t>2.</w:t>
      </w:r>
      <w:r w:rsidR="0060286D">
        <w:t xml:space="preserve"> </w:t>
      </w:r>
      <w:r w:rsidR="00B930D2" w:rsidRPr="00786605">
        <w:t xml:space="preserve">2025 obvestil, da je na izredni seji sprejel sklep o implementaciji Pravilnika, glede </w:t>
      </w:r>
      <w:r w:rsidR="000E3C37" w:rsidRPr="00786605">
        <w:t>stališča</w:t>
      </w:r>
      <w:r w:rsidR="00B930D2" w:rsidRPr="00786605">
        <w:t xml:space="preserve"> ministrstva pa se ni izrekel</w:t>
      </w:r>
      <w:r w:rsidR="00786605">
        <w:t xml:space="preserve"> </w:t>
      </w:r>
      <w:r w:rsidR="00460FEA" w:rsidRPr="00786605">
        <w:t>(Priloga</w:t>
      </w:r>
      <w:r w:rsidR="00786605" w:rsidRPr="00786605">
        <w:t xml:space="preserve"> 3</w:t>
      </w:r>
      <w:r w:rsidR="00460FEA" w:rsidRPr="00786605">
        <w:t>)</w:t>
      </w:r>
      <w:r w:rsidR="00786605">
        <w:t>.</w:t>
      </w:r>
    </w:p>
    <w:p w14:paraId="502B37BE" w14:textId="77777777" w:rsidR="00B930D2" w:rsidRPr="00786605" w:rsidRDefault="00B930D2" w:rsidP="00B930D2">
      <w:pPr>
        <w:spacing w:after="0" w:line="240" w:lineRule="auto"/>
        <w:ind w:right="0"/>
        <w:jc w:val="left"/>
      </w:pPr>
    </w:p>
    <w:p w14:paraId="250652A9" w14:textId="14E3E2AB" w:rsidR="00B930D2" w:rsidRPr="00166C3A" w:rsidRDefault="007702A2" w:rsidP="0056748E">
      <w:pPr>
        <w:spacing w:after="0" w:line="240" w:lineRule="auto"/>
        <w:ind w:right="0"/>
        <w:jc w:val="left"/>
        <w:rPr>
          <w:color w:val="EE0000"/>
        </w:rPr>
      </w:pPr>
      <w:r w:rsidRPr="00166C3A">
        <w:t>V zvezi z razpravo</w:t>
      </w:r>
      <w:r w:rsidR="0056748E" w:rsidRPr="00166C3A">
        <w:t>,</w:t>
      </w:r>
      <w:r w:rsidRPr="00166C3A">
        <w:t xml:space="preserve"> ki je potekala na</w:t>
      </w:r>
      <w:r w:rsidR="00786605" w:rsidRPr="00166C3A">
        <w:t xml:space="preserve"> 28.</w:t>
      </w:r>
      <w:r w:rsidR="00B930D2" w:rsidRPr="00166C3A">
        <w:t xml:space="preserve"> seji </w:t>
      </w:r>
      <w:r w:rsidR="00107100" w:rsidRPr="00166C3A">
        <w:t>Mestnega sveta Mestne občine Nova Gorica</w:t>
      </w:r>
      <w:r w:rsidR="0056748E" w:rsidRPr="00166C3A">
        <w:t>,</w:t>
      </w:r>
      <w:r w:rsidR="00B930D2" w:rsidRPr="00166C3A">
        <w:t xml:space="preserve"> dne 11.</w:t>
      </w:r>
      <w:r w:rsidR="00F50C3C">
        <w:t xml:space="preserve"> </w:t>
      </w:r>
      <w:r w:rsidR="00B930D2" w:rsidRPr="00166C3A">
        <w:t>9.</w:t>
      </w:r>
      <w:r w:rsidR="00F50C3C">
        <w:t xml:space="preserve"> </w:t>
      </w:r>
      <w:r w:rsidR="00107100" w:rsidRPr="00166C3A">
        <w:t>20</w:t>
      </w:r>
      <w:r w:rsidR="00B930D2" w:rsidRPr="00166C3A">
        <w:t>25</w:t>
      </w:r>
      <w:r w:rsidR="0056748E" w:rsidRPr="00166C3A">
        <w:t>,</w:t>
      </w:r>
      <w:r w:rsidR="00B930D2" w:rsidRPr="00166C3A">
        <w:t xml:space="preserve"> </w:t>
      </w:r>
      <w:r w:rsidRPr="00166C3A">
        <w:t>je bilo Nadzornemu svetu JP KENOG d.o.o.</w:t>
      </w:r>
      <w:r w:rsidR="0056748E" w:rsidRPr="00166C3A">
        <w:t>,</w:t>
      </w:r>
      <w:r w:rsidRPr="00166C3A">
        <w:t xml:space="preserve"> dne 14.</w:t>
      </w:r>
      <w:r w:rsidR="00F50C3C">
        <w:t xml:space="preserve"> </w:t>
      </w:r>
      <w:r w:rsidRPr="00166C3A">
        <w:t>10.</w:t>
      </w:r>
      <w:r w:rsidR="00F50C3C">
        <w:t xml:space="preserve"> </w:t>
      </w:r>
      <w:r w:rsidRPr="00166C3A">
        <w:t>2025</w:t>
      </w:r>
      <w:r w:rsidR="0056748E" w:rsidRPr="00166C3A">
        <w:t>,</w:t>
      </w:r>
      <w:r w:rsidRPr="00166C3A">
        <w:t xml:space="preserve"> posredovano elektronsko</w:t>
      </w:r>
      <w:r w:rsidR="0056748E" w:rsidRPr="00166C3A">
        <w:t xml:space="preserve"> sporočilo</w:t>
      </w:r>
      <w:r w:rsidRPr="00166C3A">
        <w:t xml:space="preserve"> </w:t>
      </w:r>
      <w:r w:rsidR="00B930D2" w:rsidRPr="00166C3A">
        <w:t xml:space="preserve">glede odziva na </w:t>
      </w:r>
      <w:r w:rsidRPr="00166C3A">
        <w:t xml:space="preserve">prejeto </w:t>
      </w:r>
      <w:r w:rsidR="00B930D2" w:rsidRPr="00166C3A">
        <w:t xml:space="preserve">tolmačenje ministrstva </w:t>
      </w:r>
      <w:r w:rsidR="0056748E" w:rsidRPr="00166C3A">
        <w:t>v zvezi z</w:t>
      </w:r>
      <w:r w:rsidR="00B930D2" w:rsidRPr="00166C3A">
        <w:t xml:space="preserve"> višin</w:t>
      </w:r>
      <w:r w:rsidR="0056748E" w:rsidRPr="00166C3A">
        <w:t>o</w:t>
      </w:r>
      <w:r w:rsidR="00B930D2" w:rsidRPr="00166C3A">
        <w:t xml:space="preserve"> prejemkov direktorja družbe ter morebitne ukrepe, ki jih je </w:t>
      </w:r>
      <w:r w:rsidR="00107100" w:rsidRPr="00166C3A">
        <w:t xml:space="preserve">Nadzorni svet </w:t>
      </w:r>
      <w:r w:rsidR="00B930D2" w:rsidRPr="00166C3A">
        <w:t>v zvezi s tem sprejel</w:t>
      </w:r>
      <w:r w:rsidR="0056748E" w:rsidRPr="00166C3A">
        <w:t>. S</w:t>
      </w:r>
      <w:r w:rsidR="00B930D2" w:rsidRPr="00166C3A">
        <w:t xml:space="preserve"> strani </w:t>
      </w:r>
      <w:r w:rsidR="00107100" w:rsidRPr="00166C3A">
        <w:t>Nadzornega sveta</w:t>
      </w:r>
      <w:r w:rsidR="00B930D2" w:rsidRPr="00166C3A">
        <w:t xml:space="preserve"> </w:t>
      </w:r>
      <w:r w:rsidR="0056748E" w:rsidRPr="00166C3A">
        <w:t>JP KENOG d.o.o. je bil dne 12.</w:t>
      </w:r>
      <w:r w:rsidR="00F50C3C">
        <w:t xml:space="preserve"> </w:t>
      </w:r>
      <w:r w:rsidR="0056748E" w:rsidRPr="00166C3A">
        <w:t>11.</w:t>
      </w:r>
      <w:r w:rsidR="00F50C3C">
        <w:t xml:space="preserve"> </w:t>
      </w:r>
      <w:r w:rsidR="0056748E" w:rsidRPr="00166C3A">
        <w:t xml:space="preserve">2025 </w:t>
      </w:r>
      <w:r w:rsidR="00B930D2" w:rsidRPr="00166C3A">
        <w:t>podan odgovor</w:t>
      </w:r>
      <w:r w:rsidR="0056748E" w:rsidRPr="00166C3A">
        <w:t xml:space="preserve"> (Priloga 4)</w:t>
      </w:r>
      <w:r w:rsidR="00B930D2" w:rsidRPr="00166C3A">
        <w:t xml:space="preserve">, da je </w:t>
      </w:r>
      <w:r w:rsidR="00107100" w:rsidRPr="00166C3A">
        <w:t>Nadzorni svet</w:t>
      </w:r>
      <w:r w:rsidR="00B930D2" w:rsidRPr="00166C3A">
        <w:t xml:space="preserve"> pridobil pravno mnenje</w:t>
      </w:r>
      <w:r w:rsidR="003664F0" w:rsidRPr="00166C3A">
        <w:t xml:space="preserve"> Odvetniške pisarne Mužina, Žvipelj in partnerji d.o.o.</w:t>
      </w:r>
      <w:r w:rsidR="0056748E" w:rsidRPr="00166C3A">
        <w:t>, iz katerega izhaja, da d</w:t>
      </w:r>
      <w:r w:rsidR="003664F0" w:rsidRPr="00166C3A">
        <w:t>ružba KENOG</w:t>
      </w:r>
      <w:r w:rsidR="00166C3A" w:rsidRPr="00166C3A">
        <w:t>, ki</w:t>
      </w:r>
      <w:r w:rsidR="003664F0" w:rsidRPr="00166C3A">
        <w:t xml:space="preserve"> sodi med t.i. majhn</w:t>
      </w:r>
      <w:r w:rsidR="00166C3A" w:rsidRPr="00166C3A">
        <w:t>e</w:t>
      </w:r>
      <w:r w:rsidR="003664F0" w:rsidRPr="00166C3A">
        <w:t xml:space="preserve"> družb</w:t>
      </w:r>
      <w:r w:rsidR="00166C3A" w:rsidRPr="00166C3A">
        <w:t>e</w:t>
      </w:r>
      <w:r w:rsidR="003664F0" w:rsidRPr="00166C3A">
        <w:t xml:space="preserve">, </w:t>
      </w:r>
      <w:r w:rsidR="00166C3A" w:rsidRPr="00166C3A">
        <w:t xml:space="preserve">po njihovi oceni </w:t>
      </w:r>
      <w:r w:rsidR="003664F0" w:rsidRPr="00166C3A">
        <w:t>ni ravnala nepravilno, ko je direktorju določila osnovno plačo z mnogokratnikom 2,65, saj so bili za to izpolnjeni pogoji iz Uredbe, obenem pa pogoji za uporabo izjeme iz tretjega odstavka 2. člena Uredbe niso bili nedvoumno podani</w:t>
      </w:r>
      <w:r w:rsidR="0056748E" w:rsidRPr="00166C3A">
        <w:t xml:space="preserve"> ter da</w:t>
      </w:r>
      <w:r w:rsidR="003664F0" w:rsidRPr="00166C3A">
        <w:t xml:space="preserve"> Nadzorni svet pri določitvi osnovne plače direktorja ni ravnal nezakonito (protipravno).</w:t>
      </w:r>
    </w:p>
    <w:p w14:paraId="7E9DE0AD" w14:textId="77777777" w:rsidR="00B930D2" w:rsidRDefault="00B930D2" w:rsidP="00B930D2">
      <w:pPr>
        <w:spacing w:after="0" w:line="240" w:lineRule="auto"/>
        <w:ind w:right="0"/>
        <w:jc w:val="left"/>
      </w:pPr>
    </w:p>
    <w:p w14:paraId="45EBE0B1" w14:textId="1902C6B3" w:rsidR="00657FFB" w:rsidRDefault="00657FFB" w:rsidP="00657FFB">
      <w:pPr>
        <w:spacing w:after="0" w:line="240" w:lineRule="auto"/>
        <w:ind w:left="720" w:right="0"/>
        <w:jc w:val="left"/>
      </w:pPr>
      <w:r>
        <w:t xml:space="preserve">Uredba je prisilni predpis, ki ureja omejitve višine plač direktorjev v družbah, v katerih je lastnica ali solastnica država ali samoupravna lokalna skupnost. Njen namen je zagotoviti enotno, pregledno in med seboj primerljivo ureditev plač ter varovati javna sredstva. V 2. členu Uredbe je določeno, da se osnovno plačilo </w:t>
      </w:r>
      <w:r>
        <w:lastRenderedPageBreak/>
        <w:t>določi v višini povprečne bruto plače, izplačane v družbi v preteklem poslovnem letu, pomnožene z mnogokratnikom, ki ga glede na velikost in dejavnost družbe določa ta člen. Mnogokratnik lahko znaša za male družbe največ 3, za srednje družbe največ 4 in za velike družbe največ 5. Pri opredelitvi velikosti družbe se uporabljajo merila, kot jih določa zakon, ki ureja gospodarske družbe.</w:t>
      </w:r>
    </w:p>
    <w:p w14:paraId="19FE58BC" w14:textId="6BF0A5CC" w:rsidR="00657FFB" w:rsidRDefault="00657FFB" w:rsidP="00657FFB">
      <w:pPr>
        <w:spacing w:after="0" w:line="240" w:lineRule="auto"/>
        <w:ind w:left="720" w:right="0"/>
        <w:jc w:val="left"/>
      </w:pPr>
      <w:r>
        <w:t>Tretji odstavek 2. člena Uredbe nadalje določa, da v družbah, ki opravljajo dejavnosti oskrbe z električno energijo, plinom in paro ter v rudarstvu, za male družbe velja strožja omejitev, po kateri najvišji mnogokratnik osnovne plače znaša največ 2.</w:t>
      </w:r>
    </w:p>
    <w:p w14:paraId="4D9EE170" w14:textId="77777777" w:rsidR="00657FFB" w:rsidRDefault="00657FFB" w:rsidP="00657FFB">
      <w:pPr>
        <w:spacing w:after="0" w:line="240" w:lineRule="auto"/>
        <w:ind w:left="720" w:right="0"/>
        <w:jc w:val="left"/>
      </w:pPr>
    </w:p>
    <w:p w14:paraId="389AC703" w14:textId="09193084" w:rsidR="002D746E" w:rsidRDefault="00657FFB" w:rsidP="002D746E">
      <w:pPr>
        <w:spacing w:after="0" w:line="240" w:lineRule="auto"/>
        <w:ind w:left="720" w:right="0"/>
        <w:jc w:val="left"/>
      </w:pPr>
      <w:r>
        <w:t>V skladu s Standardno klasifikacijo dejavnosti – SKD 2008, ki je veljala v času sprejema Uredbe, oskrba z električno energijo, plinom in paro</w:t>
      </w:r>
      <w:r w:rsidR="002D746E" w:rsidRPr="002D746E">
        <w:t xml:space="preserve"> </w:t>
      </w:r>
      <w:r w:rsidR="002D746E">
        <w:t>sodi v področje D</w:t>
      </w:r>
      <w:r>
        <w:t>. Znotraj tega področja je v razredu 35.300</w:t>
      </w:r>
      <w:r w:rsidR="002D746E">
        <w:t xml:space="preserve"> zajeta</w:t>
      </w:r>
      <w:r w:rsidR="002D746E" w:rsidRPr="002D746E">
        <w:t xml:space="preserve"> </w:t>
      </w:r>
      <w:r w:rsidR="002D746E">
        <w:t>Oskrba s paro in vročo vodo. Skladno s Pojasnili SKD pa sem spada:</w:t>
      </w:r>
    </w:p>
    <w:p w14:paraId="24D18220" w14:textId="5217B6AE" w:rsidR="002D746E" w:rsidRDefault="002D746E" w:rsidP="002D746E">
      <w:pPr>
        <w:spacing w:after="0" w:line="240" w:lineRule="auto"/>
        <w:ind w:left="720" w:right="0"/>
        <w:jc w:val="left"/>
      </w:pPr>
      <w:r>
        <w:t>- proizvodnja, zbiranje in distribucija pare in vroče vode za ogrevanje, pogon in druge namene</w:t>
      </w:r>
    </w:p>
    <w:p w14:paraId="1479DCC5" w14:textId="77777777" w:rsidR="002D746E" w:rsidRDefault="002D746E" w:rsidP="002D746E">
      <w:pPr>
        <w:spacing w:after="0" w:line="240" w:lineRule="auto"/>
        <w:ind w:left="720" w:right="0"/>
        <w:jc w:val="left"/>
      </w:pPr>
      <w:r>
        <w:t>- proizvodnja in distribucija hladilnega zraka</w:t>
      </w:r>
    </w:p>
    <w:p w14:paraId="22172E8F" w14:textId="77777777" w:rsidR="002D746E" w:rsidRDefault="002D746E" w:rsidP="002D746E">
      <w:pPr>
        <w:spacing w:after="0" w:line="240" w:lineRule="auto"/>
        <w:ind w:left="720" w:right="0"/>
        <w:jc w:val="left"/>
      </w:pPr>
      <w:r>
        <w:t>- proizvodnja in distribucija hladilne vode</w:t>
      </w:r>
    </w:p>
    <w:p w14:paraId="01902A0D" w14:textId="12A9E5CE" w:rsidR="002D746E" w:rsidRDefault="002D746E" w:rsidP="002D746E">
      <w:pPr>
        <w:spacing w:after="0" w:line="240" w:lineRule="auto"/>
        <w:ind w:left="720" w:right="0"/>
        <w:jc w:val="left"/>
      </w:pPr>
      <w:r>
        <w:t>- proizvodnja ledu, tudi za prehrano.</w:t>
      </w:r>
    </w:p>
    <w:p w14:paraId="5E4FAA67" w14:textId="77777777" w:rsidR="002D746E" w:rsidRDefault="002D746E" w:rsidP="002D746E">
      <w:pPr>
        <w:spacing w:after="0" w:line="240" w:lineRule="auto"/>
        <w:ind w:left="720" w:right="0"/>
        <w:jc w:val="left"/>
      </w:pPr>
    </w:p>
    <w:p w14:paraId="633B67EB" w14:textId="2666E7FC" w:rsidR="00657FFB" w:rsidRDefault="00657FFB" w:rsidP="002D746E">
      <w:pPr>
        <w:spacing w:after="0" w:line="240" w:lineRule="auto"/>
        <w:ind w:left="720" w:right="0"/>
        <w:jc w:val="left"/>
      </w:pPr>
      <w:r>
        <w:t xml:space="preserve">Standardna klasifikacija dejavnosti ne predstavlja zgolj statistične ali opisne razvrstitve, temveč uradno in obvezno izhodišče za razvrščanje dejavnosti v pravnem redu Republike Slovenije. Ker Uredba sama ne vsebuje posebne definicije energetskih dejavnosti, je treba šteti, da zakonodajalec pri njeni uporabi izhaja iz sistemske razvrstitve dejavnosti, kot jo določa standardna klasifikacija. </w:t>
      </w:r>
    </w:p>
    <w:p w14:paraId="790E813A" w14:textId="77777777" w:rsidR="00657FFB" w:rsidRDefault="00657FFB" w:rsidP="00657FFB">
      <w:pPr>
        <w:spacing w:after="0" w:line="240" w:lineRule="auto"/>
        <w:ind w:left="720" w:right="0"/>
        <w:jc w:val="left"/>
      </w:pPr>
    </w:p>
    <w:p w14:paraId="4F2A0410" w14:textId="26ED12AE" w:rsidR="003478C1" w:rsidRDefault="00657FFB" w:rsidP="00657FFB">
      <w:pPr>
        <w:spacing w:after="0" w:line="240" w:lineRule="auto"/>
        <w:ind w:left="720" w:right="0"/>
        <w:jc w:val="left"/>
      </w:pPr>
      <w:r>
        <w:t>Pri tem je treba upoštevati, da standardna klasifikacija dejavnosti temelji na deskriptivnem pristopu, kar pomeni, da dejavnosti opredeljuje glede na njihovo vsebino in namen. Oskrba z vročo vodo predstavlja obliko oskrbe s toplotno energijo in je po svoji naravi tehnološko in funkcionalno sorodna oskrbi s paro. Gre za različne pojavne oblike oskrbe s toplotno energijo, ki so del enotnega sistema proizvodnje, prenosa in distribucije toplotne energije. Tudi po novejši klasifikaciji se takšna dejavnost vsebinsko uvršča v energetski sektor.</w:t>
      </w:r>
    </w:p>
    <w:p w14:paraId="3CDEC949" w14:textId="77777777" w:rsidR="003454DF" w:rsidRDefault="003454DF" w:rsidP="003454DF">
      <w:pPr>
        <w:spacing w:after="0" w:line="240" w:lineRule="auto"/>
        <w:ind w:left="720" w:right="0"/>
        <w:jc w:val="left"/>
      </w:pPr>
    </w:p>
    <w:p w14:paraId="7A664213" w14:textId="2258489F" w:rsidR="003454DF" w:rsidRDefault="003454DF" w:rsidP="003454DF">
      <w:pPr>
        <w:spacing w:after="0" w:line="240" w:lineRule="auto"/>
        <w:ind w:left="720" w:right="0"/>
        <w:jc w:val="left"/>
      </w:pPr>
      <w:r>
        <w:t xml:space="preserve">Takšno razumevanje dodatno potrjuje tudi pisno </w:t>
      </w:r>
      <w:bookmarkStart w:id="4" w:name="_Hlk219376211"/>
      <w:r>
        <w:t xml:space="preserve">pojasnilo Ministrstva za gospodarstvo, turizem in šport, </w:t>
      </w:r>
      <w:r w:rsidR="00B930D2" w:rsidRPr="00B930D2">
        <w:t>št. 069-1/2024/7 z dne 3.</w:t>
      </w:r>
      <w:r w:rsidR="00536B85">
        <w:t xml:space="preserve"> </w:t>
      </w:r>
      <w:r w:rsidR="00B930D2" w:rsidRPr="00B930D2">
        <w:t>12.</w:t>
      </w:r>
      <w:r w:rsidR="00536B85">
        <w:t xml:space="preserve"> </w:t>
      </w:r>
      <w:r w:rsidR="00B930D2" w:rsidRPr="00B930D2">
        <w:t>2024</w:t>
      </w:r>
      <w:bookmarkEnd w:id="4"/>
      <w:r w:rsidR="00B930D2">
        <w:t>,</w:t>
      </w:r>
      <w:r w:rsidR="00B930D2" w:rsidRPr="00B930D2">
        <w:t xml:space="preserve"> </w:t>
      </w:r>
      <w:r>
        <w:t>ki je kot pristojni resorni organ pojasnilo uporabo Uredbe. Ministrstvo je navedlo, da oskrba z vročo vodo in daljinsko ogrevanje sodita med energetske dejavnosti ter da se v takšnih primerih uporablja omejitev iz tretjega odstavka 2. člena Uredbe, po kateri je za male družbe dopusten najvišji mnogokratnik osnovne plače v višini 2.</w:t>
      </w:r>
    </w:p>
    <w:p w14:paraId="4001C23F" w14:textId="77777777" w:rsidR="003454DF" w:rsidRDefault="003454DF" w:rsidP="003454DF">
      <w:pPr>
        <w:spacing w:after="0" w:line="240" w:lineRule="auto"/>
        <w:ind w:left="720" w:right="0"/>
        <w:jc w:val="left"/>
      </w:pPr>
    </w:p>
    <w:p w14:paraId="538DD7A0" w14:textId="1E85C1BB" w:rsidR="003454DF" w:rsidRDefault="003454DF" w:rsidP="003454DF">
      <w:pPr>
        <w:spacing w:after="0" w:line="240" w:lineRule="auto"/>
        <w:ind w:left="720" w:right="0"/>
        <w:jc w:val="left"/>
      </w:pPr>
      <w:r>
        <w:t>Dopuščanje višjega mnogokratnika zgolj na podlagi selektivne razlage dejavnosti bi ne le vodilo v neenotno, nepredvidljivo in arbitrarno prakso pri uporabi Uredbe, temveč bi imelo tudi ustavnopravno vprašljive posledice. Takšna razlaga bi brez stvarno utemeljenih razlogov različno obravnavala primerljiva javna energetska podjetja ter s tem posegla v načelo pravne varnosti in načelo enake obravnave enakih položajev. Posledično bi bila brez stvarno utemeljenih razlogov različno določena tudi osnovna plača direktorjev javnih podjetij, ki opravljajo vsebinsko primerljive energetske dejavnosti.</w:t>
      </w:r>
    </w:p>
    <w:p w14:paraId="6F755306" w14:textId="77777777" w:rsidR="003454DF" w:rsidRDefault="003454DF" w:rsidP="003454DF">
      <w:pPr>
        <w:spacing w:after="0" w:line="240" w:lineRule="auto"/>
        <w:ind w:left="720" w:right="0"/>
        <w:jc w:val="left"/>
      </w:pPr>
    </w:p>
    <w:p w14:paraId="09AB3231" w14:textId="0A156365" w:rsidR="003454DF" w:rsidRDefault="003454DF" w:rsidP="003454DF">
      <w:pPr>
        <w:spacing w:after="0" w:line="240" w:lineRule="auto"/>
        <w:ind w:left="720" w:right="0"/>
        <w:jc w:val="left"/>
      </w:pPr>
      <w:r>
        <w:t xml:space="preserve">Nadzorni svet javnega podjetja je določitev višjega mnogokratnika utemeljeval na stališču, da je treba tretji odstavek 2. člena Uredbe razlagati restriktivno, saj ta izrecno omenja oskrbo z električno energijo, plinom in paro, ne pa tudi oskrbe z </w:t>
      </w:r>
      <w:r>
        <w:lastRenderedPageBreak/>
        <w:t xml:space="preserve">vročo vodo. Iz tega je izpeljal sklep, da se strožja omejitev najvišjega  </w:t>
      </w:r>
      <w:r w:rsidR="00107100">
        <w:t>m</w:t>
      </w:r>
      <w:r>
        <w:t>nogokratnika osnovne plače v obravnavanem primeru ne uporablja.</w:t>
      </w:r>
    </w:p>
    <w:p w14:paraId="07B13940" w14:textId="77777777" w:rsidR="003454DF" w:rsidRDefault="003454DF" w:rsidP="003454DF">
      <w:pPr>
        <w:spacing w:after="0" w:line="240" w:lineRule="auto"/>
        <w:ind w:left="720" w:right="0"/>
        <w:jc w:val="left"/>
      </w:pPr>
    </w:p>
    <w:p w14:paraId="404CD506" w14:textId="6E385DB4" w:rsidR="003454DF" w:rsidRDefault="003454DF" w:rsidP="003454DF">
      <w:pPr>
        <w:spacing w:after="0" w:line="240" w:lineRule="auto"/>
        <w:ind w:left="720" w:right="0"/>
        <w:jc w:val="left"/>
      </w:pPr>
      <w:r>
        <w:t xml:space="preserve">V obravnavanem primeru </w:t>
      </w:r>
      <w:r w:rsidR="00107100">
        <w:t>pa je</w:t>
      </w:r>
      <w:r>
        <w:t xml:space="preserve"> bistveno vprašanje, ali oskrba z vročo vodo po svoji vsebini predstavlja del dejavnosti oskrbe s toplotno energijo v energetskem sektorju, zato je občinska uprava ponovno zaprosila za tolmačenje Ministr</w:t>
      </w:r>
      <w:r w:rsidR="00107100">
        <w:t>s</w:t>
      </w:r>
      <w:r>
        <w:t>tvo za gospodarstvo turizem in šport, ki je dne 8.</w:t>
      </w:r>
      <w:r w:rsidR="003A5C34">
        <w:t xml:space="preserve"> </w:t>
      </w:r>
      <w:r>
        <w:t>12.</w:t>
      </w:r>
      <w:r w:rsidR="003A5C34">
        <w:t xml:space="preserve"> </w:t>
      </w:r>
      <w:r>
        <w:t>2025 pojasnilo</w:t>
      </w:r>
      <w:r w:rsidR="00E71A0A">
        <w:t xml:space="preserve"> (Priloga 5)</w:t>
      </w:r>
      <w:r>
        <w:t xml:space="preserve">, da ostaja pri tolmačenju, ki </w:t>
      </w:r>
      <w:r w:rsidR="00B930D2">
        <w:t>so</w:t>
      </w:r>
      <w:r>
        <w:t xml:space="preserve"> ga podali z dopisom št. 069-1/2024/7 z dne 3.</w:t>
      </w:r>
      <w:r w:rsidR="003A5C34">
        <w:t xml:space="preserve"> </w:t>
      </w:r>
      <w:r>
        <w:t>12.</w:t>
      </w:r>
      <w:r w:rsidR="003A5C34">
        <w:t xml:space="preserve"> </w:t>
      </w:r>
      <w:r>
        <w:t>2024</w:t>
      </w:r>
      <w:r w:rsidR="00771F43">
        <w:t xml:space="preserve"> ter dodatno pojasnili</w:t>
      </w:r>
      <w:r w:rsidR="002D6CBA">
        <w:t>, da je bilo c</w:t>
      </w:r>
      <w:r>
        <w:t>elotno področje oskrbe z električno energijo, plinom</w:t>
      </w:r>
      <w:r w:rsidR="00B930D2">
        <w:t xml:space="preserve"> in</w:t>
      </w:r>
      <w:r>
        <w:t xml:space="preserve"> paro, na katerega se referira Uredba, v </w:t>
      </w:r>
      <w:r w:rsidR="00B930D2" w:rsidRPr="00B930D2">
        <w:t xml:space="preserve">SKD 2008 </w:t>
      </w:r>
      <w:r>
        <w:t>vsebovano v področju D - OSKRBA Z ELEKTRIČNO ENERGIJO, PLINOM</w:t>
      </w:r>
      <w:r w:rsidR="00B930D2">
        <w:t xml:space="preserve"> IN</w:t>
      </w:r>
      <w:r>
        <w:t xml:space="preserve"> PARO</w:t>
      </w:r>
      <w:r w:rsidR="00B930D2">
        <w:t>.</w:t>
      </w:r>
      <w:r>
        <w:t xml:space="preserve"> V to področje dejavnosti je </w:t>
      </w:r>
      <w:bookmarkStart w:id="5" w:name="_Hlk219302176"/>
      <w:r>
        <w:t xml:space="preserve">po SKD 2008 </w:t>
      </w:r>
      <w:bookmarkEnd w:id="5"/>
      <w:r w:rsidR="00B930D2">
        <w:t>(</w:t>
      </w:r>
      <w:r>
        <w:t>in tudi po sedaj veljavni SKD 2025</w:t>
      </w:r>
      <w:r w:rsidR="00B930D2">
        <w:t>)</w:t>
      </w:r>
      <w:r>
        <w:t xml:space="preserve"> vključena tudi daljinska oskrb</w:t>
      </w:r>
      <w:r w:rsidR="00B930D2">
        <w:t>a</w:t>
      </w:r>
      <w:r>
        <w:t xml:space="preserve"> s toploto – vroča voda in para, in sicer v podpodročju dejavnosti </w:t>
      </w:r>
      <w:r w:rsidR="00B930D2">
        <w:t>D</w:t>
      </w:r>
      <w:r>
        <w:t xml:space="preserve"> 35.3 Oskrba s paro in vročo vodo.</w:t>
      </w:r>
    </w:p>
    <w:p w14:paraId="71E345F5" w14:textId="77777777" w:rsidR="00107100" w:rsidRDefault="00107100" w:rsidP="003454DF">
      <w:pPr>
        <w:spacing w:after="0" w:line="240" w:lineRule="auto"/>
        <w:ind w:left="720" w:right="0"/>
        <w:jc w:val="left"/>
      </w:pPr>
    </w:p>
    <w:p w14:paraId="2D7D1749" w14:textId="1867C9F0" w:rsidR="00107100" w:rsidRDefault="00107100" w:rsidP="00107100">
      <w:pPr>
        <w:spacing w:after="0" w:line="240" w:lineRule="auto"/>
        <w:ind w:left="720" w:right="0"/>
        <w:jc w:val="left"/>
      </w:pPr>
      <w:r>
        <w:t>Glede na vse zgoraj navedeno je treba na kratko navesti tudi pravne posledice, ki jih veljavni predpisi določajo v primeru, če je osnovna plača poslovodne osebe določena v nasprotju s prisilnimi zakonskimi omejitvami. V skladu s 5. členom Zakona o prejemkih poslovodnih oseb v gospodarskih družbah v večinski lasti Republike Slovenije in samoupravnih lokalnih skupnosti (</w:t>
      </w:r>
      <w:r w:rsidR="00850254" w:rsidRPr="00850254">
        <w:t>Uradni list RS, št. </w:t>
      </w:r>
      <w:hyperlink r:id="rId16" w:tgtFrame="_blank" w:tooltip="Zakon o prejemkih poslovodnih oseb v gospodarskih družbah v večinski lasti Republike Slovenije in samoupravnih lokalnih skupnosti (ZPPOGD)" w:history="1">
        <w:r w:rsidR="00850254" w:rsidRPr="00850254">
          <w:t>21/10</w:t>
        </w:r>
      </w:hyperlink>
      <w:r w:rsidR="00850254" w:rsidRPr="00850254">
        <w:t>, </w:t>
      </w:r>
      <w:hyperlink r:id="rId17" w:tgtFrame="_blank" w:tooltip="Avtentična razlaga druge alineje tretjega odstavka 4. člena Zakona o prejemkih poslovodnih oseb v gospodarskih družbah v večinski lasti Republike Slovenije in samoupravnih lokalnih skupnosti (ORZPPOGD4)" w:history="1">
        <w:r w:rsidR="00850254" w:rsidRPr="00850254">
          <w:t>8/11</w:t>
        </w:r>
      </w:hyperlink>
      <w:r w:rsidR="00850254" w:rsidRPr="00850254">
        <w:t> – ORZPPOGD4 in </w:t>
      </w:r>
      <w:hyperlink r:id="rId18" w:tgtFrame="_blank" w:tooltip="Zakon o spremembah in dopolnitvah Zakona o dostopu do informacij javnega značaja (ZDIJZ-C)" w:history="1">
        <w:r w:rsidR="00850254" w:rsidRPr="00850254">
          <w:t>23/14</w:t>
        </w:r>
      </w:hyperlink>
      <w:r w:rsidR="00850254" w:rsidRPr="00850254">
        <w:t> – ZDIJZ-C)</w:t>
      </w:r>
      <w:r w:rsidR="00850254">
        <w:t xml:space="preserve"> </w:t>
      </w:r>
      <w:r>
        <w:t xml:space="preserve">je pogodbeno določilo, ki omogoča višje osnovno plačilo, spremenljivi prejemek ali odpravnino, kot ga dopušča zakon, nično in nima pravnega učinka, namesto njega pa se neposredno uporabljajo zakonsko določene omejitve glede višine osnovne plače. Po izračunih, s katerimi razpolaga Mestna občina Nova Gorica, znaša razlika med izplačanimi plačami in plačami, če bi bile omejene na mnogokratnik osnovne plače 2, za obdobje zadnjih štirih let približno 102.000,00 EUR bruto bruto. </w:t>
      </w:r>
    </w:p>
    <w:p w14:paraId="32F32177" w14:textId="77777777" w:rsidR="00107100" w:rsidRDefault="00107100" w:rsidP="00107100">
      <w:pPr>
        <w:spacing w:after="0" w:line="240" w:lineRule="auto"/>
        <w:ind w:left="720" w:right="0"/>
        <w:jc w:val="left"/>
      </w:pPr>
    </w:p>
    <w:p w14:paraId="5E952BCF" w14:textId="2B0E81B8" w:rsidR="003454DF" w:rsidRDefault="00107100" w:rsidP="00107100">
      <w:pPr>
        <w:spacing w:after="0" w:line="240" w:lineRule="auto"/>
        <w:ind w:left="720" w:right="0"/>
        <w:jc w:val="left"/>
      </w:pPr>
      <w:r>
        <w:t xml:space="preserve">Ob tem je treba </w:t>
      </w:r>
      <w:r w:rsidR="00850254">
        <w:t xml:space="preserve">še </w:t>
      </w:r>
      <w:r>
        <w:t>poudariti, da so organi nadzora v javnih podjetjih dolžni pri svojem delovanju ravnati v skladu z veljavnimi predpisi ter pri urejanju pravic in obveznosti poslovodstva upoštevati namen in sistemsko ureditev predpisov, ki urejajo omejitve prejemkov v družbah v javni lasti. V primeru obstoja različnih razlag posameznih določb je pričakovano, da se upošteva razlaga, ki zagotavlja zakonito, enotno in predvidljivo uporabo predpisov ter varovanje javnega interesa.</w:t>
      </w:r>
    </w:p>
    <w:p w14:paraId="66AEF93D" w14:textId="77777777" w:rsidR="003454DF" w:rsidRDefault="003454DF" w:rsidP="003454DF">
      <w:pPr>
        <w:spacing w:after="0" w:line="240" w:lineRule="auto"/>
        <w:ind w:left="720" w:right="0"/>
        <w:jc w:val="left"/>
      </w:pPr>
    </w:p>
    <w:p w14:paraId="4AE3C49D" w14:textId="39337D84" w:rsidR="003C0C96" w:rsidRDefault="003C0C96" w:rsidP="0003540C">
      <w:pPr>
        <w:jc w:val="left"/>
        <w:rPr>
          <w:b/>
        </w:rPr>
      </w:pPr>
      <w:r w:rsidRPr="00F20A4C">
        <w:rPr>
          <w:b/>
        </w:rPr>
        <w:t>Mestnemu svetu Mestne občine Nova Gorica predlagamo, da predlagani sklep</w:t>
      </w:r>
      <w:r w:rsidR="00850254">
        <w:rPr>
          <w:b/>
        </w:rPr>
        <w:t xml:space="preserve"> obravnava in sprejme</w:t>
      </w:r>
      <w:r w:rsidRPr="00F20A4C">
        <w:rPr>
          <w:b/>
        </w:rPr>
        <w:t>.</w:t>
      </w:r>
    </w:p>
    <w:p w14:paraId="645FE1BF" w14:textId="77777777" w:rsidR="00FF5D97" w:rsidRPr="007854F5" w:rsidRDefault="00FF5D97" w:rsidP="00FF5D97">
      <w:pPr>
        <w:pStyle w:val="Podpisoseba"/>
        <w:spacing w:before="0" w:after="0"/>
        <w:ind w:left="709"/>
        <w:rPr>
          <w:bCs w:val="0"/>
        </w:rPr>
      </w:pPr>
      <w:r w:rsidRPr="007854F5">
        <w:rPr>
          <w:bCs w:val="0"/>
        </w:rPr>
        <w:t>Pripravil</w:t>
      </w:r>
      <w:r>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FF5D97" w:rsidRPr="007854F5" w14:paraId="592FE243" w14:textId="77777777" w:rsidTr="008226A3">
        <w:tc>
          <w:tcPr>
            <w:tcW w:w="4956" w:type="dxa"/>
          </w:tcPr>
          <w:p w14:paraId="6152D717" w14:textId="77777777" w:rsidR="00FF5D97" w:rsidRPr="007854F5" w:rsidRDefault="00FF5D97" w:rsidP="008226A3">
            <w:pPr>
              <w:pStyle w:val="Podpisoseba"/>
              <w:spacing w:before="0" w:after="0"/>
              <w:rPr>
                <w:b/>
                <w:color w:val="FFFFFF" w:themeColor="background1"/>
              </w:rPr>
            </w:pPr>
            <w:r w:rsidRPr="007854F5">
              <w:rPr>
                <w:b/>
                <w:color w:val="FFFFFF" w:themeColor="background1"/>
              </w:rPr>
              <w:t>Levi podpisnik</w:t>
            </w:r>
          </w:p>
        </w:tc>
        <w:tc>
          <w:tcPr>
            <w:tcW w:w="3549" w:type="dxa"/>
          </w:tcPr>
          <w:p w14:paraId="4212756E" w14:textId="77777777" w:rsidR="00FF5D97" w:rsidRPr="007854F5" w:rsidRDefault="00FF5D97" w:rsidP="008226A3">
            <w:pPr>
              <w:pStyle w:val="Podpisoseba"/>
              <w:spacing w:before="0" w:after="0"/>
              <w:rPr>
                <w:b/>
                <w:color w:val="FFFFFF" w:themeColor="background1"/>
              </w:rPr>
            </w:pPr>
            <w:r w:rsidRPr="007854F5">
              <w:rPr>
                <w:b/>
                <w:color w:val="FFFFFF" w:themeColor="background1"/>
              </w:rPr>
              <w:t>Desnik podpisnik</w:t>
            </w:r>
          </w:p>
        </w:tc>
      </w:tr>
      <w:tr w:rsidR="00FF5D97" w:rsidRPr="007854F5" w14:paraId="137F84A1" w14:textId="77777777" w:rsidTr="008226A3">
        <w:tc>
          <w:tcPr>
            <w:tcW w:w="4956" w:type="dxa"/>
          </w:tcPr>
          <w:p w14:paraId="1D08145C" w14:textId="77777777" w:rsidR="00FF5D97" w:rsidRPr="007854F5" w:rsidRDefault="00FF5D97" w:rsidP="008226A3">
            <w:pPr>
              <w:pStyle w:val="Podpisoseba"/>
              <w:spacing w:before="0" w:after="0"/>
              <w:rPr>
                <w:b/>
                <w:bCs w:val="0"/>
              </w:rPr>
            </w:pPr>
          </w:p>
        </w:tc>
        <w:tc>
          <w:tcPr>
            <w:tcW w:w="3549" w:type="dxa"/>
          </w:tcPr>
          <w:p w14:paraId="5A01D61A" w14:textId="77777777" w:rsidR="00FF5D97" w:rsidRPr="007854F5" w:rsidRDefault="00FF5D97" w:rsidP="008226A3">
            <w:pPr>
              <w:pStyle w:val="Podpisoseba"/>
              <w:spacing w:before="0" w:after="0"/>
              <w:rPr>
                <w:b/>
                <w:bCs w:val="0"/>
              </w:rPr>
            </w:pPr>
            <w:r w:rsidRPr="007854F5">
              <w:rPr>
                <w:b/>
                <w:bCs w:val="0"/>
              </w:rPr>
              <w:t>Martina Remec Pečenko</w:t>
            </w:r>
          </w:p>
        </w:tc>
      </w:tr>
      <w:tr w:rsidR="00FF5D97" w:rsidRPr="007854F5" w14:paraId="43ED69E6" w14:textId="77777777" w:rsidTr="008226A3">
        <w:tc>
          <w:tcPr>
            <w:tcW w:w="4956" w:type="dxa"/>
          </w:tcPr>
          <w:p w14:paraId="1E0FDE85" w14:textId="77777777" w:rsidR="00FF5D97" w:rsidRPr="007854F5" w:rsidRDefault="00FF5D97" w:rsidP="008226A3">
            <w:pPr>
              <w:pStyle w:val="Podpisoseba"/>
              <w:spacing w:before="0" w:after="0"/>
              <w:ind w:right="459"/>
              <w:rPr>
                <w:bCs w:val="0"/>
              </w:rPr>
            </w:pPr>
          </w:p>
        </w:tc>
        <w:tc>
          <w:tcPr>
            <w:tcW w:w="3549" w:type="dxa"/>
          </w:tcPr>
          <w:p w14:paraId="61D85979" w14:textId="77777777" w:rsidR="00FF5D97" w:rsidRPr="007854F5" w:rsidRDefault="00FF5D97" w:rsidP="008226A3">
            <w:pPr>
              <w:pStyle w:val="Podpisoseba"/>
              <w:spacing w:before="0" w:after="0"/>
              <w:rPr>
                <w:bCs w:val="0"/>
              </w:rPr>
            </w:pPr>
            <w:r w:rsidRPr="007854F5">
              <w:rPr>
                <w:bCs w:val="0"/>
              </w:rPr>
              <w:t>vodja Oddelka za gospodarstvo in gospodarske javne službe</w:t>
            </w:r>
          </w:p>
        </w:tc>
      </w:tr>
    </w:tbl>
    <w:p w14:paraId="2540E45F" w14:textId="77777777" w:rsidR="00166C3A" w:rsidRDefault="00166C3A" w:rsidP="00166C3A">
      <w:pPr>
        <w:pStyle w:val="gradivo"/>
      </w:pPr>
    </w:p>
    <w:p w14:paraId="39466C5E" w14:textId="7D484CC4" w:rsidR="00166C3A" w:rsidRDefault="00166C3A" w:rsidP="00166C3A">
      <w:pPr>
        <w:pStyle w:val="gradivo"/>
      </w:pPr>
      <w:r>
        <w:t>Priloge:</w:t>
      </w:r>
    </w:p>
    <w:p w14:paraId="36D0A737" w14:textId="1BD63F8A" w:rsidR="00166C3A" w:rsidRDefault="00166C3A" w:rsidP="00166C3A">
      <w:pPr>
        <w:pStyle w:val="gradivo"/>
        <w:numPr>
          <w:ilvl w:val="0"/>
          <w:numId w:val="24"/>
        </w:numPr>
      </w:pPr>
      <w:r>
        <w:t>Priloga 1:</w:t>
      </w:r>
      <w:r w:rsidRPr="00166C3A">
        <w:t xml:space="preserve"> </w:t>
      </w:r>
      <w:bookmarkStart w:id="6" w:name="_Hlk219376870"/>
      <w:r>
        <w:t>P</w:t>
      </w:r>
      <w:r w:rsidRPr="00166C3A">
        <w:t>ojasnilo Ministrstva za gospodarstvo, turizem in šport, št. 069-1/2024/7 z dne 3.</w:t>
      </w:r>
      <w:r w:rsidR="0041527F">
        <w:t xml:space="preserve"> </w:t>
      </w:r>
      <w:r w:rsidRPr="00166C3A">
        <w:t>12.</w:t>
      </w:r>
      <w:r w:rsidR="0041527F">
        <w:t xml:space="preserve"> </w:t>
      </w:r>
      <w:r w:rsidRPr="00166C3A">
        <w:t>2024</w:t>
      </w:r>
    </w:p>
    <w:bookmarkEnd w:id="6"/>
    <w:p w14:paraId="4919BD76" w14:textId="74DA9587" w:rsidR="00166C3A" w:rsidRDefault="00166C3A" w:rsidP="00166C3A">
      <w:pPr>
        <w:pStyle w:val="gradivo"/>
        <w:numPr>
          <w:ilvl w:val="0"/>
          <w:numId w:val="24"/>
        </w:numPr>
      </w:pPr>
      <w:r>
        <w:t>Priloga 2:</w:t>
      </w:r>
      <w:r w:rsidR="00E71A0A">
        <w:t xml:space="preserve"> Dopis Oddelka za gospodarstvo in gospodarske javne službe </w:t>
      </w:r>
      <w:r w:rsidR="00E71A0A" w:rsidRPr="00E71A0A">
        <w:t>dopisom št. 007-0021/2012-37 z dne 17.</w:t>
      </w:r>
      <w:r w:rsidR="0041527F">
        <w:t xml:space="preserve"> </w:t>
      </w:r>
      <w:r w:rsidR="00E71A0A" w:rsidRPr="00E71A0A">
        <w:t>12.</w:t>
      </w:r>
      <w:r w:rsidR="0041527F">
        <w:t xml:space="preserve"> </w:t>
      </w:r>
      <w:r w:rsidR="00E71A0A" w:rsidRPr="00E71A0A">
        <w:t>2024</w:t>
      </w:r>
    </w:p>
    <w:p w14:paraId="459B3284" w14:textId="2FAD2D15" w:rsidR="00166C3A" w:rsidRDefault="00166C3A" w:rsidP="00166C3A">
      <w:pPr>
        <w:pStyle w:val="gradivo"/>
        <w:numPr>
          <w:ilvl w:val="0"/>
          <w:numId w:val="24"/>
        </w:numPr>
      </w:pPr>
      <w:r>
        <w:t>Priloga 3:</w:t>
      </w:r>
      <w:r w:rsidR="00E71A0A">
        <w:t xml:space="preserve"> Odgovor Nadzornega sveta JP KENOG d.o.o. z dne 15.</w:t>
      </w:r>
      <w:r w:rsidR="0041527F">
        <w:t xml:space="preserve"> </w:t>
      </w:r>
      <w:r w:rsidR="00E71A0A">
        <w:t>2.</w:t>
      </w:r>
      <w:r w:rsidR="0041527F">
        <w:t xml:space="preserve"> </w:t>
      </w:r>
      <w:r w:rsidR="00E71A0A">
        <w:t>2025</w:t>
      </w:r>
    </w:p>
    <w:p w14:paraId="5E49CAF6" w14:textId="2B4A78A8" w:rsidR="00166C3A" w:rsidRDefault="00166C3A" w:rsidP="00166C3A">
      <w:pPr>
        <w:pStyle w:val="gradivo"/>
        <w:numPr>
          <w:ilvl w:val="0"/>
          <w:numId w:val="24"/>
        </w:numPr>
      </w:pPr>
      <w:r>
        <w:t>Priloga 4:</w:t>
      </w:r>
      <w:r w:rsidR="00E71A0A">
        <w:t xml:space="preserve"> Odgovor Nadzornega sveta JP KENOG d.o.o. z dne 12.</w:t>
      </w:r>
      <w:r w:rsidR="0041527F">
        <w:t xml:space="preserve"> </w:t>
      </w:r>
      <w:r w:rsidR="00E71A0A">
        <w:t>11.</w:t>
      </w:r>
      <w:r w:rsidR="0041527F">
        <w:t xml:space="preserve"> </w:t>
      </w:r>
      <w:r w:rsidR="00E71A0A">
        <w:t>2025</w:t>
      </w:r>
    </w:p>
    <w:p w14:paraId="247E612A" w14:textId="1C8117CB" w:rsidR="00E71A0A" w:rsidRDefault="00E71A0A" w:rsidP="00E71A0A">
      <w:pPr>
        <w:pStyle w:val="gradivo"/>
        <w:numPr>
          <w:ilvl w:val="0"/>
          <w:numId w:val="24"/>
        </w:numPr>
      </w:pPr>
      <w:r>
        <w:t>Pri</w:t>
      </w:r>
      <w:r w:rsidR="00731FA3">
        <w:t>l</w:t>
      </w:r>
      <w:r>
        <w:t>oga 5: P</w:t>
      </w:r>
      <w:r w:rsidRPr="00166C3A">
        <w:t>ojasnilo Ministrstva za gospodarstvo, turizem in šport</w:t>
      </w:r>
      <w:r>
        <w:t xml:space="preserve"> </w:t>
      </w:r>
      <w:r w:rsidRPr="00166C3A">
        <w:t xml:space="preserve">z dne </w:t>
      </w:r>
      <w:r>
        <w:t>8</w:t>
      </w:r>
      <w:r w:rsidRPr="00166C3A">
        <w:t>.</w:t>
      </w:r>
      <w:r w:rsidR="0041527F">
        <w:t xml:space="preserve"> </w:t>
      </w:r>
      <w:r w:rsidRPr="00166C3A">
        <w:t>12.</w:t>
      </w:r>
      <w:r w:rsidR="0041527F">
        <w:t xml:space="preserve"> </w:t>
      </w:r>
      <w:r w:rsidRPr="00166C3A">
        <w:t>202</w:t>
      </w:r>
      <w:r>
        <w:t>5</w:t>
      </w:r>
    </w:p>
    <w:p w14:paraId="174B1E62" w14:textId="1F623D3C" w:rsidR="00E71A0A" w:rsidRDefault="00E71A0A" w:rsidP="00E71A0A">
      <w:pPr>
        <w:pStyle w:val="gradivo"/>
        <w:ind w:left="1069"/>
      </w:pPr>
    </w:p>
    <w:sectPr w:rsidR="00E71A0A"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0DDD" w14:textId="77777777" w:rsidR="00487117" w:rsidRDefault="00487117" w:rsidP="00352A82">
      <w:r>
        <w:separator/>
      </w:r>
    </w:p>
  </w:endnote>
  <w:endnote w:type="continuationSeparator" w:id="0">
    <w:p w14:paraId="13F98C0A" w14:textId="77777777" w:rsidR="00487117" w:rsidRDefault="0048711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17FB" w14:textId="77777777" w:rsidR="00487117" w:rsidRDefault="00487117" w:rsidP="00352A82">
      <w:r>
        <w:separator/>
      </w:r>
    </w:p>
  </w:footnote>
  <w:footnote w:type="continuationSeparator" w:id="0">
    <w:p w14:paraId="2BC2283F" w14:textId="77777777" w:rsidR="00487117" w:rsidRDefault="0048711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82"/>
    <w:multiLevelType w:val="hybridMultilevel"/>
    <w:tmpl w:val="53B837B4"/>
    <w:lvl w:ilvl="0" w:tplc="8B362B10">
      <w:start w:val="1"/>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F51390D"/>
    <w:multiLevelType w:val="hybridMultilevel"/>
    <w:tmpl w:val="47A4C63A"/>
    <w:lvl w:ilvl="0" w:tplc="8CE8240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723493"/>
    <w:multiLevelType w:val="multilevel"/>
    <w:tmpl w:val="518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19BA1E8E"/>
    <w:multiLevelType w:val="hybridMultilevel"/>
    <w:tmpl w:val="FBB28474"/>
    <w:lvl w:ilvl="0" w:tplc="422E44F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A6E2B17"/>
    <w:multiLevelType w:val="hybridMultilevel"/>
    <w:tmpl w:val="6F768B1E"/>
    <w:lvl w:ilvl="0" w:tplc="669E5A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2AD31E90"/>
    <w:multiLevelType w:val="multilevel"/>
    <w:tmpl w:val="2D50CC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3CD87940"/>
    <w:multiLevelType w:val="multilevel"/>
    <w:tmpl w:val="B41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4B960832"/>
    <w:multiLevelType w:val="multilevel"/>
    <w:tmpl w:val="21B0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2272B36"/>
    <w:multiLevelType w:val="multilevel"/>
    <w:tmpl w:val="DB2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E434CF"/>
    <w:multiLevelType w:val="hybridMultilevel"/>
    <w:tmpl w:val="11B00C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96C2F06"/>
    <w:multiLevelType w:val="hybridMultilevel"/>
    <w:tmpl w:val="3A18F8F0"/>
    <w:lvl w:ilvl="0" w:tplc="A6C0A3B0">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6E406635"/>
    <w:multiLevelType w:val="hybridMultilevel"/>
    <w:tmpl w:val="1542ED28"/>
    <w:lvl w:ilvl="0" w:tplc="3ECC77AA">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2" w15:restartNumberingAfterBreak="0">
    <w:nsid w:val="6F875219"/>
    <w:multiLevelType w:val="hybridMultilevel"/>
    <w:tmpl w:val="1C809CBA"/>
    <w:lvl w:ilvl="0" w:tplc="848A25EC">
      <w:start w:val="1"/>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3" w15:restartNumberingAfterBreak="0">
    <w:nsid w:val="732B7E1C"/>
    <w:multiLevelType w:val="multilevel"/>
    <w:tmpl w:val="B358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129964">
    <w:abstractNumId w:val="13"/>
  </w:num>
  <w:num w:numId="2" w16cid:durableId="1164929981">
    <w:abstractNumId w:val="16"/>
  </w:num>
  <w:num w:numId="3" w16cid:durableId="1314213452">
    <w:abstractNumId w:val="1"/>
  </w:num>
  <w:num w:numId="4" w16cid:durableId="629288842">
    <w:abstractNumId w:val="8"/>
  </w:num>
  <w:num w:numId="5" w16cid:durableId="738939049">
    <w:abstractNumId w:val="15"/>
  </w:num>
  <w:num w:numId="6" w16cid:durableId="1657220828">
    <w:abstractNumId w:val="20"/>
  </w:num>
  <w:num w:numId="7" w16cid:durableId="1256210005">
    <w:abstractNumId w:val="4"/>
  </w:num>
  <w:num w:numId="8" w16cid:durableId="620721476">
    <w:abstractNumId w:val="5"/>
  </w:num>
  <w:num w:numId="9" w16cid:durableId="1223718357">
    <w:abstractNumId w:val="11"/>
  </w:num>
  <w:num w:numId="10" w16cid:durableId="767116328">
    <w:abstractNumId w:val="14"/>
  </w:num>
  <w:num w:numId="11" w16cid:durableId="598296048">
    <w:abstractNumId w:val="22"/>
  </w:num>
  <w:num w:numId="12" w16cid:durableId="1913856282">
    <w:abstractNumId w:val="12"/>
  </w:num>
  <w:num w:numId="13" w16cid:durableId="1135177740">
    <w:abstractNumId w:val="3"/>
  </w:num>
  <w:num w:numId="14" w16cid:durableId="310452040">
    <w:abstractNumId w:val="10"/>
  </w:num>
  <w:num w:numId="15" w16cid:durableId="910384951">
    <w:abstractNumId w:val="9"/>
  </w:num>
  <w:num w:numId="16" w16cid:durableId="533033255">
    <w:abstractNumId w:val="0"/>
  </w:num>
  <w:num w:numId="17" w16cid:durableId="1677727575">
    <w:abstractNumId w:val="18"/>
  </w:num>
  <w:num w:numId="18" w16cid:durableId="746536462">
    <w:abstractNumId w:val="6"/>
  </w:num>
  <w:num w:numId="19" w16cid:durableId="1473329991">
    <w:abstractNumId w:val="19"/>
  </w:num>
  <w:num w:numId="20" w16cid:durableId="819344952">
    <w:abstractNumId w:val="2"/>
  </w:num>
  <w:num w:numId="21" w16cid:durableId="210849372">
    <w:abstractNumId w:val="23"/>
  </w:num>
  <w:num w:numId="22" w16cid:durableId="2106458919">
    <w:abstractNumId w:val="17"/>
  </w:num>
  <w:num w:numId="23" w16cid:durableId="377556790">
    <w:abstractNumId w:val="7"/>
  </w:num>
  <w:num w:numId="24" w16cid:durableId="1483622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CDE"/>
    <w:rsid w:val="00003252"/>
    <w:rsid w:val="0000517D"/>
    <w:rsid w:val="000079D6"/>
    <w:rsid w:val="00010BCF"/>
    <w:rsid w:val="00013D1B"/>
    <w:rsid w:val="00015DF7"/>
    <w:rsid w:val="000276AB"/>
    <w:rsid w:val="000340C1"/>
    <w:rsid w:val="0003540C"/>
    <w:rsid w:val="0003597F"/>
    <w:rsid w:val="00055972"/>
    <w:rsid w:val="0005678C"/>
    <w:rsid w:val="00060176"/>
    <w:rsid w:val="00063CB7"/>
    <w:rsid w:val="00074E38"/>
    <w:rsid w:val="00076BA6"/>
    <w:rsid w:val="000807CE"/>
    <w:rsid w:val="00083CA2"/>
    <w:rsid w:val="00087F01"/>
    <w:rsid w:val="000A3BA8"/>
    <w:rsid w:val="000A7E58"/>
    <w:rsid w:val="000C2835"/>
    <w:rsid w:val="000C60BB"/>
    <w:rsid w:val="000D6C77"/>
    <w:rsid w:val="000E1421"/>
    <w:rsid w:val="000E27C9"/>
    <w:rsid w:val="000E3C37"/>
    <w:rsid w:val="000E5815"/>
    <w:rsid w:val="000F5A0E"/>
    <w:rsid w:val="00101B99"/>
    <w:rsid w:val="00103AE2"/>
    <w:rsid w:val="00107100"/>
    <w:rsid w:val="00107F0F"/>
    <w:rsid w:val="00110838"/>
    <w:rsid w:val="00110F99"/>
    <w:rsid w:val="001137D1"/>
    <w:rsid w:val="00117BB4"/>
    <w:rsid w:val="00117E96"/>
    <w:rsid w:val="00133521"/>
    <w:rsid w:val="00137067"/>
    <w:rsid w:val="00145A3D"/>
    <w:rsid w:val="00150DF2"/>
    <w:rsid w:val="00151C68"/>
    <w:rsid w:val="00152863"/>
    <w:rsid w:val="00160CA7"/>
    <w:rsid w:val="00165966"/>
    <w:rsid w:val="00166C3A"/>
    <w:rsid w:val="00167093"/>
    <w:rsid w:val="00167692"/>
    <w:rsid w:val="00167A76"/>
    <w:rsid w:val="00167D7A"/>
    <w:rsid w:val="001716A7"/>
    <w:rsid w:val="00171CD4"/>
    <w:rsid w:val="001732D3"/>
    <w:rsid w:val="00177BC6"/>
    <w:rsid w:val="00192B9A"/>
    <w:rsid w:val="001944A0"/>
    <w:rsid w:val="001A69AF"/>
    <w:rsid w:val="001A74C3"/>
    <w:rsid w:val="001B2389"/>
    <w:rsid w:val="001B38A1"/>
    <w:rsid w:val="001C284D"/>
    <w:rsid w:val="001C491B"/>
    <w:rsid w:val="001C6438"/>
    <w:rsid w:val="001C6EA3"/>
    <w:rsid w:val="001D7013"/>
    <w:rsid w:val="001E0091"/>
    <w:rsid w:val="001E77BE"/>
    <w:rsid w:val="001F1E1A"/>
    <w:rsid w:val="001F1E82"/>
    <w:rsid w:val="00210408"/>
    <w:rsid w:val="00220626"/>
    <w:rsid w:val="0022510F"/>
    <w:rsid w:val="00226CD5"/>
    <w:rsid w:val="00226E0E"/>
    <w:rsid w:val="00251D84"/>
    <w:rsid w:val="002520D3"/>
    <w:rsid w:val="00252787"/>
    <w:rsid w:val="002763A0"/>
    <w:rsid w:val="0028430E"/>
    <w:rsid w:val="00284C51"/>
    <w:rsid w:val="0028622D"/>
    <w:rsid w:val="002921C9"/>
    <w:rsid w:val="002930FE"/>
    <w:rsid w:val="002943C0"/>
    <w:rsid w:val="002A5DE0"/>
    <w:rsid w:val="002B08B0"/>
    <w:rsid w:val="002B1742"/>
    <w:rsid w:val="002B1D7F"/>
    <w:rsid w:val="002C00E7"/>
    <w:rsid w:val="002D0F71"/>
    <w:rsid w:val="002D36EA"/>
    <w:rsid w:val="002D546A"/>
    <w:rsid w:val="002D5696"/>
    <w:rsid w:val="002D6CBA"/>
    <w:rsid w:val="002D746E"/>
    <w:rsid w:val="00313EA7"/>
    <w:rsid w:val="00332862"/>
    <w:rsid w:val="003454DF"/>
    <w:rsid w:val="003478C1"/>
    <w:rsid w:val="00352A82"/>
    <w:rsid w:val="00355F3A"/>
    <w:rsid w:val="003637A0"/>
    <w:rsid w:val="00366240"/>
    <w:rsid w:val="003664F0"/>
    <w:rsid w:val="003815F8"/>
    <w:rsid w:val="0038347D"/>
    <w:rsid w:val="00383622"/>
    <w:rsid w:val="0038497E"/>
    <w:rsid w:val="00384A8D"/>
    <w:rsid w:val="00386B4C"/>
    <w:rsid w:val="00391F52"/>
    <w:rsid w:val="00393FEE"/>
    <w:rsid w:val="0039457F"/>
    <w:rsid w:val="00396384"/>
    <w:rsid w:val="003A0AE4"/>
    <w:rsid w:val="003A5C34"/>
    <w:rsid w:val="003B0867"/>
    <w:rsid w:val="003B11F7"/>
    <w:rsid w:val="003B6233"/>
    <w:rsid w:val="003C0C96"/>
    <w:rsid w:val="003C1636"/>
    <w:rsid w:val="003D40C9"/>
    <w:rsid w:val="003F3284"/>
    <w:rsid w:val="00400DE4"/>
    <w:rsid w:val="00406AA8"/>
    <w:rsid w:val="0041086B"/>
    <w:rsid w:val="004129EE"/>
    <w:rsid w:val="00413268"/>
    <w:rsid w:val="0041527F"/>
    <w:rsid w:val="00420DDA"/>
    <w:rsid w:val="00424F28"/>
    <w:rsid w:val="00431688"/>
    <w:rsid w:val="00435074"/>
    <w:rsid w:val="00442A4F"/>
    <w:rsid w:val="00445A64"/>
    <w:rsid w:val="00460FEA"/>
    <w:rsid w:val="00463FA4"/>
    <w:rsid w:val="0046775A"/>
    <w:rsid w:val="00467807"/>
    <w:rsid w:val="00474CE8"/>
    <w:rsid w:val="0047667E"/>
    <w:rsid w:val="00486063"/>
    <w:rsid w:val="00487117"/>
    <w:rsid w:val="004953C5"/>
    <w:rsid w:val="00495DB2"/>
    <w:rsid w:val="004A2F9B"/>
    <w:rsid w:val="004B094B"/>
    <w:rsid w:val="004B2222"/>
    <w:rsid w:val="004B3C7B"/>
    <w:rsid w:val="004B7C19"/>
    <w:rsid w:val="004C3B01"/>
    <w:rsid w:val="004C5C00"/>
    <w:rsid w:val="004E242E"/>
    <w:rsid w:val="004F1E36"/>
    <w:rsid w:val="004F79F1"/>
    <w:rsid w:val="0050316D"/>
    <w:rsid w:val="00503E58"/>
    <w:rsid w:val="00504992"/>
    <w:rsid w:val="00507A31"/>
    <w:rsid w:val="00510F30"/>
    <w:rsid w:val="00517E2A"/>
    <w:rsid w:val="00517FB1"/>
    <w:rsid w:val="005210F0"/>
    <w:rsid w:val="00536B85"/>
    <w:rsid w:val="005466D4"/>
    <w:rsid w:val="00547BAE"/>
    <w:rsid w:val="00554FB0"/>
    <w:rsid w:val="005665B2"/>
    <w:rsid w:val="005665C9"/>
    <w:rsid w:val="0056748E"/>
    <w:rsid w:val="00572C58"/>
    <w:rsid w:val="00581BE7"/>
    <w:rsid w:val="005829F4"/>
    <w:rsid w:val="005A580B"/>
    <w:rsid w:val="005B1D9E"/>
    <w:rsid w:val="005B6919"/>
    <w:rsid w:val="005C4740"/>
    <w:rsid w:val="005C6CA7"/>
    <w:rsid w:val="005D0F76"/>
    <w:rsid w:val="005D3E90"/>
    <w:rsid w:val="005F3B70"/>
    <w:rsid w:val="0060286D"/>
    <w:rsid w:val="00603FD1"/>
    <w:rsid w:val="00623022"/>
    <w:rsid w:val="00633073"/>
    <w:rsid w:val="0063346D"/>
    <w:rsid w:val="006335B1"/>
    <w:rsid w:val="00646289"/>
    <w:rsid w:val="006476CB"/>
    <w:rsid w:val="00657FFB"/>
    <w:rsid w:val="0066085E"/>
    <w:rsid w:val="006620F0"/>
    <w:rsid w:val="00683ED9"/>
    <w:rsid w:val="00690849"/>
    <w:rsid w:val="00697801"/>
    <w:rsid w:val="006B1983"/>
    <w:rsid w:val="006B2027"/>
    <w:rsid w:val="006B7B52"/>
    <w:rsid w:val="006C13EE"/>
    <w:rsid w:val="006D0DA9"/>
    <w:rsid w:val="006F0A48"/>
    <w:rsid w:val="006F5A29"/>
    <w:rsid w:val="00714788"/>
    <w:rsid w:val="00722FAC"/>
    <w:rsid w:val="00724A7E"/>
    <w:rsid w:val="00731380"/>
    <w:rsid w:val="00731FA3"/>
    <w:rsid w:val="007334BE"/>
    <w:rsid w:val="00734A18"/>
    <w:rsid w:val="00741022"/>
    <w:rsid w:val="00757D52"/>
    <w:rsid w:val="00761724"/>
    <w:rsid w:val="00764824"/>
    <w:rsid w:val="007702A2"/>
    <w:rsid w:val="00771F43"/>
    <w:rsid w:val="00774DD1"/>
    <w:rsid w:val="00786605"/>
    <w:rsid w:val="0079172C"/>
    <w:rsid w:val="00791DB2"/>
    <w:rsid w:val="00793022"/>
    <w:rsid w:val="00796028"/>
    <w:rsid w:val="007A41E1"/>
    <w:rsid w:val="007A4D05"/>
    <w:rsid w:val="007A56D7"/>
    <w:rsid w:val="007B1DF5"/>
    <w:rsid w:val="007B4D67"/>
    <w:rsid w:val="007E70D5"/>
    <w:rsid w:val="008105D7"/>
    <w:rsid w:val="00810854"/>
    <w:rsid w:val="008304DF"/>
    <w:rsid w:val="00832DA7"/>
    <w:rsid w:val="00836679"/>
    <w:rsid w:val="00841F57"/>
    <w:rsid w:val="00850254"/>
    <w:rsid w:val="0085164D"/>
    <w:rsid w:val="00852723"/>
    <w:rsid w:val="00856485"/>
    <w:rsid w:val="00857274"/>
    <w:rsid w:val="00857F2F"/>
    <w:rsid w:val="00863845"/>
    <w:rsid w:val="00873CAB"/>
    <w:rsid w:val="008759F5"/>
    <w:rsid w:val="008802E3"/>
    <w:rsid w:val="008821D4"/>
    <w:rsid w:val="00886F13"/>
    <w:rsid w:val="00895633"/>
    <w:rsid w:val="008A29DD"/>
    <w:rsid w:val="008A2AEE"/>
    <w:rsid w:val="008A3669"/>
    <w:rsid w:val="008A46AF"/>
    <w:rsid w:val="008B3C6C"/>
    <w:rsid w:val="008F21D2"/>
    <w:rsid w:val="008F30B8"/>
    <w:rsid w:val="008F4794"/>
    <w:rsid w:val="008F5DCA"/>
    <w:rsid w:val="00904B2A"/>
    <w:rsid w:val="009060A3"/>
    <w:rsid w:val="00907636"/>
    <w:rsid w:val="00911E76"/>
    <w:rsid w:val="0091300A"/>
    <w:rsid w:val="00923A6E"/>
    <w:rsid w:val="00936AF8"/>
    <w:rsid w:val="0094476B"/>
    <w:rsid w:val="00945EB9"/>
    <w:rsid w:val="00946CF8"/>
    <w:rsid w:val="00953902"/>
    <w:rsid w:val="0096275C"/>
    <w:rsid w:val="00964671"/>
    <w:rsid w:val="00971DAE"/>
    <w:rsid w:val="00976F4F"/>
    <w:rsid w:val="009927FC"/>
    <w:rsid w:val="009A74DE"/>
    <w:rsid w:val="009B227A"/>
    <w:rsid w:val="009D6BE6"/>
    <w:rsid w:val="009D7254"/>
    <w:rsid w:val="009E3843"/>
    <w:rsid w:val="009F205E"/>
    <w:rsid w:val="009F2DDB"/>
    <w:rsid w:val="009F5E78"/>
    <w:rsid w:val="00A0123A"/>
    <w:rsid w:val="00A03315"/>
    <w:rsid w:val="00A03367"/>
    <w:rsid w:val="00A21DB1"/>
    <w:rsid w:val="00A4356A"/>
    <w:rsid w:val="00A451F7"/>
    <w:rsid w:val="00A55509"/>
    <w:rsid w:val="00A61AC6"/>
    <w:rsid w:val="00A62134"/>
    <w:rsid w:val="00A7398A"/>
    <w:rsid w:val="00A820B6"/>
    <w:rsid w:val="00A90066"/>
    <w:rsid w:val="00A90248"/>
    <w:rsid w:val="00A9127C"/>
    <w:rsid w:val="00A9136F"/>
    <w:rsid w:val="00A94714"/>
    <w:rsid w:val="00A95A58"/>
    <w:rsid w:val="00AA1359"/>
    <w:rsid w:val="00AA4569"/>
    <w:rsid w:val="00AA4BFD"/>
    <w:rsid w:val="00AA4E42"/>
    <w:rsid w:val="00AB476D"/>
    <w:rsid w:val="00AB58E7"/>
    <w:rsid w:val="00AB5994"/>
    <w:rsid w:val="00AC47C2"/>
    <w:rsid w:val="00AD07C6"/>
    <w:rsid w:val="00AD5D3F"/>
    <w:rsid w:val="00AD7D7F"/>
    <w:rsid w:val="00AE08B9"/>
    <w:rsid w:val="00AF22EE"/>
    <w:rsid w:val="00B03057"/>
    <w:rsid w:val="00B12992"/>
    <w:rsid w:val="00B15D2C"/>
    <w:rsid w:val="00B17C1E"/>
    <w:rsid w:val="00B2090F"/>
    <w:rsid w:val="00B26A72"/>
    <w:rsid w:val="00B427D6"/>
    <w:rsid w:val="00B54802"/>
    <w:rsid w:val="00B55D98"/>
    <w:rsid w:val="00B618A4"/>
    <w:rsid w:val="00B65F27"/>
    <w:rsid w:val="00B770BD"/>
    <w:rsid w:val="00B81E07"/>
    <w:rsid w:val="00B930D2"/>
    <w:rsid w:val="00B97C92"/>
    <w:rsid w:val="00BA1F4A"/>
    <w:rsid w:val="00BA77CE"/>
    <w:rsid w:val="00BB721D"/>
    <w:rsid w:val="00BE22F9"/>
    <w:rsid w:val="00BE2743"/>
    <w:rsid w:val="00BE5B70"/>
    <w:rsid w:val="00BF4F3F"/>
    <w:rsid w:val="00BF776F"/>
    <w:rsid w:val="00C012F1"/>
    <w:rsid w:val="00C06C58"/>
    <w:rsid w:val="00C10614"/>
    <w:rsid w:val="00C26DBB"/>
    <w:rsid w:val="00C40E9D"/>
    <w:rsid w:val="00C52C58"/>
    <w:rsid w:val="00C64DC7"/>
    <w:rsid w:val="00C658C5"/>
    <w:rsid w:val="00C7627D"/>
    <w:rsid w:val="00C86354"/>
    <w:rsid w:val="00C876E0"/>
    <w:rsid w:val="00C973E8"/>
    <w:rsid w:val="00CA32FD"/>
    <w:rsid w:val="00CC293C"/>
    <w:rsid w:val="00CC3F17"/>
    <w:rsid w:val="00CD0869"/>
    <w:rsid w:val="00CD6707"/>
    <w:rsid w:val="00CD7B89"/>
    <w:rsid w:val="00CE0F39"/>
    <w:rsid w:val="00CE6304"/>
    <w:rsid w:val="00CF0B4F"/>
    <w:rsid w:val="00CF78C0"/>
    <w:rsid w:val="00D15261"/>
    <w:rsid w:val="00D1663B"/>
    <w:rsid w:val="00D210FA"/>
    <w:rsid w:val="00D228BC"/>
    <w:rsid w:val="00D37600"/>
    <w:rsid w:val="00D44878"/>
    <w:rsid w:val="00D51EE1"/>
    <w:rsid w:val="00D74D7D"/>
    <w:rsid w:val="00D81991"/>
    <w:rsid w:val="00DA00B1"/>
    <w:rsid w:val="00DA69BC"/>
    <w:rsid w:val="00DB5AC5"/>
    <w:rsid w:val="00DD228B"/>
    <w:rsid w:val="00DD40E6"/>
    <w:rsid w:val="00DE3BB1"/>
    <w:rsid w:val="00DE7B81"/>
    <w:rsid w:val="00DE7BF9"/>
    <w:rsid w:val="00E0099A"/>
    <w:rsid w:val="00E14FAB"/>
    <w:rsid w:val="00E17879"/>
    <w:rsid w:val="00E217AD"/>
    <w:rsid w:val="00E269E6"/>
    <w:rsid w:val="00E27999"/>
    <w:rsid w:val="00E34315"/>
    <w:rsid w:val="00E376C1"/>
    <w:rsid w:val="00E437AA"/>
    <w:rsid w:val="00E45D5D"/>
    <w:rsid w:val="00E529A5"/>
    <w:rsid w:val="00E56E68"/>
    <w:rsid w:val="00E57102"/>
    <w:rsid w:val="00E639CC"/>
    <w:rsid w:val="00E6424F"/>
    <w:rsid w:val="00E71A0A"/>
    <w:rsid w:val="00E71EFE"/>
    <w:rsid w:val="00E77E71"/>
    <w:rsid w:val="00E81B85"/>
    <w:rsid w:val="00E81E62"/>
    <w:rsid w:val="00E876FD"/>
    <w:rsid w:val="00E960E6"/>
    <w:rsid w:val="00EA0687"/>
    <w:rsid w:val="00EA785C"/>
    <w:rsid w:val="00EB2F95"/>
    <w:rsid w:val="00EB5D61"/>
    <w:rsid w:val="00EC106C"/>
    <w:rsid w:val="00EC659F"/>
    <w:rsid w:val="00ED1275"/>
    <w:rsid w:val="00ED7977"/>
    <w:rsid w:val="00ED7DB8"/>
    <w:rsid w:val="00EE5DDF"/>
    <w:rsid w:val="00EF01C4"/>
    <w:rsid w:val="00EF62CF"/>
    <w:rsid w:val="00F11D72"/>
    <w:rsid w:val="00F12361"/>
    <w:rsid w:val="00F20A4C"/>
    <w:rsid w:val="00F24C66"/>
    <w:rsid w:val="00F2526C"/>
    <w:rsid w:val="00F27F42"/>
    <w:rsid w:val="00F35260"/>
    <w:rsid w:val="00F36805"/>
    <w:rsid w:val="00F37A6E"/>
    <w:rsid w:val="00F40810"/>
    <w:rsid w:val="00F41225"/>
    <w:rsid w:val="00F4231E"/>
    <w:rsid w:val="00F50C3C"/>
    <w:rsid w:val="00F56705"/>
    <w:rsid w:val="00F57D41"/>
    <w:rsid w:val="00F656F2"/>
    <w:rsid w:val="00F6775E"/>
    <w:rsid w:val="00F708B5"/>
    <w:rsid w:val="00F7219F"/>
    <w:rsid w:val="00F731BB"/>
    <w:rsid w:val="00F811AF"/>
    <w:rsid w:val="00F83604"/>
    <w:rsid w:val="00F93CA5"/>
    <w:rsid w:val="00F93D7F"/>
    <w:rsid w:val="00FA1028"/>
    <w:rsid w:val="00FB2962"/>
    <w:rsid w:val="00FB375F"/>
    <w:rsid w:val="00FB7287"/>
    <w:rsid w:val="00FC58FD"/>
    <w:rsid w:val="00FD1BCC"/>
    <w:rsid w:val="00FE0587"/>
    <w:rsid w:val="00FE46AB"/>
    <w:rsid w:val="00FE6F7F"/>
    <w:rsid w:val="00FE6FB9"/>
    <w:rsid w:val="00FE733D"/>
    <w:rsid w:val="00FF1AA0"/>
    <w:rsid w:val="00FF3054"/>
    <w:rsid w:val="00FF5D97"/>
    <w:rsid w:val="00FF6A5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BB721D"/>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ripombasklic">
    <w:name w:val="annotation reference"/>
    <w:uiPriority w:val="99"/>
    <w:rsid w:val="00BB721D"/>
    <w:rPr>
      <w:sz w:val="16"/>
      <w:szCs w:val="16"/>
    </w:rPr>
  </w:style>
  <w:style w:type="paragraph" w:styleId="Pripombabesedilo">
    <w:name w:val="annotation text"/>
    <w:basedOn w:val="Navaden"/>
    <w:link w:val="PripombabesediloZnak"/>
    <w:rsid w:val="00BB721D"/>
    <w:pPr>
      <w:spacing w:after="0" w:line="240" w:lineRule="auto"/>
      <w:ind w:left="0" w:right="0"/>
      <w:jc w:val="left"/>
    </w:pPr>
    <w:rPr>
      <w:rFonts w:ascii="Times New Roman" w:hAnsi="Times New Roman" w:cs="Times New Roman"/>
      <w:bCs w:val="0"/>
      <w:noProof w:val="0"/>
    </w:rPr>
  </w:style>
  <w:style w:type="character" w:customStyle="1" w:styleId="PripombabesediloZnak">
    <w:name w:val="Pripomba – besedilo Znak"/>
    <w:basedOn w:val="Privzetapisavaodstavka"/>
    <w:link w:val="Pripombabesedilo"/>
    <w:rsid w:val="00BB721D"/>
    <w:rPr>
      <w:rFonts w:ascii="Times New Roman" w:eastAsia="Times New Roman" w:hAnsi="Times New Roman" w:cs="Times New Roman"/>
      <w:sz w:val="20"/>
      <w:szCs w:val="20"/>
      <w:lang w:eastAsia="sl-SI"/>
    </w:rPr>
  </w:style>
  <w:style w:type="character" w:styleId="Poudarek">
    <w:name w:val="Emphasis"/>
    <w:basedOn w:val="Privzetapisavaodstavka"/>
    <w:uiPriority w:val="20"/>
    <w:qFormat/>
    <w:rsid w:val="005C6CA7"/>
    <w:rPr>
      <w:i/>
      <w:iCs/>
    </w:rPr>
  </w:style>
  <w:style w:type="character" w:styleId="Krepko">
    <w:name w:val="Strong"/>
    <w:basedOn w:val="Privzetapisavaodstavka"/>
    <w:uiPriority w:val="22"/>
    <w:qFormat/>
    <w:rsid w:val="005C6CA7"/>
    <w:rPr>
      <w:b/>
      <w:bCs/>
    </w:rPr>
  </w:style>
  <w:style w:type="paragraph" w:styleId="Revizija">
    <w:name w:val="Revision"/>
    <w:hidden/>
    <w:uiPriority w:val="99"/>
    <w:semiHidden/>
    <w:rsid w:val="00510F30"/>
    <w:pPr>
      <w:spacing w:after="0" w:line="240" w:lineRule="auto"/>
    </w:pPr>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510F30"/>
    <w:pPr>
      <w:spacing w:after="240"/>
      <w:ind w:left="709" w:right="-142"/>
      <w:jc w:val="both"/>
    </w:pPr>
    <w:rPr>
      <w:rFonts w:ascii="Verdana" w:hAnsi="Verdana" w:cs="Arial"/>
      <w:b/>
      <w:bCs/>
      <w:noProof/>
    </w:rPr>
  </w:style>
  <w:style w:type="character" w:customStyle="1" w:styleId="ZadevapripombeZnak">
    <w:name w:val="Zadeva pripombe Znak"/>
    <w:basedOn w:val="PripombabesediloZnak"/>
    <w:link w:val="Zadevapripombe"/>
    <w:uiPriority w:val="99"/>
    <w:semiHidden/>
    <w:rsid w:val="00510F30"/>
    <w:rPr>
      <w:rFonts w:ascii="Verdana" w:eastAsia="Times New Roman" w:hAnsi="Verdana" w:cs="Arial"/>
      <w:b/>
      <w:bCs/>
      <w:noProof/>
      <w:sz w:val="20"/>
      <w:szCs w:val="20"/>
      <w:lang w:eastAsia="sl-SI"/>
    </w:rPr>
  </w:style>
  <w:style w:type="paragraph" w:styleId="Brezrazmikov">
    <w:name w:val="No Spacing"/>
    <w:uiPriority w:val="1"/>
    <w:qFormat/>
    <w:rsid w:val="00BA77CE"/>
    <w:pPr>
      <w:spacing w:after="0" w:line="240" w:lineRule="auto"/>
    </w:pPr>
    <w:rPr>
      <w:rFonts w:ascii="Calibri" w:eastAsia="Calibri" w:hAnsi="Calibri" w:cs="Times New Roman"/>
    </w:rPr>
  </w:style>
  <w:style w:type="paragraph" w:customStyle="1" w:styleId="paragraph">
    <w:name w:val="paragraph"/>
    <w:basedOn w:val="Navaden"/>
    <w:rsid w:val="00435074"/>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435074"/>
  </w:style>
  <w:style w:type="character" w:customStyle="1" w:styleId="eop">
    <w:name w:val="eop"/>
    <w:basedOn w:val="Privzetapisavaodstavka"/>
    <w:rsid w:val="0043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uradni-list.si/glasilo-uradni-list-rs/vsebina/2014-01-08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uradni-list.si/glasilo-uradni-list-rs/vsebina/2011-01-0279"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10-01-088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C60BB"/>
    <w:rsid w:val="000F24CD"/>
    <w:rsid w:val="00107F0F"/>
    <w:rsid w:val="00117BB4"/>
    <w:rsid w:val="001222D4"/>
    <w:rsid w:val="00160CA7"/>
    <w:rsid w:val="001F1E1A"/>
    <w:rsid w:val="00367A09"/>
    <w:rsid w:val="00386B4C"/>
    <w:rsid w:val="003C1636"/>
    <w:rsid w:val="00517E2A"/>
    <w:rsid w:val="00523941"/>
    <w:rsid w:val="0052423B"/>
    <w:rsid w:val="005B6919"/>
    <w:rsid w:val="005E6B6F"/>
    <w:rsid w:val="00632253"/>
    <w:rsid w:val="00646289"/>
    <w:rsid w:val="00697801"/>
    <w:rsid w:val="006D15FE"/>
    <w:rsid w:val="00744A8C"/>
    <w:rsid w:val="00886F13"/>
    <w:rsid w:val="00940149"/>
    <w:rsid w:val="00971DAE"/>
    <w:rsid w:val="00A87588"/>
    <w:rsid w:val="00A94714"/>
    <w:rsid w:val="00AA4569"/>
    <w:rsid w:val="00B618A4"/>
    <w:rsid w:val="00B97C92"/>
    <w:rsid w:val="00CA3919"/>
    <w:rsid w:val="00CC293C"/>
    <w:rsid w:val="00DA4EB6"/>
    <w:rsid w:val="00DE3BB1"/>
    <w:rsid w:val="00E559DE"/>
    <w:rsid w:val="00E71EFE"/>
    <w:rsid w:val="00EC666F"/>
    <w:rsid w:val="00EF065E"/>
    <w:rsid w:val="00F57D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1897</Words>
  <Characters>10813</Characters>
  <Application>Microsoft Office Word</Application>
  <DocSecurity>0</DocSecurity>
  <Lines>90</Lines>
  <Paragraphs>25</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
      <vt:lpstr>NASLOV:	&lt;Predlog Sklepa v zvezi z določitvijo mnogokratnika za izračun osnovne p</vt:lpstr>
      <vt:lpstr>SKLEP</vt:lpstr>
      <vt:lpstr>Obrazložitev</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12</cp:revision>
  <cp:lastPrinted>2025-02-19T07:16:00Z</cp:lastPrinted>
  <dcterms:created xsi:type="dcterms:W3CDTF">2026-01-15T15:04:00Z</dcterms:created>
  <dcterms:modified xsi:type="dcterms:W3CDTF">2026-01-15T15:49:00Z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